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Dabas resursu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 vispārīgo iebildumu, norādām, ka šī DRN likumprojekta anotācija nepamato nodokļa likmes celšanu. Tehniska likmes celšana, nepaskaidrojot sasniedzamo mērķi un neaprēķinot DRN likmes ietekmi uz tautsaimniecību. Ņemot vērā pastāvošo ģeopolitisko situāciju, enerģētiskai neatkatībai noteikti liks šķrēšļus pieraugoša DRN. Aicinām attiekties no DRN likmes celšanas akmeņoglēm, koksam un lignītam (brūnogles).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likmes paaugstināšana akmeņoglēm, koksam un lignītam (brūnoglēm) jau ir apstiprināta Ministru kabineta 2024. gada 19. septembra sēdē, pamatojoties uz valdības lēmumu par budžeta politikas pārskatīšanu 2025.–2027. gadam. Ņemot vērā šo lēmumu, DRN likmes celšanas atcelšana šobrīd nav iespējama, jo tā jau ir integrēta budžetu pavadošajā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 gada 7. septembra noteikumu Nr. 606 "Ministru kabineta kārtības rullis" (turpmāk - MK kārtības rullis) 55.2. apakšpunktam nav norādīta likumprojekta steidzamība vai Ministru kabineta lietas pamatojums, lūdzam virzīt likumprojektu saskaņošanai vispārējā kārtībā, atbilstoši MK kārtības ruļļa 55.1. apakšpunktam nosakot atzinuma sniegšanas termiņu 10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tabulu, ņemot vērā, ka dabas resursu nodokļa ieņēmumus valsts kopbudžetā veido ne tikai pamatbudžeta ieņēmumi, bet arī pašvaldību budžeta ieņēmumi, kas saskaņā ar valsts budžetu kārtējam gadam un ar vidēja termiņa budžeta ietvaru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74 014 620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89 437 941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102 623 412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55 741 975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64 856 208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72 218 477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18 272 645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24 581 733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gadā30 404 935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sadaļā nav norādītas korektas fiskālās ietekmes uz valsts budžetu. 2025. – 2027. gada kolonnās “izmaiņas, salīdzinot ar vidēja termiņa budžeta ietvaru” norādāma fiskālā ietekme, kas veidojas likmju paaugstināšanas rezultātā, nevis nodokļa ieņēmumi pēc likmju paaugstināšanas. Saskaņā ar 2024. gada 19. septembra Ministru kabineta sēdē apstiprinātā informatīvā ziņojuma "Par valsts budžeta ieņēmumu un nodokļu politikas pārskatīšanu 2025. – 2027. gadā" Ministru kabineta sēdes protokollēmuma 7. punktu Finanšu ministrija ir koriģējusi nodokļu ieņēmumu prognozes 2025. – 2028. gadam atbilstoši ziņojumā uzskaitīto un atbalstīto priekšlikumu fiskālajām ietekmēm, tāpat norādītā fiskālā ietekme ir ņemta vērā, aprēķinot ietekmi uz fiskālo telpu no nodokļu politikas izmaiņām. Atbilstoši minētajam informatīvajam ziņojumam nodokļu ieņēmumu prognozes no dabas resursu nodokļa likmju palielināšanas akmeņoglēm, koksam un lignītam tika koriģētas par +300,0 tūkst. euro 2025. gadā, +300,0 tūkst. euro 2026. gadā, +400,0 tūkst. euro 2027. gadā un +400,0 tūkst. euro 2028. gadā. Lūdzam Klimata un enerģētikas ministriju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nepārņem Padomes 2003. gada 27. oktobra Direktīva 2003/96/EK, kas pārkārto Kopienas noteikumus par nodokļu uzlikšanu energoproduktiem un elektroenerģijai, (turpmāk - direktīva 2003/96/EK) prasības, lūdzam likumprojekta anotācijas 1. sadaļā svītrot atsauces (norādes) uz minēto direktīvu. Pretējā gadījumā rodas maldinošs priekšstats, ka likumprojekts pārņem minētās direktīvas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likumprojektā paredzētās normas izriet no direktīvas 2003/96/EK vai pārņem šīs direktīvas prasības, lūdzam aizpildīt anotācijas 5. sadaļu. Kā arī šādā gadījumā lūdzam veikt korektu direktīvas pierakstu - Padomes </w:t>
            </w:r>
            <w:r w:rsidR="00000000" w:rsidRPr="00000000" w:rsidDel="00000000">
              <w:rPr>
                <w:u w:val="single"/>
                <w:rtl w:val="0"/>
              </w:rPr>
              <w:t xml:space="preserve">2003. gada 27. oktobra</w:t>
            </w:r>
            <w:r w:rsidR="00000000" w:rsidRPr="00000000" w:rsidDel="00000000">
              <w:rPr>
                <w:rtl w:val="0"/>
              </w:rPr>
              <w:t xml:space="preserve"> Direktīva 2003/96/EK, kas pārkārto Kopienas noteikumus par nodokļu uzlikšanu energoproduktiem un elektroenerģijai.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sadaļā svītrotas atsauces (norādes) uz  Padomes 2003. gada 27. oktobra Direktīvu 2003/96/EK, kas pārkārto Kopienas noteikumus par nodokļu uzlikšanu energoproduktiem un elektroenerģijai.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anotācijas 3.sadaļā 1.1. apakšpunktā norādītās vērtības izmaiņu ailēs atbilstu anotācijas pielikumā norādītajam aprēķinam par izmaiņām ieņēmumos.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izmaiņu ailēs aizpildīt arī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2025. gadam un budžeta ietvara 2025., 2026. un 2026. gadam likumprojektu pakotnē.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2.punktu izteikt šādā redakcijā: “Valsts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2025. gadam un budžeta ietvaru 2025., 2026. un 2027.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24-TA-2329</w:t>
    </w:r>
    <w:r>
      <w:br/>
    </w:r>
    <w:r w:rsidR="00000000" w:rsidRPr="00000000" w:rsidDel="00000000">
      <w:rPr>
        <w:rtl w:val="0"/>
      </w:rPr>
      <w:t xml:space="preserve">07.10.2024. 15.41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24-TA-2329</w:t>
    </w:r>
    <w:r>
      <w:br/>
    </w:r>
    <w:r w:rsidR="00000000" w:rsidRPr="00000000" w:rsidDel="00000000">
      <w:rPr>
        <w:rtl w:val="0"/>
      </w:rPr>
      <w:t xml:space="preserve">07.10.2024. 15.41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Izziņa_24-TA-2329.docx</dc:title>
</cp:coreProperties>
</file>

<file path=docProps/custom.xml><?xml version="1.0" encoding="utf-8"?>
<Properties xmlns="http://schemas.openxmlformats.org/officeDocument/2006/custom-properties" xmlns:vt="http://schemas.openxmlformats.org/officeDocument/2006/docPropsVTypes"/>
</file>