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24-TA-1215: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2023. gada 6. jūnija noteikumos Nr. 291 "Eiropas Savienības kohēzijas politikas programmas 2021.–2027. gadam 5.1.1. specifiskā atbalsta mērķa "Vietējās teritorijas integrētās sociālās, ekonomiskās un vides attīstības un kultūras mantojuma, tūrisma un drošības veicināšana pilsētu funkcionālajās teritorijās"  5.1.1.3. pasākuma "Publiskās ārtelpas attīstība"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(09.06.2023.)</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Pasākuma ietvaros plānotais un pieejamais kopējais finansējums ir ne mazāks kā 31 545 476 </w:t>
            </w:r>
            <w:r w:rsidR="00000000" w:rsidRPr="00000000" w:rsidDel="00000000">
              <w:rPr>
                <w:i w:val="1"/>
                <w:rtl w:val="0"/>
              </w:rPr>
              <w:t xml:space="preserve">euro</w:t>
            </w:r>
            <w:r w:rsidR="00000000" w:rsidRPr="00000000" w:rsidDel="00000000">
              <w:rPr>
                <w:rtl w:val="0"/>
              </w:rPr>
              <w:t xml:space="preserve">, tai skaitā Eiropas Reģionālās attīstības fonda (turpmāk – ERAF) finansējums – 26 736 305 </w:t>
            </w:r>
            <w:r w:rsidR="00000000" w:rsidRPr="00000000" w:rsidDel="00000000">
              <w:rPr>
                <w:i w:val="1"/>
                <w:rtl w:val="0"/>
              </w:rPr>
              <w:t xml:space="preserve">euro</w:t>
            </w:r>
            <w:r w:rsidR="00000000" w:rsidRPr="00000000" w:rsidDel="00000000">
              <w:rPr>
                <w:rtl w:val="0"/>
              </w:rPr>
              <w:t xml:space="preserve"> un nacionālais finansējums (pašvaldību finansējums) – ne mazāks kā 4 718 171 </w:t>
            </w:r>
            <w:r w:rsidR="00000000" w:rsidRPr="00000000" w:rsidDel="00000000">
              <w:rPr>
                <w:i w:val="1"/>
                <w:rtl w:val="0"/>
              </w:rPr>
              <w:t xml:space="preserve">euro</w:t>
            </w:r>
            <w:r w:rsidR="00000000" w:rsidRPr="00000000" w:rsidDel="00000000">
              <w:rPr>
                <w:rtl w:val="0"/>
              </w:rPr>
              <w:t xml:space="preserve">, tai skaitā: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14.punktā norādīto kopējo finansējumu, ņemot vērā, ka, saskaitot kopā Eiropas Reģionālās attīstības fonda  finansējumu 26 736 305 </w:t>
            </w:r>
            <w:r w:rsidR="00000000" w:rsidRPr="00000000" w:rsidDel="00000000">
              <w:rPr>
                <w:i w:val="1"/>
                <w:rtl w:val="0"/>
              </w:rPr>
              <w:t xml:space="preserve">euro</w:t>
            </w:r>
            <w:r w:rsidR="00000000" w:rsidRPr="00000000" w:rsidDel="00000000">
              <w:rPr>
                <w:rtl w:val="0"/>
              </w:rPr>
              <w:t xml:space="preserve"> un nacionālo (pašvaldību) finansējumu 4 718 171 euro, kopējais finansējums ir 31 454 476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precizēt anotācijas 3.sadaļā norādīto pašvaldību finansējumu, lai nodrošinātu atbilstību noteikumu projektā noteiktajam. Vēršam uzmanību, ka, saskaitot kopā 2.3.apakšpunktos norādītos apmērus, kopsumma sanāk  542 170 </w:t>
            </w:r>
            <w:r w:rsidR="00000000" w:rsidRPr="00000000" w:rsidDel="00000000">
              <w:rPr>
                <w:i w:val="1"/>
                <w:rtl w:val="0"/>
              </w:rPr>
              <w:t xml:space="preserve">euro</w:t>
            </w:r>
            <w:r w:rsidR="00000000" w:rsidRPr="00000000" w:rsidDel="00000000">
              <w:rPr>
                <w:rtl w:val="0"/>
              </w:rPr>
              <w:t xml:space="preserve"> apmērā nevis 542 171  </w:t>
            </w:r>
            <w:r w:rsidR="00000000" w:rsidRPr="00000000" w:rsidDel="00000000">
              <w:rPr>
                <w:i w:val="1"/>
                <w:rtl w:val="0"/>
              </w:rPr>
              <w:t xml:space="preserve">euro</w:t>
            </w:r>
            <w:r w:rsidR="00000000" w:rsidRPr="00000000" w:rsidDel="00000000">
              <w:rPr>
                <w:rtl w:val="0"/>
              </w:rPr>
              <w:t xml:space="preserve"> apmērā, kas ir noteikumu projektā paredzētās pašvaldību finansējuma izmaiņas, kā tas arī norādīts anotācijas 3.sadaļas 6.punkta otrajā rindkopā.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paredzētajai finansējuma pārdalei no 5.1.1.1. pasākuma “Infrastruktūra uzņēmējdarbības atbalstam” uz 5.1.1.3. pasākumu “Publiskās ārtelpas attīstība” 3 072 305 euro apmērā nav ietekmes uz valsts budžetu vai pašvaldību budžetiem, jo finansējuma pārdale tiek veikta starp diviem Eiropas Savienības kohēzijas politikas programmas 2021.–2027. gadam 5.1.1. specifiskā atbalsta mērķa "Vietējās teritorijas integrētās sociālās, ekonomiskās un vides attīstības un kultūras mantojuma, tūrisma un drošības veicināšana pilsētu funkcionālajās teritorijās" (turpmāk – 5.1.1. SAM) pasākumiem, neietekmējot kopējo 5.1.1. SAM plānotā finansējuma apmēru.  Līdz ar to, minētais skaidrojums iekļauts anotācijas 3. sadaļā ailē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Pasākuma ietvaros plānotais un pieejamais kopējais finansējums ir ne mazāks kā 31 454 476 </w:t>
            </w:r>
            <w:r w:rsidR="00000000" w:rsidRPr="00000000" w:rsidDel="00000000">
              <w:rPr>
                <w:i w:val="1"/>
                <w:rtl w:val="0"/>
              </w:rPr>
              <w:t xml:space="preserve">euro</w:t>
            </w:r>
            <w:r w:rsidR="00000000" w:rsidRPr="00000000" w:rsidDel="00000000">
              <w:rPr>
                <w:rtl w:val="0"/>
              </w:rPr>
              <w:t xml:space="preserve">, tai skaitā Eiropas Reģionālās attīstības fonda (turpmāk – ERAF) finansējums – 26 736 305 </w:t>
            </w:r>
            <w:r w:rsidR="00000000" w:rsidRPr="00000000" w:rsidDel="00000000">
              <w:rPr>
                <w:i w:val="1"/>
                <w:rtl w:val="0"/>
              </w:rPr>
              <w:t xml:space="preserve">euro</w:t>
            </w:r>
            <w:r w:rsidR="00000000" w:rsidRPr="00000000" w:rsidDel="00000000">
              <w:rPr>
                <w:rtl w:val="0"/>
              </w:rPr>
              <w:t xml:space="preserve"> un nacionālais finansējums (pašvaldību finansējums) – ne mazāks kā 4 718 171 </w:t>
            </w:r>
            <w:r w:rsidR="00000000" w:rsidRPr="00000000" w:rsidDel="00000000">
              <w:rPr>
                <w:i w:val="1"/>
                <w:rtl w:val="0"/>
              </w:rPr>
              <w:t xml:space="preserve">euro</w:t>
            </w:r>
            <w:r w:rsidR="00000000" w:rsidRPr="00000000" w:rsidDel="00000000">
              <w:rPr>
                <w:rtl w:val="0"/>
              </w:rPr>
              <w:t xml:space="preserve">, tai skaitā: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 Pasākuma īstenošanas nosacījumi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projektu ar normu – ja uzņēmums darbojas gan pakalpojuma ar vispārēju tautsaimniecisku nozīmi jomā, gan ārpus tās, iekšējā grāmatvedības uzskaitē atsevišķi jāuzrāda izmaksas un ieņēmumi, kas saistīti ar pakalpojumu ar vispārēju tautsaimniecisku nozīmi, un izmaksas un ieņēmumi par citiem pakalpojumiem, kā arī izmaksu un ieņēmumu iedalīšanas parametri, ievērojot Eiropas Komisijas lēmuma Nr. 2012/21/ES 5. panta 9. punkta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MK noteikumu Nr.291 21.7., 22.8, un 23.5.apakšpunktos jau ir ietverti nosacījumi, ka pašvaldība, slēdzot pakalpojuma līgumu ar ūdenssaimniecības un (vai) siltumapgādes sabiedrisko pakalpojumu sniedzēju, izdodot saistošos noteikumus par ūdenssaimniecības un (vai) siltumapgādes sabiedrisko pakalpojumu sniegšanu, vai pieņemot lēmumu par ūdenssaimniecības un (vai) siltumapgādes sabiedrisko pakalpojumu sniegšanu, norāda atsauci arī uz</w:t>
            </w:r>
            <w:r w:rsidR="00000000" w:rsidRPr="00000000" w:rsidDel="00000000">
              <w:rPr>
                <w:i w:val="1"/>
                <w:rtl w:val="0"/>
              </w:rPr>
              <w:t xml:space="preserve"> Eiropas Komisijas 2011. gada 20. decembra lēmumu Nr. 2012/21/ES par Līguma par Eiropas Savienības darbību 106. panta  2. punkta piemērošanu valsts atbalstam attiecībā uz kompensāciju par sabiedriskajiem pakalpojumiem dažiem uzņēmumiem, kuriem uzticēts sniegt pakalpojumus ar vispārēju tautsaimniecisku nozīmi.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 Pasākuma īstenošanas nosacījumi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r w:rsidR="00000000" w:rsidRPr="00000000" w:rsidDel="00000000">
              <w:rPr>
                <w:vertAlign w:val="superscript"/>
                <w:rtl w:val="0"/>
              </w:rPr>
              <w:t xml:space="preserve">1</w:t>
            </w:r>
            <w:r w:rsidR="00000000" w:rsidRPr="00000000" w:rsidDel="00000000">
              <w:rPr>
                <w:rtl w:val="0"/>
              </w:rPr>
              <w:t xml:space="preserve"> Projekta ietvaros attīstītajā infrastruktūrā projekta ieviešanas gaitā vai uzraudzības periodā, kas atbilst pamatlīdzekļu amortizācijas periodam, ir pieļaujams sniegt papildpakalpojumus. Ar papildpakalpojumiem saprot tādus pakalpojumus infrastruktūrā, kurus galvenokārt izmanto tikai ar nesaimniecisko darbību saistītās infrastruktūras apmeklētāji un šiem papildpakalpojumiem pašiem par sevi nebūs  ietekmes uz tirdzniecību un konkurenci Eiropas Savienības iekšējā tirgū.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pasākuma ietvaros netiek atbalstītas darbības, kurām sniegtais atbalsts ir kvalificējams kā komercdarbības atbalsts, izņemot komercdarbības atbalstu ūdenssaimniecības un (vai) siltumapgādes sabiedrisko pakalpojumu sniedzējam, lūdzam precizēt noteikumu projekta 45.</w:t>
            </w:r>
            <w:r w:rsidR="00000000" w:rsidRPr="00000000" w:rsidDel="00000000">
              <w:rPr>
                <w:vertAlign w:val="superscript"/>
                <w:rtl w:val="0"/>
              </w:rPr>
              <w:t xml:space="preserve">1 </w:t>
            </w:r>
            <w:r w:rsidR="00000000" w:rsidRPr="00000000" w:rsidDel="00000000">
              <w:rPr>
                <w:rtl w:val="0"/>
              </w:rPr>
              <w:t xml:space="preserve">punktu, skaidri nosakot, ka papildpakalpojumus ir pieļaujams sniegt tikai nesaimnieciskā infrastruktūrā.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r w:rsidR="00000000" w:rsidRPr="00000000" w:rsidDel="00000000">
              <w:rPr>
                <w:vertAlign w:val="superscript"/>
                <w:rtl w:val="0"/>
              </w:rPr>
              <w:t xml:space="preserve">1</w:t>
            </w:r>
            <w:r w:rsidR="00000000" w:rsidRPr="00000000" w:rsidDel="00000000">
              <w:rPr>
                <w:rtl w:val="0"/>
              </w:rPr>
              <w:t xml:space="preserve"> Projekta ietvaros attīstītajā ar nesaimniecisko darbību saistītā infrastruktūrā projekta ieviešanas gaitā un uzraudzības periodā, kas atbilst pamatlīdzekļu amortizācijas periodam, ir pieļaujams sniegt papildpakalpojumus. Ar papildpakalpojumiem saprot tādus pakalpojumus infrastruktūrā, kurus galvenokārt izmanto tikai ar nesaimniecisko darbību saistītās infrastruktūras apmeklētāji un šiem papildpakalpojumiem pašiem par sevi nebūs  ietekmes uz tirdzniecību un konkurenci Eiropas Savienības iekšējā tirgū.</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24-TA-1215</w:t>
    </w:r>
    <w:r>
      <w:br/>
    </w:r>
    <w:r w:rsidR="00000000" w:rsidRPr="00000000" w:rsidDel="00000000">
      <w:rPr>
        <w:rtl w:val="0"/>
      </w:rPr>
      <w:t xml:space="preserve">28.05.2024. 10.08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24-TA-1215</w:t>
    </w:r>
    <w:r>
      <w:br/>
    </w:r>
    <w:r w:rsidR="00000000" w:rsidRPr="00000000" w:rsidDel="00000000">
      <w:rPr>
        <w:rtl w:val="0"/>
      </w:rPr>
      <w:t xml:space="preserve">28.05.2024. 10.08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Izziņa_24-TA-1215.docx</dc:title>
</cp:coreProperties>
</file>

<file path=docProps/custom.xml><?xml version="1.0" encoding="utf-8"?>
<Properties xmlns="http://schemas.openxmlformats.org/officeDocument/2006/custom-properties" xmlns:vt="http://schemas.openxmlformats.org/officeDocument/2006/docPropsVTypes"/>
</file>