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25-TA-268: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8. aprīļa noteikumos Nr. 222 "Ēku energoefektivitātes aprēķina metodes un ēku energosertifikācijas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(16.04.2021.)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anotācijas 1.3. apakšsadaļā norādīt, kā tieši anotācijas 1.3. apakšsadaļā minētie Eiropas Savienības tiesību akti saistīti ar projektu vai ietekmē Ministru kabineta 2021. gada 8. aprīļa noteikumus Nr. 222 "Ēku energoefektivitātes aprēķina metodes un ēku energosertifikācijas noteikumi" (turpmāk - noteikumi Nr. 222).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vēršam uzmanību, ka no anotācijas noprotams, ka projekts saistīts Eiropas Parlamenta un Padomes 2024. gada 24. aprīļa Direktīvas (ES) 2024/1275 par ēku energosniegumu mērķi "</w:t>
            </w:r>
            <w:r w:rsidR="00000000" w:rsidRPr="00000000" w:rsidDel="00000000">
              <w:rPr>
                <w:i w:val="1"/>
                <w:rtl w:val="0"/>
              </w:rPr>
              <w:t xml:space="preserve">panākt, ka 2050.gadā ēku fondu veido bezemisiju ēkas</w:t>
            </w:r>
            <w:r w:rsidR="00000000" w:rsidRPr="00000000" w:rsidDel="00000000">
              <w:rPr>
                <w:rtl w:val="0"/>
              </w:rPr>
              <w:t xml:space="preserve">" un tā mērķrādītāju sasniegšanas nodrošināšanu. Attiecīgi projekts var būt saistīts arī ar minētās direktīvas pārņemšanu vai jau pārņemtu prasību praktisku īstenošanu, kas nav izvērstāk skaidrots. Ievērojot minēto lūdzam izvērtēt un, ja ar noteikumu projektu tiek pārņemtas minētās direktīvas prasības, lūdzam aizpildīt arī anotācijas 5. sadaļu, jo īpaši tās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precizējumus, lūdzam ņemt vērā, ka saskaņā ar Līguma par Eiropas Savienības darbību 288. pantu "</w:t>
            </w:r>
            <w:r w:rsidR="00000000" w:rsidRPr="00000000" w:rsidDel="00000000">
              <w:rPr>
                <w:i w:val="1"/>
                <w:rtl w:val="0"/>
              </w:rPr>
              <w:t xml:space="preserve">direktīvas tām dalībvalstīm, kurām tās adresētas, uzliek saistības attiecībā uz sasniedzamo rezultātu, bet ļauj šo valstu varasiestādēm noteikt to sasniegšanas formas un metodes</w:t>
            </w:r>
            <w:r w:rsidR="00000000" w:rsidRPr="00000000" w:rsidDel="00000000">
              <w:rPr>
                <w:rtl w:val="0"/>
              </w:rPr>
              <w:t xml:space="preserve">". Atšķirībā no regulām, direktīvas nav tieši piemērojams tiesību akts. Direktīvās tiek noteikts sasniedzamais mērķis un dalībvalstīm ir uzdevums savlaicīgi iestrādāt direktīvu nosacījumus nacionālajos normatīvajos aktos to būtības un mērķa sasniegšanai. Proti, direktīvas ir saistošas dalībvalstīm. Savukārt dalībvalstu fiziskajām un juridiskajām personām direktīvās iekļautie nosacījumi kļūst par saistošiem tikai ar brīdi, kad tie pārņemti nacionālajos normatīvajos aktos. Attiecīgi, lūdzam izvērtēt un nepieciešamības gadījumā precizēt anotācijā sniegto informāciju, norādot arī nacionālos tiesību aktus, ar kuriem minētās direktīvas prasības ir pārņemtas.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izņemot atsauci uz Direktīvu.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ēku energoefektivitātes klasifikācijas sistēmu (tai skaitā energoefektivitātes un augstas efektivitātes sistēmu) izmantošanas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- 06.03.2025.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2025.gada 11.oktobrim Latvijas normatīvajos aktos ir jāpārņem 2023. gada 13. septembra Eiropas Parlamenta un Padomes Direktīvas (ES) 2023/1791 par energoefektivitāti un ar ko groza Regulu (ES) 2023/955 (pārstrādāta redakcija) (turpmāk - Direktīva (ES) 2023/1791) 6.pants, kurā ir noteiktas prasības publiskā sektora ēkām atjaunošanas ietvaros sasniegt vismaz gandrīz nulles enerģijas ēkas vai bezemisiju ēkas līmeni, kur bezemisiju ēkas prasību līmenis Latvijas normatīvajos aktos šobrīd nav noteikts, un, ņemot vērā, ka šie noteikumi regulē ēku energoefektivitātes klasifikācijas sistēmas prasības, tai skaitā gandrīz nulles enerģijas ēku prasības, lūdzam papildināt noteikumu projektu ar prasībām, kas definē bezemisiju ēkas līmeni. Skaidrojam, ka VARAM atbildības jomā ir Eiropas Savienības kohēzijas politikas programmas 2021.–2027.gadam 2.1.1.6. pasākums “Pašvaldību ēku energoefektivitātes paaugstināšana” (turpmāk – 2.1.1.6.pasākums), kura ietvaros 2026.gadā plānots finansējums ēku energoefektivitātes projektu īstenošanai pašvaldību sektora ēkās un jau šobrīd pašvaldības plāno sava ēku fonda atjaunošanas projektus un tām ir nepieciešams laicīgi zināt, kādas prasības tām būs izvirzītas, lai tiktu ievērotas iepriekš minētās direktīvas prasības. Tāpat vēršam uzmanību uz to, ka lai gan 2024. gada 24. aprīļa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(ES) 2024/1275 par ēku energosniegumu (pārstrādāta redakcija) (turpmāk – Direktīva  2024/1275) paredz 11.panta prasības (Bezemisiju ēkas) pārņemt līdz 2026. gada 29. maijam, Direktīvas (ES) 2023/1791 6.pants, kurā ir atsauce uz bezemisiju ēku definīciju, ir jāpārņem līdz 2025.gada 11.oktobrim, līdz ar to, šo prasību pārņemšana ir nepieciešama agrākā termiņā, kur līdz prasību pārņemšanai faktiski ir palicis nedaudz vairāk par pusgadu, tādēļ mūsuprāt ar šo projektu būtu nepieciešams šo problemātiku risināt jau šobrīd. Papildus VARAM lūdz izvērtēt, vai līdz šim noteiktās prasības gandrīz nulles enerģijas ēkām sasniedz izmaksu ziņā optimālo līmeni un nav nepieciešams tās pārskatīt, tai skaitā, vai ir nepieciešams izdalīt gandrīz nulles enerģijas ēkas prasības atjaunošanām un pārbūvēm un atsevišķi jaunbūvēm, jo šobrīd VARAM administrētajās atbalsta programmās no 2023.gada pieteiktajos un īstenotajos projektos (Atveseļošanās un noturības mehānisma ietvaros) atbalstīti pašvaldību 44 ēku projekti, no kuriem tikai 4 ēkas sasniedz gandrīz nulles enerģijas ēkas prasības, 3 ēkas sasniedz A klasi apkurei, 8 ēkas sasniedz B klasi apkurei, 26 ēkas sasniedz C klasi apkurei un 3 ēkas sasniedz D klasi apkurei, līdz ar to ir saskatāms, ka vairumā pašvaldību ēku atjaunošanas gadījumos tiek sasniegts apkures energoefektivitātes novērtējums no 65 – 90 kWh/m2 gadā (vidēji svērti 70 kWh/m2 gadā), kas var liecināt, ka līdz šim noteiktās prasības gandrīz nulles enerģijas ēkām (apkurei ≤45 kWh/m2 gadā) varētu būt noteiktas pārlieku stingras, vismaz attiecībā uz ēku atjaunošanu un pārbūvi. VARAM var neiebilst, ka bezemisiju un gandrīz nulles ēkas klašu izvērtēšana/noteikšana/pārskatīšana var tikt pārskatīta arī cita noteikumu projekta ietvaros, lai nekavētu šī noteikumu projekta galvenā mērķa sasniegšanu – vienkāršot ēku energosertificēšanas sistēmu un prasības, tomēr ir nepieciešams skaidrs laika grafiks, lai VARAM savās atbalsta programmās spētu noteikt korektus nosacījumus finansējuma saņēmējiem, kā arī, lai pašvaldības jau laicīgi varētu veikt projektēšanas darbības, zinot tām izvirzītos mērķus un galvenās prasības vēl pirms 2026.gada, kad paredzēta 2.1.1.6.pasākuma attiecīgā kārta un nekavētu ES fondu 2021.-2027.gada laika grafiku, kā arī izmantotu energoefektivitātes pasākumiem paredzēto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ministrijā šobrīd notiek darbs pie Direktīvas (ES) 2023/1791) 6.panta pārņemšanas, lai noteiktu gandrīz nulles enerģijas ēkas un bezemisiju ēkas līmeņus ēku atjaunošanas gadījumā. Atbilstoši Eiropas Parlamenta un Padomes Direktīvas (ES) 2024/1275 (2024. gada 24. aprīlis) par ēku energosniegumu (pārstrādāta redakcija) 5.pantam energosnieguma minimālās prasības ēkām nosaka vismaz izmaksu ziņā optimālā līmenī. Turklāt nosakot šīs prasības, dalībvalstis var nošķirt jaunas un jau esošas ēkas, kā arī dažādu ēku kategorijas. Ievērojot minēto, Ekonomikas ministrija organizēs iepirkuma procedūru pētījuma veikšanai izmaksoptimālo līmeņu noteikšanai. Plānots, ka iepirkuma rezultātā izmaksoptimālie līmeņi tiek noteikti un tiek sagatavoti nepieciešamie grozījumi normatīvajos aktos, lai šos līmeņus nostiprinātu līdz š.g. III ceturkšņa beigām.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Ēkas energosertifikātu var izsniegt, arī pamatojoties uz ēkas izmērītās energoefektivitātes novērtējumu atbilstoši šo noteikumu 2. pielikumam, tādām ekspluatācijā esošām ēkām, kurām ir individuāla enerģijas patēriņa uzskaite un ir pieejami enerģijas patēriņa dati, kas pamatoti ar izmērītajiem piegādātās un eksportētās enerģijas daudzumiem, par vismaz pēdējo triju gadu periodu, kura laikā ēka ir pastāvīgi ekspluatēta un ēkai nav veiktas pārbūves vai funkciju maiņas, kas ietekmē ēkas enerģijas patēriņu apkurei un sasniedzamos primārās neatjaunojamās enerģijas energoefektivitātes novērtējuma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08.04.2021.noteikumu Nr. 222 "Ēku energoefektivitātes aprēķina metodes un ēku energosertifikācijas noteikumi" (turpmāk - noteikumi) 6.punktā ietvertajos nosacījumos nav noteikti energoefektivitātes novērtēšanas nosacījumi, tādēļ lūdzam noteikumu 6.punktu izteikt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Ēkas energosertifikātu var izsniegt, arī pamatojoties uz ēkas izmērītās energoefektivitātes novērtējumu atbilstoši šo noteikumu 2. pielikumam, tādām ekspluatācijā esošām ēkām, kurām ir individuāla enerģijas patēriņa uzskaite un ir pieejami enerģijas patēriņa dati, kas pamatoti ar izmērītajiem piegādātās un eksportētās enerģijas daudzumiem, par vismaz pēdējo triju gadu periodu, kura laikā ēka ir pastāvīgi ekspluatēta un ēkai nav veiktas pārbūves vai funkciju maiņas, kas ietekmē ēkas enerģijas patēriņu apkurei un sasniedzamos primārās neatjaunojamās enerģijas energoefektivitātes novērtējuma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izmērītās energoefektivitātes novērtējumu apkures un sadzīves karstā ūdens sistēmās patērētajai siltumenerģijai vai kurināmiem veic saskaņā ar standartu LVS EN 15378-3:2020 “Ēku energoefektivitāte. Ēku apkures sistēmas un SKŪ. 3.daļa: Izmērītā energoefektivitāte M3-10 un M8-10 moduļiem” un šī standarta nacionālo pielikumu LVS EN 15378-3:2017/NA:2020”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izmērītās energoefektivitātes novērtējumu ēkas pakalpojumiem (veidiem), kuriem tiek izmantota elektroenerģija vienā no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ar elektroenerģijas skaitītājiem, kas uzskaita konkrēto pakalpojumu elektroenerģijas patēriņu un piemērojot standarta LVS EN 52000-1 “Ēku energoefektivitāte. Vispārējs ēku energoefektivitātes novērtējums. 1. daļa: Vispārīgas pamatnostādnes un procedūras (ISO 52000-1:2017)” 8.daļas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aprēķina saskaņā ar konkrēto pakalpojumu standartiem, lai nodrošinātu standartā LVS EN 16798-1 “LVS EN 16798-1:2019 "Ēku energoefektivitāte. Ēku ventilācija. 1. daļa: Telpu mikroklimata ievades parametri ēku energoefektivitātes projektēšanai un novērtēšanai, ņemot vērā telpu gaisa kvalitāti, temperatūras režīmu, apgaismojumu un akustiku. M1-6 modulis”” noteiktos telpu komforta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standartvērtības saskaņā ar konkrēto pakalpojumu standartiem vai to nacionālajiem pielikumiem.”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6.punkts.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Ēkas energosertifikātu var izsniegt, arī pamatojoties uz ēkas izmērītās energoefektivitātes novērtējumu atbilstoši šo noteikumu 2.pielikumam, tādām ekspluatācijā esošām ēkām, kurām ir pieejami enerģijas patēriņa dati atbilstoši standarta LVS EN 15378-3:2020 “ Ēku energoefektivitāte. Ēku apkures sistēmas un SKŪ. 3.daļa: Izmērītā energoefektivitāte M3-10 un M8-10 moduļiem” nacionālā pielikuma LVS EN 15378-3:2017/NA:2020 " Ēku energoefektivitāte. Ēku apkures sistēmas un SKŪ. 3. daļa: Izmērītā energoefektivitāte M3-10 un M8-10 moduļiem”. Nacionālais pielikums NA.2.tabulai "Nepieciešamās piegādātās enerģijas energonesēju daudzums" un enerģijas patēriņa dati pamatoti ar piegādātās un eksportētās enerģijas daudzumiem par vismaz pēdējo triju gadu periodu, kura laikā ēka ir pastāvīgi ekspluatēta un ēkai nav veiktas pārbūves vai funkciju maiņas, kas ietekmē ēkas enerģijas patēriņu apkurei un sasniedzamos primārās neatjaunojamās enerģijas energoefektivitātes novērtējuma rādītājus, ievērojot šādus nosacījumus: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Ēkas energosertifikātu var izsniegt, arī pamatojoties uz ēkas siltumenerģijas izmērītā enerģijas patēriņa novērtējumu atbilstoši šo noteikumu 6.punkta nosacījumiem un 8.pielikumam, ievērojot šādus nosacījumus: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MK noteikumu Nr. 222 “Ēku energoefektivitātes aprēķina metodes un ēku energosertifikācijas noteikumi” 42.punktu “Ēkas energosertifikāciju veic saskaņā ar šo noteikumu 7. pielikumā norādītajiem ēku energoefektivitātes visaptverošajiem standartiem.” Līdz ar to papildinājumi, kas ietverti 6.</w:t>
            </w:r>
            <w:r w:rsidR="00000000" w:rsidRPr="00000000" w:rsidDel="00000000">
              <w:rPr>
                <w:vertAlign w:val="superscript"/>
                <w:rtl w:val="0"/>
              </w:rPr>
              <w:t xml:space="preserve">1</w:t>
            </w:r>
            <w:r w:rsidR="00000000" w:rsidRPr="00000000" w:rsidDel="00000000">
              <w:rPr>
                <w:rtl w:val="0"/>
              </w:rPr>
              <w:t xml:space="preserve"> punkta apakšpunktos ir pretrunā ar noteikumu 42.punktu. Tādēļ noteikumu 6.</w:t>
            </w:r>
            <w:r w:rsidR="00000000" w:rsidRPr="00000000" w:rsidDel="00000000">
              <w:rPr>
                <w:vertAlign w:val="superscript"/>
                <w:rtl w:val="0"/>
              </w:rPr>
              <w:t xml:space="preserve">1</w:t>
            </w:r>
            <w:r w:rsidR="00000000" w:rsidRPr="00000000" w:rsidDel="00000000">
              <w:rPr>
                <w:rtl w:val="0"/>
              </w:rPr>
              <w:t xml:space="preserve"> punkta papildinājumus pareizāk būtu dzēst, bet tajā ietverto regulējumu (pārvērtējot un detalizēti papildinot) iekļaut noteikumu 7.pielikumā norādītajos ēku energoefektivitātes visaptverošajos standartu Nacionālajos pielikumos, ņemot vērā tādas ēku atšķirības, kā paredzētais izmantojums un no tā izrietošās telpu komforta prasības, ēkas vecums (būvniecības periods), ēkas platība, kultūrvēsturiskais statuss u.c. Šīs atšķirības ietekmē gan nepieciešamību pēc konkrētā ventilācijas, dzesēšanas, karstā ūdens, apgaismojuma pakalpojuma, gan arī to energoefektivitātes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noteikumu 6.</w:t>
            </w:r>
            <w:r w:rsidR="00000000" w:rsidRPr="00000000" w:rsidDel="00000000">
              <w:rPr>
                <w:vertAlign w:val="superscript"/>
                <w:rtl w:val="0"/>
              </w:rPr>
              <w:t xml:space="preserve">1</w:t>
            </w:r>
            <w:r w:rsidR="00000000" w:rsidRPr="00000000" w:rsidDel="00000000">
              <w:rPr>
                <w:rtl w:val="0"/>
              </w:rPr>
              <w:t xml:space="preserve"> punktā piedāvātie papildinājumi pieļauj atšķirīgu tajos ietverto nosacījumu piemērošanu un eksperti praksē tos varēs piemērot dažādi.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nedzīvojamo ēku regulējuma daļā, dzēšot pieņemto vērtību nosacījumu redakciju no grozījumiem.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Ēkas energosertifikātu var izsniegt arī, pamatojoties uz ēkas izmērītā siltumenerģijas patēriņa novērtējumu, atbilstoši šo noteikumu 6.punkta nosacījumiem un 2.</w:t>
            </w:r>
            <w:r w:rsidR="00000000" w:rsidRPr="00000000" w:rsidDel="00000000">
              <w:rPr>
                <w:vertAlign w:val="superscript"/>
                <w:rtl w:val="0"/>
              </w:rPr>
              <w:t xml:space="preserve">1</w:t>
            </w:r>
            <w:r w:rsidR="00000000" w:rsidRPr="00000000" w:rsidDel="00000000">
              <w:rPr>
                <w:rtl w:val="0"/>
              </w:rPr>
              <w:t xml:space="preserve"> pielikumam. Ja dzīvojamai ēkai nav mehāniskās ventilācijas un dzesēšanas sistēmas, piemēro mehāniskās ventilācijas enerģijas patēriņa vērtību 10 kWh/m</w:t>
            </w:r>
            <w:r w:rsidR="00000000" w:rsidRPr="00000000" w:rsidDel="00000000">
              <w:rPr>
                <w:vertAlign w:val="superscript"/>
                <w:rtl w:val="0"/>
              </w:rPr>
              <w:t xml:space="preserve">2</w:t>
            </w:r>
            <w:r w:rsidR="00000000" w:rsidRPr="00000000" w:rsidDel="00000000">
              <w:rPr>
                <w:rtl w:val="0"/>
              </w:rPr>
              <w:t xml:space="preserve"> gadā un dzesēšanas vērtību 20 kWh/m</w:t>
            </w:r>
            <w:r w:rsidR="00000000" w:rsidRPr="00000000" w:rsidDel="00000000">
              <w:rPr>
                <w:vertAlign w:val="superscript"/>
                <w:rtl w:val="0"/>
              </w:rPr>
              <w:t xml:space="preserve">2</w:t>
            </w:r>
            <w:r w:rsidR="00000000" w:rsidRPr="00000000" w:rsidDel="00000000">
              <w:rPr>
                <w:rtl w:val="0"/>
              </w:rPr>
              <w:t xml:space="preserve"> gadā ("pieņemtās sistēmas" princips).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Ekspluatācijā esošām dzīvojamām ēkām mehāniskās ventilācijas un dzesēšanas novērtējuma prasības nepiemēro, ja ēkas energosertifikātu izdod atbilstoši šo noteikumu 8.pielikumam, ievērojot 6.punkta nosacījumus un ēkas īpatnējais siltumenerģijas patēriņš apkurei atbilstoši šo noteikumu 3. pielikuma 1. tabulā norādītajiem nosacījumiem ir atbilstošs E vai F ēku energoefektivitātes klasei.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notikumu projekta punktus, kuri nosaka papildināt noteikumus ar 6.</w:t>
            </w:r>
            <w:r w:rsidR="00000000" w:rsidRPr="00000000" w:rsidDel="00000000">
              <w:rPr>
                <w:vertAlign w:val="superscript"/>
                <w:rtl w:val="0"/>
              </w:rPr>
              <w:t xml:space="preserve">1</w:t>
            </w:r>
            <w:r w:rsidR="00000000" w:rsidRPr="00000000" w:rsidDel="00000000">
              <w:rPr>
                <w:rtl w:val="0"/>
              </w:rPr>
              <w:t xml:space="preserve">, 6.</w:t>
            </w:r>
            <w:r w:rsidR="00000000" w:rsidRPr="00000000" w:rsidDel="00000000">
              <w:rPr>
                <w:vertAlign w:val="superscript"/>
                <w:rtl w:val="0"/>
              </w:rPr>
              <w:t xml:space="preserve">2</w:t>
            </w:r>
            <w:r w:rsidR="00000000" w:rsidRPr="00000000" w:rsidDel="00000000">
              <w:rPr>
                <w:rtl w:val="0"/>
              </w:rPr>
              <w:t xml:space="preserve"> un 6.</w:t>
            </w:r>
            <w:r w:rsidR="00000000" w:rsidRPr="00000000" w:rsidDel="00000000">
              <w:rPr>
                <w:vertAlign w:val="superscript"/>
                <w:rtl w:val="0"/>
              </w:rPr>
              <w:t xml:space="preserve">3</w:t>
            </w:r>
            <w:r w:rsidR="00000000" w:rsidRPr="00000000" w:rsidDel="00000000">
              <w:rPr>
                <w:rtl w:val="0"/>
              </w:rPr>
              <w:t xml:space="preserve"> punktu, jo tie ir pretrunā ar standarta  LVS EN ISO 52010-1:2017/NA:2020 nacionālais pielikuma NA.18 tabulā un NA.19 tabulā noteiktajām izvēlēm. Projektā ierosinātie papildinājumi būtu jānosaka nevis Ministru kabineta noteikumos, bet attiecīgajā standartā.  Pārskatot standartos noteiktās vērtības, jāņem vērā, ka saskaņā ar standarta LVS EN ISO 52000-1 9.1.punktā “Pieņemtās sistēmas” principu izmanto trūkstošam pakalpojumam, kuram būtu jābūt, lai nodrošinātu telpu komforta prasības, taču, gadījumos ar ventilāciju, gaisa apmaiņa var būt nodrošināta ar dabisko gaisa plūsmu, ne tikai ar mehānisko ventilāciju. Tāpat ir jāņem vērā atšķirības, ko nosaka ēku izmantojums (jeb “kategorija” NA.5.tabulā).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sanāksmes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Pārbūvējamām un atjaunojamām ēkām energosertifikāciju var neveikt, ja ēkai ir spēkā esošs ēkas energosertifikāts un ēkas atjaunošana vai pārbūve skar mazāk par 25 % no ēkas būves elementu kopējās laukuma virsmas vai kopējās pārbūves vai atjaunošanas izmaksas, kas attiecas uz norobežojošām konstrukcijām vai ēkas inženiertehniskajām sistēmām, pārsniedz 25 % no ēkas vērtības, izņemot zemes vērtību, uz kuras ēka atrodas.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pamatojums neveikt ēkām energosertifikāciju, ja pārbūves vai atjaunošanas izmaksas pārsniedz 25% no ēkas vērtības.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"Pārbūvējamām un atjaunojamām ēkām energosertifikāciju var neveikt, ja ēkai ir spēkā esošs ēkas energosertifikāts un ēkas atjaunošana vai pārbūve skar mazāk par 25 % no ēkas būves elementu kopējās laukuma virsmas vai kopējās pārbūves vai atjaunošanas izmaksas, kas attiecas uz norobežojošām konstrukcijām vai ēkas inženiertehniskajām sistēmām, nepārsniedz 25 % no būves universālās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ietverta piedāvātā redakcija (labotas pārrakstīšanās kļūdas).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Pārbūvējamām un atjaunojamām ēkām energosertifikāciju var neveikt, ja ēkai ir spēkā esošs ēkas energosertifikāts un ēkas atjaunošana vai pārbūve skar ne vairāk par 25 % no ēkas būves elementu kopējās laukuma virsmas vai kopējās pārbūves vai atjaunošanas izmaksas, kas attiecas uz norobežojošām konstrukcijām vai ēkas inženiertehniskajām sistēmām, nepārsniedz 25 % no ēkas vērtības, neskaitot zemes vērtību, uz kuras ēka atrodas.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Mehāniskās ventilācijas un dzesēšanas sistēmām piemēro “pieņemtās sistēmas” principu un dzīvojamām ēkām mehāniskās ventilācijas vērtību nosaka 6,47 kWh/m2 gadā, savukārt dzesēšanas vērtību 20 kWh/m2 gadā), ja ēkas energosertifikātu izdod atbilstoši šo noteikumu 8.pielikumam, ievērojot 6.punkta nosacījumus un ēkas īpatnējais siltumenerģijas patēriņš apkurei atbilstoši šo noteikumu 3. pielikuma 1. tabulā norādītajiem nosacījumiem ir atbilstošs vismaz D energoefektivitātes klasei.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projekta punktus, kuri nosaka papildināt noteikumus ar 6.</w:t>
            </w:r>
            <w:r w:rsidR="00000000" w:rsidRPr="00000000" w:rsidDel="00000000">
              <w:rPr>
                <w:vertAlign w:val="superscript"/>
                <w:rtl w:val="0"/>
              </w:rPr>
              <w:t xml:space="preserve">1</w:t>
            </w:r>
            <w:r w:rsidR="00000000" w:rsidRPr="00000000" w:rsidDel="00000000">
              <w:rPr>
                <w:rtl w:val="0"/>
              </w:rPr>
              <w:t xml:space="preserve">, 6.</w:t>
            </w:r>
            <w:r w:rsidR="00000000" w:rsidRPr="00000000" w:rsidDel="00000000">
              <w:rPr>
                <w:vertAlign w:val="superscript"/>
                <w:rtl w:val="0"/>
              </w:rPr>
              <w:t xml:space="preserve">2</w:t>
            </w:r>
            <w:r w:rsidR="00000000" w:rsidRPr="00000000" w:rsidDel="00000000">
              <w:rPr>
                <w:rtl w:val="0"/>
              </w:rPr>
              <w:t xml:space="preserve"> un 6.</w:t>
            </w:r>
            <w:r w:rsidR="00000000" w:rsidRPr="00000000" w:rsidDel="00000000">
              <w:rPr>
                <w:vertAlign w:val="superscript"/>
                <w:rtl w:val="0"/>
              </w:rPr>
              <w:t xml:space="preserve">3</w:t>
            </w:r>
            <w:r w:rsidR="00000000" w:rsidRPr="00000000" w:rsidDel="00000000">
              <w:rPr>
                <w:rtl w:val="0"/>
              </w:rPr>
              <w:t xml:space="preserve"> punktu, jo tie ir pretrunā ar standarta  LVS EN ISO 52010-1:2017/NA:2020 nacionālais pielikuma NA.18 tabulā un NA.19 tabulā noteiktajām izvēlēm. Projektā ierosinātie papildinājumi būtu jānosaka nevis Ministru kabineta noteikumos, bet attiecīgajā standartā.  Pārskatot standartos noteiktās vērtības, jāņem vērā, ka saskaņā ar standarta LVS EN ISO 52000-1 9.1.punktā “Pieņemtās sistēmas” principu izmanto trūkstošam pakalpojumam, kuram būtu jābūt, lai nodrošinātu telpu komforta prasības, taču, gadījumos ar ventilāciju, gaisa apmaiņa var būt nodrošināta ar dabisko gaisa plūsmu, ne tikai ar mehānisko ventilāciju. Tāpat ir jāņem vērā atšķirības, ko nosaka ēku izmantojums (jeb “kategorija” NA.5.tabulā).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sanāksmes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Ekspluatācijā esošām nedzīvojamām ēkām, ja ēkā nav mehāniskās ventilācijas un dzesēšanas sistēmas, tad piemēro “pieņemtās sistēmas” principu un biroja ēku kategorijas ēkām paredz dzesēšanas enerģijas patēriņu 30 kWh/m2 gadā (ar nosacījumu, ka gaismu caurlaidīgo virsmu īpatsvars pārsniedz 20 % no katra stāva apkurināmās grīdas platības), bet pārējām ēku kategorijām – 20 kWh/m2 gadā (ar nosacījumu, ka gaismu caurlaidīgo virsmu īpatsvars pārsniedz 15 % no katra stāva apkurināmās grīdas platības), savukārt mehāniskās ventilācijas vērtību nosaka 6,5 kWh/m2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projekta punktus, kuri nosaka papildināt noteikumus ar 6.</w:t>
            </w:r>
            <w:r w:rsidR="00000000" w:rsidRPr="00000000" w:rsidDel="00000000">
              <w:rPr>
                <w:vertAlign w:val="superscript"/>
                <w:rtl w:val="0"/>
              </w:rPr>
              <w:t xml:space="preserve">1</w:t>
            </w:r>
            <w:r w:rsidR="00000000" w:rsidRPr="00000000" w:rsidDel="00000000">
              <w:rPr>
                <w:rtl w:val="0"/>
              </w:rPr>
              <w:t xml:space="preserve">, 6.</w:t>
            </w:r>
            <w:r w:rsidR="00000000" w:rsidRPr="00000000" w:rsidDel="00000000">
              <w:rPr>
                <w:vertAlign w:val="superscript"/>
                <w:rtl w:val="0"/>
              </w:rPr>
              <w:t xml:space="preserve">2</w:t>
            </w:r>
            <w:r w:rsidR="00000000" w:rsidRPr="00000000" w:rsidDel="00000000">
              <w:rPr>
                <w:rtl w:val="0"/>
              </w:rPr>
              <w:t xml:space="preserve"> un 6.</w:t>
            </w:r>
            <w:r w:rsidR="00000000" w:rsidRPr="00000000" w:rsidDel="00000000">
              <w:rPr>
                <w:vertAlign w:val="superscript"/>
                <w:rtl w:val="0"/>
              </w:rPr>
              <w:t xml:space="preserve">3</w:t>
            </w:r>
            <w:r w:rsidR="00000000" w:rsidRPr="00000000" w:rsidDel="00000000">
              <w:rPr>
                <w:rtl w:val="0"/>
              </w:rPr>
              <w:t xml:space="preserve"> punktu, jo tie ir pretrunā ar standarta  LVS EN ISO 52010-1:2017/NA:2020 nacionālais pielikuma NA.18 tabulā un NA.19 tabulā noteiktajām izvēlēm. Projektā ierosinātie papildinājumi būtu jānosaka nevis Ministru kabineta noteikumos, bet attiecīgajā standartā.  Pārskatot standartos noteiktās vērtības, jāņem vērā, ka saskaņā ar standarta LVS EN ISO 52000-1 9.1.punktā “Pieņemtās sistēmas” principu izmanto trūkstošam pakalpojumam, kuram būtu jābūt, lai nodrošinātu telpu komforta prasības, taču, gadījumos ar ventilāciju, gaisa apmaiņa var būt nodrošināta ar dabisko gaisa plūsmu, ne tikai ar mehānisko ventilāciju. Tāpat ir jāņem vērā atšķirības, ko nosaka ēku izmantojums (jeb “kategorija” NA.5.tabulā).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sanāksmes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Ēkām, kuras ir nodotas ekspluatācijā, bet kurām nav pieejami enerģijas patēriņa dati, novērtējumā apkures, karstā ūdens sagatavošanas, mehāniskās ventilācijas, apgaismojuma (piemēro nedzīvojamām ēkām) un dzesēšanas energoefektivitātes rādītāji jāpieņem atbilstoši standarta LVS EN ISO 52000-1:2017/NA:2020 "Ēku energoefektivitāte. Vispārējs ēku energoefektivitātes novērtējums. 1. daļa: Vispārīgas pamatnostādnes un procedūras (ISO 52000-1:2017). Nacionālais pielikums"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noteikumu 7.</w:t>
            </w:r>
            <w:r w:rsidR="00000000" w:rsidRPr="00000000" w:rsidDel="00000000">
              <w:rPr>
                <w:vertAlign w:val="superscript"/>
                <w:rtl w:val="0"/>
              </w:rPr>
              <w:t xml:space="preserve">1</w:t>
            </w:r>
            <w:r w:rsidR="00000000" w:rsidRPr="00000000" w:rsidDel="00000000">
              <w:rPr>
                <w:rtl w:val="0"/>
              </w:rPr>
              <w:t xml:space="preserve"> punkts jāprecizē, jo standartā LVS EN ISO 52000-1:2017/NA:2020 nav noteikti energoefektivitātes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Ēkām, kuras ir nodotas ekspluatācijā, bet kurām nav pieejami enerģijas patēriņa dati, energoefektivitātes rādītājus var novērtēt, pamatojoties uz aprēķiniem un ēkas būvelementu un uzstādīto inženiersistēmu faktisko stāvokli un piemērojot pieņemtās sistēmas principu attiecībā uz trūkstošiem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Ēkām, kuras ir nodotas ekspluatācijā, bet kurām nav pieejami enerģijas patēriņa dati, novērtējumā apkures, karstā ūdens sagatavošanas, mehāniskās ventilācijas, apgaismojuma (piemēro nedzīvojamām ēkām) un dzesēšanas energoefektivitātes rādītāji jāpieņem atbilstoši standarta LVS EN ISO 52000-1:2017/NA:2020 "Ēku energoefektivitāte. Vispārējs ēku energoefektivitātes novērtējums. 1. daļa: Vispārīgas pamatnostādnes un procedūras (ISO 52000-1:2017). Nacionālais pielikums"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punkts nav attiecināms uz ES fondu un finanšu instrumentu atbalsta projektiem. Saredzam risku, ka ar piedāvāto MK noteikumu punkta redakciju tiek legalizēta graustu, t.sk. valsts graustu energoefektivitātes paaugstināšana, piesaistot ES fondu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Ēkas energosertifikātam, kas izsniegts, pamatojoties tikai uz ēkas izmērītās energoefektivitātes novērtējumu, pievieno: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25.punktu piedāvātajā redakcijā, nosakot 6.punktā minētajam ēkas energosertifikātam pievienojamos pielikumus. Papildus nepieciešams grozīt 26.punktu, nosakot ēkas pagaidu energosertifikāta pielikumu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25.punktu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Ēkas energosertifikātam, kas izsniegts, pamatojoties tikai uz ēkas izmērītās energoefektivitātes novērtējumu, pievieno: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enerģijas patēriņa datus, kas pamatoti ar izmērītajiem piegādātās un eksportētās enerģijas daudzumiem;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apkures sistēmu un gaisa kondicionēšanas sistēmu pārbaudes aktus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pielikumu, kurā norāda aprēķinos izmantotās ievaddatu vērtības, norādot datu iegūšanas veidu un datu avotu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Ēkas pagaidu energosertifikātam pievieno pielikumu, kurā norāda aprēķinos izmantotās ievaddatu vērtības, norādot datu iegūšanas veidu un datu avotu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telpu vai zonu nosaukumus, izmantošanas veidus, platības un temperatūras apkures un dzesēšanas periodos, pieprasītās gaisa apmaiņas rādītāju un apgaismojuma rādītāju novērtējumā izmantotās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ēkā izmantoto inženiersistēmu novērtējumā izmantotās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vērtības, kas pieņemtas, lai ievērotu ēkas energoefektivitāti ietekmējošus faktorus;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klimatisko apstākļu korekcijai un aprēķinu precizēšanai izmantotos koeficientus;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citus dokumentus un ievaddatus, kas sniedz papildu informāciju par ēkas energoefektivitātes novērtējumu, vērtēšanas apstākļiem vai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par nosacījumu atstāšanu spēkā esošajā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Ēkas energosertifikātam, kas izsniegts, pamatojoties tikai uz ēkas izmērītās energoefektivitātes novērtējumu, pievieno: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veicot ēkas energosertifikāciju (izņemot šo noteikumu 6., 6</w:t>
            </w:r>
            <w:r w:rsidR="00000000" w:rsidRPr="00000000" w:rsidDel="00000000">
              <w:rPr>
                <w:vertAlign w:val="superscript"/>
                <w:rtl w:val="0"/>
              </w:rPr>
              <w:t xml:space="preserve">1</w:t>
            </w:r>
            <w:r w:rsidR="00000000" w:rsidRPr="00000000" w:rsidDel="00000000">
              <w:rPr>
                <w:rtl w:val="0"/>
              </w:rPr>
              <w:t xml:space="preserve">, 6</w:t>
            </w:r>
            <w:r w:rsidR="00000000" w:rsidRPr="00000000" w:rsidDel="00000000">
              <w:rPr>
                <w:vertAlign w:val="superscript"/>
                <w:rtl w:val="0"/>
              </w:rPr>
              <w:t xml:space="preserve">2</w:t>
            </w:r>
            <w:r w:rsidR="00000000" w:rsidRPr="00000000" w:rsidDel="00000000">
              <w:rPr>
                <w:rtl w:val="0"/>
              </w:rPr>
              <w:t xml:space="preserve">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iebildumus par noteikumu 6.</w:t>
            </w:r>
            <w:r w:rsidR="00000000" w:rsidRPr="00000000" w:rsidDel="00000000">
              <w:rPr>
                <w:vertAlign w:val="superscript"/>
                <w:rtl w:val="0"/>
              </w:rPr>
              <w:t xml:space="preserve">1</w:t>
            </w:r>
            <w:r w:rsidR="00000000" w:rsidRPr="00000000" w:rsidDel="00000000">
              <w:rPr>
                <w:rtl w:val="0"/>
              </w:rPr>
              <w:t xml:space="preserve">,  6.</w:t>
            </w:r>
            <w:r w:rsidR="00000000" w:rsidRPr="00000000" w:rsidDel="00000000">
              <w:rPr>
                <w:vertAlign w:val="superscript"/>
                <w:rtl w:val="0"/>
              </w:rPr>
              <w:t xml:space="preserve">2</w:t>
            </w:r>
            <w:r w:rsidR="00000000" w:rsidRPr="00000000" w:rsidDel="00000000">
              <w:rPr>
                <w:rtl w:val="0"/>
              </w:rPr>
              <w:t xml:space="preserve"> un 6.</w:t>
            </w:r>
            <w:r w:rsidR="00000000" w:rsidRPr="00000000" w:rsidDel="00000000">
              <w:rPr>
                <w:vertAlign w:val="superscript"/>
                <w:rtl w:val="0"/>
              </w:rPr>
              <w:t xml:space="preserve">3</w:t>
            </w:r>
            <w:r w:rsidR="00000000" w:rsidRPr="00000000" w:rsidDel="00000000">
              <w:rPr>
                <w:rtl w:val="0"/>
              </w:rPr>
              <w:t xml:space="preserve"> punktu, lūdzam svītrot noteikumu projekta 8.punktā ietverto noteikumu 31.1.apakšpunkta redakciju.  Noteikumu 31.1. apakšpunkts saglabājams šobrīd spēkā esošajā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sanāksmes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veicot ēkas energosertifikāciju (izņemot šo noteikumu 6., 6</w:t>
            </w:r>
            <w:r w:rsidR="00000000" w:rsidRPr="00000000" w:rsidDel="00000000">
              <w:rPr>
                <w:vertAlign w:val="superscript"/>
                <w:rtl w:val="0"/>
              </w:rPr>
              <w:t xml:space="preserve">1</w:t>
            </w:r>
            <w:r w:rsidR="00000000" w:rsidRPr="00000000" w:rsidDel="00000000">
              <w:rPr>
                <w:rtl w:val="0"/>
              </w:rPr>
              <w:t xml:space="preserve">, 6</w:t>
            </w:r>
            <w:r w:rsidR="00000000" w:rsidRPr="00000000" w:rsidDel="00000000">
              <w:rPr>
                <w:vertAlign w:val="superscript"/>
                <w:rtl w:val="0"/>
              </w:rPr>
              <w:t xml:space="preserve">2</w:t>
            </w:r>
            <w:r w:rsidR="00000000" w:rsidRPr="00000000" w:rsidDel="00000000">
              <w:rPr>
                <w:rtl w:val="0"/>
              </w:rPr>
              <w:t xml:space="preserve">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iebildumus par noteikumu 6.</w:t>
            </w:r>
            <w:r w:rsidR="00000000" w:rsidRPr="00000000" w:rsidDel="00000000">
              <w:rPr>
                <w:vertAlign w:val="superscript"/>
                <w:rtl w:val="0"/>
              </w:rPr>
              <w:t xml:space="preserve">1</w:t>
            </w:r>
            <w:r w:rsidR="00000000" w:rsidRPr="00000000" w:rsidDel="00000000">
              <w:rPr>
                <w:rtl w:val="0"/>
              </w:rPr>
              <w:t xml:space="preserve">,  6.</w:t>
            </w:r>
            <w:r w:rsidR="00000000" w:rsidRPr="00000000" w:rsidDel="00000000">
              <w:rPr>
                <w:vertAlign w:val="superscript"/>
                <w:rtl w:val="0"/>
              </w:rPr>
              <w:t xml:space="preserve">2</w:t>
            </w:r>
            <w:r w:rsidR="00000000" w:rsidRPr="00000000" w:rsidDel="00000000">
              <w:rPr>
                <w:rtl w:val="0"/>
              </w:rPr>
              <w:t xml:space="preserve"> un 6.</w:t>
            </w:r>
            <w:r w:rsidR="00000000" w:rsidRPr="00000000" w:rsidDel="00000000">
              <w:rPr>
                <w:vertAlign w:val="superscript"/>
                <w:rtl w:val="0"/>
              </w:rPr>
              <w:t xml:space="preserve">3</w:t>
            </w:r>
            <w:r w:rsidR="00000000" w:rsidRPr="00000000" w:rsidDel="00000000">
              <w:rPr>
                <w:rtl w:val="0"/>
              </w:rPr>
              <w:t xml:space="preserve"> punktu, lūdzam svītrot noteikumu projekta 9.punktā ietverto noteikumu 36.1.apakšpunkta redakciju.  Noteikumu 36.1. apakšpunkts saglabājams šobrīd spēkā esošajā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sanāksmes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veicot ēkas energosertifikāciju (šo noteikumu 6. un 6.</w:t>
            </w:r>
            <w:r w:rsidR="00000000" w:rsidRPr="00000000" w:rsidDel="00000000">
              <w:rPr>
                <w:vertAlign w:val="superscript"/>
                <w:rtl w:val="0"/>
              </w:rPr>
              <w:t xml:space="preserve">1</w:t>
            </w:r>
            <w:r w:rsidR="00000000" w:rsidRPr="00000000" w:rsidDel="00000000">
              <w:rPr>
                <w:rtl w:val="0"/>
              </w:rPr>
              <w:t xml:space="preserve"> punktā minētajā gadījumā - tikai pēc pasūtītāja pieprasījuma);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ekonomiski pamatotiem ēkas norobežojošo konstrukciju un inženiersistēmu energoefektivitāti uzlabojošiem pasākumiem, kuru īstenošanas izmaksas ir rentablas paredzamajā (plānotajā) kalpošanas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1.pielikumā pārstrādāt tabulu “2. Ēkas energoefektivitātes rādītāji un ieteikumu salīdzinājums”, jo tajā ir virkne pretrunu ar ēku energoefektivitātes standartiem, kā arī tā nav pielāgota dažādām noteikumos un standartos izmantojamām ēkas energoefektivitātes novērtēšanas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sanāksmes ietvaros. Tiks virzīts atsevišķš Noteikumu grozījumu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energosertifikāta (izsniegts, pamatojoties uz ēkas izmērītās energoefektivitātes novērtējumu) veidlapas paraugs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 un 5. pielikuma tabulas “NOVĒRTĒJUMĀ IZMANTOTIE PRIMĀRĀS ENERĢIJAS FAKTORI UN CO</w:t>
            </w:r>
            <w:r w:rsidR="00000000" w:rsidRPr="00000000" w:rsidDel="00000000">
              <w:rPr>
                <w:vertAlign w:val="subscript"/>
                <w:rtl w:val="0"/>
              </w:rPr>
              <w:t xml:space="preserve">2</w:t>
            </w:r>
            <w:r w:rsidR="00000000" w:rsidRPr="00000000" w:rsidDel="00000000">
              <w:rPr>
                <w:rtl w:val="0"/>
              </w:rPr>
              <w:t xml:space="preserve"> KOEFICIENTI” nesniedz patērētājam vai ekspertiem lietderīgu un saprotamu informāciju, tādēļ būtu jāaizstāj ar tabulu "NOVĒRTĒJUMĀ IZMANTOTIE PRIMĀRĀS ENERĢIJAS FAKTORI UN CO</w:t>
            </w:r>
            <w:r w:rsidR="00000000" w:rsidRPr="00000000" w:rsidDel="00000000">
              <w:rPr>
                <w:vertAlign w:val="subscript"/>
                <w:rtl w:val="0"/>
              </w:rPr>
              <w:t xml:space="preserve">2</w:t>
            </w:r>
            <w:r w:rsidR="00000000" w:rsidRPr="00000000" w:rsidDel="00000000">
              <w:rPr>
                <w:rtl w:val="0"/>
              </w:rPr>
              <w:t xml:space="preserve"> KOEFICIENTI UN ENERGOSNIEGUMA RĀDĪTĀJI", ar šādiem kolonnu nosaukumiem: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Energonesējs un enerģijas lietojums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Nepieciešamā enerģija (kWh/m</w:t>
            </w:r>
            <w:r w:rsidR="00000000" w:rsidRPr="00000000" w:rsidDel="00000000">
              <w:rPr>
                <w:vertAlign w:val="superscript"/>
                <w:rtl w:val="0"/>
              </w:rPr>
              <w:t xml:space="preserve">2</w:t>
            </w:r>
            <w:r w:rsidR="00000000" w:rsidRPr="00000000" w:rsidDel="00000000">
              <w:rPr>
                <w:rtl w:val="0"/>
              </w:rPr>
              <w:t xml:space="preserve">/gadā);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Energonesēja un efektivitātes koeficients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Energonesēja piegādātā enerģija (kWh/m</w:t>
            </w:r>
            <w:r w:rsidR="00000000" w:rsidRPr="00000000" w:rsidDel="00000000">
              <w:rPr>
                <w:vertAlign w:val="superscript"/>
                <w:rtl w:val="0"/>
              </w:rPr>
              <w:t xml:space="preserve">2</w:t>
            </w:r>
            <w:r w:rsidR="00000000" w:rsidRPr="00000000" w:rsidDel="00000000">
              <w:rPr>
                <w:rtl w:val="0"/>
              </w:rPr>
              <w:t xml:space="preserve">/gadā)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5.,6.,7., Primārās enerģijas faktors f un energosnieguma rādītājs (kWh/m</w:t>
            </w:r>
            <w:r w:rsidR="00000000" w:rsidRPr="00000000" w:rsidDel="00000000">
              <w:rPr>
                <w:vertAlign w:val="subscript"/>
                <w:rtl w:val="0"/>
              </w:rPr>
              <w:t xml:space="preserve">2</w:t>
            </w:r>
            <w:r w:rsidR="00000000" w:rsidRPr="00000000" w:rsidDel="00000000">
              <w:rPr>
                <w:rtl w:val="0"/>
              </w:rPr>
              <w:t xml:space="preserve">/gadā):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 5. neatjaunojamo energoresursu daļa; 6. atjaunojamo energoresursu daļa; 7.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CO</w:t>
            </w:r>
            <w:r w:rsidR="00000000" w:rsidRPr="00000000" w:rsidDel="00000000">
              <w:rPr>
                <w:vertAlign w:val="subscript"/>
                <w:rtl w:val="0"/>
              </w:rPr>
              <w:t xml:space="preserve">2</w:t>
            </w:r>
            <w:r w:rsidR="00000000" w:rsidRPr="00000000" w:rsidDel="00000000">
              <w:rPr>
                <w:rtl w:val="0"/>
              </w:rPr>
              <w:t xml:space="preserve"> emisijas faktors, kg CO</w:t>
            </w:r>
            <w:r w:rsidR="00000000" w:rsidRPr="00000000" w:rsidDel="00000000">
              <w:rPr>
                <w:vertAlign w:val="subscript"/>
                <w:rtl w:val="0"/>
              </w:rPr>
              <w:t xml:space="preserve">2</w:t>
            </w:r>
            <w:r w:rsidR="00000000" w:rsidRPr="00000000" w:rsidDel="00000000">
              <w:rPr>
                <w:rtl w:val="0"/>
              </w:rPr>
              <w:t xml:space="preserve">/MWh; CO</w:t>
            </w:r>
            <w:r w:rsidR="00000000" w:rsidRPr="00000000" w:rsidDel="00000000">
              <w:rPr>
                <w:vertAlign w:val="subscript"/>
                <w:rtl w:val="0"/>
              </w:rPr>
              <w:t xml:space="preserve">2</w:t>
            </w:r>
            <w:r w:rsidR="00000000" w:rsidRPr="00000000" w:rsidDel="00000000">
              <w:rPr>
                <w:rtl w:val="0"/>
              </w:rPr>
              <w:t xml:space="preserve"> emisijas, kgCO</w:t>
            </w:r>
            <w:r w:rsidR="00000000" w:rsidRPr="00000000" w:rsidDel="00000000">
              <w:rPr>
                <w:vertAlign w:val="subscript"/>
                <w:rtl w:val="0"/>
              </w:rPr>
              <w:t xml:space="preserve">2</w:t>
            </w:r>
            <w:r w:rsidR="00000000" w:rsidRPr="00000000" w:rsidDel="00000000">
              <w:rPr>
                <w:rtl w:val="0"/>
              </w:rPr>
              <w:t xml:space="preserve">/m</w:t>
            </w:r>
            <w:r w:rsidR="00000000" w:rsidRPr="00000000" w:rsidDel="00000000">
              <w:rPr>
                <w:vertAlign w:val="superscript"/>
                <w:rtl w:val="0"/>
              </w:rPr>
              <w:t xml:space="preserve">2</w:t>
            </w:r>
            <w:r w:rsidR="00000000" w:rsidRPr="00000000" w:rsidDel="00000000">
              <w:rPr>
                <w:rtl w:val="0"/>
              </w:rPr>
              <w:t xml:space="preserve">/gadā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 1. kolonnas sekojošas rindas: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__________</w:t>
            </w:r>
            <w:r w:rsidR="00000000" w:rsidRPr="00000000" w:rsidDel="00000000">
              <w:rPr>
                <w:rtl w:val="0"/>
              </w:rPr>
              <w:t xml:space="preserve">**): (aizpildāmi lauki 5.-8. kolonnā)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Apkure (aizpildāmi lauki visās kolonās)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Karstā ūdens sagatavošana (aizpildāmi lauki visās kolonās)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Elektroenerģija no tīkla</w:t>
            </w:r>
            <w:r w:rsidR="00000000" w:rsidRPr="00000000" w:rsidDel="00000000">
              <w:rPr>
                <w:rtl w:val="0"/>
              </w:rPr>
              <w:t xml:space="preserve">: (aizpildāmi lauki 5.-8. kolonnā)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Apkure (aizpildāmi lauki visās kolonās)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Karstā ūdens sagatavošana (aizpildāmi lauki visās kolonās)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Mehāniskā ventilācija (aizpildāmi lauki visās kolonās)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Apgaismojums (aizpildāmi lauki visās kolonās)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Dzesēšana (aizpildāmi lauki visās kolonās)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Kopā </w:t>
            </w:r>
            <w:r w:rsidR="00000000" w:rsidRPr="00000000" w:rsidDel="00000000">
              <w:rPr>
                <w:rtl w:val="0"/>
              </w:rPr>
              <w:t xml:space="preserve">: (aizpildāmi lauki 5.-8. kolonnā)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Koeficients, kurš ietver ražošanas un sadales zudumus vai ražošanas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Viens vai vairāki energonesēji ēkas siltumapgādei. Tabula papildināma, ja ēkai ir vairāki energonesēji, kā arī uz vietas ražotās, patērētās un eksportētās enerģijas atspoguļošanai.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sanāksmes ietvaros. Tiks virzīts atsevišķš Noteikumu grozījumu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Ēku energoefektivitātes enerģijas patēriņa līmeņi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3.pielikumā aiz 1.tabulas papildināt ar piezīmi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energoefektivitātes apkures patēriņa references līmeņi neietver papildu elektroenerģiju apkurei”.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3.pielikumā aiz 1.tabulas papildināt ar piezīmi šādā redakcijā:“Ēku energoefektivitātes apkures patēriņa references līmeņi neietver papildu elektroenerģiju apkurei”.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sanāksmes ietvaros. Tiks virzīts atsevišķš Noteikumu grozījumu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3.pielikums nosaka ēku energoefektivitātes klases pēc enerģijas patēriņa līmeņa noteiktiem ēku veidiem. Taču noteikumos pielikumā iztrūkst klasificējums tādiem daudzos gadījumos apsildāmu ēku veidiem ar klasificējumu: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1261 Ēkas plašizklaides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1262 Muzeji un bibliotēkas.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Latvijā daudzas apkurināmas ēkas nereti klasificētas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1241 Sakaru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1242 Garāžu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1251 Rūpnieciskās ražošanas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1274 Citas, iepriekš neklasificētas,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Šiem ēku veidiem noteikumos nav noteiktas energoefektivitātes klases, kā arī sarežģījumus pareizai datu ievadīšanā Būvniecības informācijas sistēmā BIS.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3.pielikumu papildināt ar regulējumu visu ēku veidu klasificēšanai pēc enerģijas patēriņa līmeņa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sanāksmes ietvaros. Tiks virzīts atsevišķš Noteikumu grozījumu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pagaidu energosertifikāta veidlapas paraugs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 un 5. pielikuma tabulas “NOVĒRTĒJUMĀ IZMANTOTIE PRIMĀRĀS ENERĢIJAS FAKTORI UN CO2 KOEFICIENTI” nesniedz patērētājam vai ekspertiem lietderīgu un saprotamu informāciju, tādēļ būtu jāaizstāj ar tabulu "NOVĒRTĒJUMĀ IZMANTOTIE PRIMĀRĀS ENERĢIJAS FAKTORI UN CO2 KOEFICIENTI UN ENERGOSNIEGUMA RĀDĪTĀJI", ar šādiem kolonnu nosaukumiem: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Energonesējs un enerģijas lietojums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Nepieciešamā enerģija (kWh/m2/gadā);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Energonesēja un efektivitātes koeficients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Energonesēja piegādātā enerģija (kWh/m2/gadā)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5.,6.,7., Primārās enerģijas faktors f un energosnieguma rādītājs (kWh/m2/gadā):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 5. neatjaunojamo energoresursu daļa; 6. atjaunojamo energoresursu daļa; 7.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CO2 emisijas faktors, kg CO2/MWh; CO2 emisijas, kgCO2/m2/gadā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 1. kolonnas sekojošas rindas: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 (aizpildāmi lauki 5.-8. kolonnā)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Apkure (aizpildāmi lauki visās kolonās)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Karstā ūdens sagatavošana (aizpildāmi lauki visās kolonās)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 no tīkla: (aizpildāmi lauki 5.-8. kolonnā)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Apkure (aizpildāmi lauki visās kolonās)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Karstā ūdens sagatavošana (aizpildāmi lauki visās kolonās)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Mehāniskā ventilācija (aizpildāmi lauki visās kolonās)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Apgaismojums (aizpildāmi lauki visās kolonās)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Dzesēšana (aizpildāmi lauki visās kolonās)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 (aizpildāmi lauki 5.-8. kolonnā)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Koeficients, kurš ietver ražošanas un sadales zudumus vai ražošanas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Viens vai vairāki energonesēji ēkas siltumapgādei. Tabula papildināma, ja ēkai ir vairāki energonesēji, kā arī uz vietas ražotās, patērētās un eksportētās enerģijas atspoguļošanai.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sanāksmes ietvaros. Tiks virzīts atsevišķš Noteikumu grozījumu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energosertifikāta veidlapas paraugs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 un 5. pielikuma tabulas “NOVĒRTĒJUMĀ IZMANTOTIE PRIMĀRĀS ENERĢIJAS FAKTORI UN CO2 KOEFICIENTI” nesniedz patērētājam vai ekspertiem lietderīgu un saprotamu informāciju, tādēļ būtu jāaizstāj ar tabulu "NOVĒRTĒJUMĀ IZMANTOTIE PRIMĀRĀS ENERĢIJAS FAKTORI UN CO2 KOEFICIENTI UN ENERGOSNIEGUMA RĀDĪTĀJI", ar šādiem kolonnu nosaukumiem: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Energonesējs un enerģijas lietojums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Nepieciešamā enerģija (kWh/m2/gadā);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Energonesēja un efektivitātes koeficients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Energonesēja piegādātā enerģija (kWh/m2/gadā)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5.,6.,7., Primārās enerģijas faktors f un energosnieguma rādītājs (kWh/m2/gadā):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 5. neatjaunojamo energoresursu daļa; 6. atjaunojamo energoresursu daļa; 7.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CO2 emisijas faktors, kg CO2/MWh; CO2 emisijas, kgCO2/m2/gadā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 1. kolonnas sekojošas rindas: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 (aizpildāmi lauki 5.-8. kolonnā)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Apkure (aizpildāmi lauki visās kolonās)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Karstā ūdens sagatavošana (aizpildāmi lauki visās kolonās)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 no tīkla: (aizpildāmi lauki 5.-8. kolonnā)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Apkure (aizpildāmi lauki visās kolonās)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Karstā ūdens sagatavošana (aizpildāmi lauki visās kolonās)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Mehāniskā ventilācija (aizpildāmi lauki visās kolonās)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Apgaismojums (aizpildāmi lauki visās kolonās)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Dzesēšana (aizpildāmi lauki visās kolonās)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 (aizpildāmi lauki 5.-8. kolonnā)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Koeficients, kurš ietver ražošanas un sadales zudumus vai ražošanas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Viens vai vairāki energonesēji ēkas siltumapgādei. Tabula papildināma, ja ēkai ir vairāki energonesēji, kā arī uz vietas ražotās, patērētās un eksportētās enerģijas atspoguļošanai.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sanāksmes ietvaros. Tiks virzīts atsevišķš Noteikumu grozījumu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pielikuma tabula “NOVĒRTĒJUMĀ IZMANTOTIE PRIMĀRĀS ENERĢIJAS FAKTORI UN CO2 KOEFICIENTI” nesniedz patērētājam vai ekspertiem lietderīgu un saprotamu informāciju, tādēļ būtu jāaizstāj ar tabulu "NOVĒRTĒJUMĀ IZMANTOTIE PRIMĀRĀS ENERĢIJAS FAKTORI UN CO2 KOEFICIENTI UN ENERGOSNIEGUMA RĀDĪTĀJI", ar šādiem kolonnu nosaukumiem: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Energonesējs un enerģijas lietojums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Nepieciešamā enerģija (kWh/m2/gadā);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Energonesēja un efektivitātes koeficients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Energonesēja piegādātā enerģija (kWh/m2/gadā)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5.,6.,7., Primārās enerģijas faktors f un energosnieguma rādītājs (kWh/m2/gadā):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 5. neatjaunojamo energoresursu daļa; 6. atjaunojamo energoresursu daļa; 7.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CO2 emisijas faktors, kg CO2/MWh; CO2 emisijas, kgCO2/m2/gadā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 1. kolonnas sekojošas rindas: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 (aizpildāmi lauki 5.-8. kolonnā)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Apkure (aizpildāmi lauki visās kolonās)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Karstā ūdens sagatavošana (aizpildāmi lauki visās kolonās)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 no tīkla: (aizpildāmi lauki 5.-8. kolonnā)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Apkure (aizpildāmi lauki visās kolonās)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Karstā ūdens sagatavošana (aizpildāmi lauki visās kolonās)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Mehāniskā ventilācija (aizpildāmi lauki visās kolonās)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Apgaismojums (aizpildāmi lauki visās kolonās)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Dzesēšana (aizpildāmi lauki visās kolonās)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 (aizpildāmi lauki 5.-8. kolonnā)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Koeficients, kurš ietver ražošanas un sadales zudumus vai ražošanas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Viens vai vairāki energonesēji ēkas siltumapgādei. Tabula papildināma, ja ēkai ir vairāki energonesēji, kā arī uz vietas ražotās, patērētās un eksportētās enerģijas atspoguļošanai.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sanāksmes ietvaros. Tiks virzīts atsevišķš Noteikumu grozījumu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2021. gada 8. aprīļa noteikumu Nr. 222 "Ēku energoefektivitātes aprēķina metodes un ēku energosertifikācijas noteikumi"" sākotnējās ietekmes (ex-ante) novērtējuma ziņojuma (anotācija) risinājuma aprakstā norādīts: “(..) Atbilstoši Pašvaldības likuma 4.panta pirmās daļas 10.punktam viena no pašvaldības autonomajām funkcijām ir veicināt dzīvojamā fonda uzturēšanu un modernizēšanu. (..) Pēc grozījumu apstiprināšanas, pamatojoties uz iepriekšminētajiem apkures patēriņa datiem, Rīgas pašvaldībai uzreiz būs iespējams, ievērojot Pašvaldības likumā piešķirto autonomo funkciju, īstenot pašvaldības iniciatīvu, izsniedzot pašvaldības teritorijā esošām daudzdzīvokļu ēkām ēkas energosertifikātus. Šāda precedenta pieredze kalpos par labās prakses piemēru citām Latvijas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Ministru kabineta noteikumu projekta regulējums neregulē pašvaldību tiesības, tādējādi lūdzam izvērtēt nepieciešamību minēto informāciju norādīt Ministru kabineta noteikumu anotācijā vai papildināt anotāciju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Ēku energoefektivitātes likuma 13. panta otro daļu ēkas īpašnieks normatīvajos aktos noteiktajā kārtībā un apmērā ir tiesīgs saņemt Eiropas Savienības fondu, valsts un pašvaldību līdzfinansējumu ēkas energosertifikācijai, kā arī ēkas energoefektivitātes uzlabošanas pasākumiem. Tādējādi pašvaldība ir tiesīga vien līdzfinansēt ēkas energosertifikāciju. Savukārt attiecībā uz pašvaldības iestādes rīcību, sniedzot pakalpojumus, kas pieejami tirgū, norādām uz Konkurences likuma 14.1 pantā noteikto pienākumu nodrošināt brīvu un godīgu konkurenci.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Aicinām ievērot arī pieraksta formu veidu ("Eiropas Parlamenta un Padomes 2024. gada 24. aprīlļa Direktīva (ES) 2024/1275 par ēku energosniegumu").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ievērot juridiskās tehnikas prasības attiecībā uz to, ka nepieciešamības gadījumā saīsinājumu atrunā pirmajā vietā juridiskajā tekstā, kur lietots attiecīgā normatīvā akta nosaukums, tādā veidā izvairoties no vispārinātām atsaucēm uz normatīvajiem aktiem, piemēram, "Taksonomijas regula".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Dzēsta atsauce uz ES regulējumu.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iesakām pārskatīt anotācijas 5. sadaļu ņemot vērā, ka atbilstoši Ministru kabineta 2021. gada 8. aprīļa noteikumu Nr. 222 "Ēku energoefektivitātes aprēķina metodes un ēku energosertifikācijas noteikumi" (turpmāk - noteikumi Nr. 222) anotācijai iepriekš ar grozījumiem pakļautajiem noteikumu Nr. 222 punktiem ir pārņemts, piemēram, Eiropas Parlamenta un Padomes 2018. gada 30. maija Direktīvas (ES) 2018/844, ar ko groza Direktīvu 2010/31/ES par ēku energoefektivitāti un Direktīvu 2012/27/ES par energoefektivitāti, 14. panta 1. punkts (noteikumu Nr. 222 31.1. apakšpunkts). Attiecīgi lūdzam pārskatīt projektu un izvērtēt, vai uz to attiecināmās, šī projekta anotācijā nenorādītās (iepriekš pārņemtās) Eiropas Savienības tiesību normas joprojām ir attiecināmas. Šādā gadījumā, iesakām papildināt anotācijas 5.4. apakšsadaļu ar norādēm uz Eiropas Savienības tiesību normām vai, piemēram, 5.3. apakšsadaļā norādīt, ka līdz šim pārņemtās vai ieviestās, no Eiropas Savienības tiesību normām  izrietošās prasības netiek mainītas, ietekmētas.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iekļaujot norādi, ka līdz šim pārņemtās vai ieviestās, no Eiropas Savienības tiesību normām  izrietošās prasības netiek mainītas vai ietekmētas.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5. sadaļu ņemot vērā, ka atbilstoši noteikumu Nr. 222  anotācijai iepriekš, ar projektā grozījumiem pakļautajiem punktiem, ir pārņemts, piemēram, Eiropas Parlamenta un Padomes 2018. gada 30. maija Direktīvas (ES) 2018/844, ar ko groza Direktīvu 2010/31/ES par ēku energoefektivitāti un Direktīvu 2012/27/ES par energoefektivitāti 14.panta pirmais punkts. Attiecīgi lūdzam pārskatīt projektu un izvērtēt, vai uz to attiecināmās, šī projekta anotācijā nenorādītās (iepriekš pārņemtās vai ieviestās), Eiropas Savienības tiesību normas joprojām ir attiecināmas. Šādā gadījumā, iesakām papildināt anotācijas 5.4. apakšsadaļu ar norādēm uz Eiropas Savienības tiesību normām vai, piemēram, 5.3. apakšsadaļā norādīt, ka līdz šim pārņemtās vai ieviestās, no Eiropas Savienības tiesību normām  izrietošās prasības netiek mainītas, ietekmētas vai nepārņemtas.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Dzēsta atsauce uz ES regulējumu.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ēkas aprēķinātās energoefektivitātes novērtējumu, kas iegūts, pamatojoties uz aprēķiniem par enerģijas patēriņu ēkas apkures, dzesēšanas, ventilācijas, karstā ūdens sagatavošanas un apgaismojuma (piemēro nedzīvojamām ēkām) vajadzībām, un validēts pret ēkas izmērītās energoefektivitātes novērtējumu. Ja ēkas izmērītās energoefektivitātes novērtējuma un ēkas aprēķinātās energoefektivitātes novērtējuma salīdzinājums pie vienādiem iekštelpu temperatūras nosacījumiem ir pieņemams (atšķiras par mazāk nekā 10  % un ne vairāk kā par 10 kWh/m</w:t>
            </w:r>
            <w:r w:rsidR="00000000" w:rsidRPr="00000000" w:rsidDel="00000000">
              <w:rPr>
                <w:vertAlign w:val="superscript"/>
                <w:rtl w:val="0"/>
              </w:rPr>
              <w:t xml:space="preserve">2</w:t>
            </w:r>
            <w:r w:rsidR="00000000" w:rsidRPr="00000000" w:rsidDel="00000000">
              <w:rPr>
                <w:rtl w:val="0"/>
              </w:rPr>
              <w:t xml:space="preserve"> gadā), uzskata, ka ēkas energoefektivitātes novērtējums ir ticams;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prasības, kas attiecināmas uz apgaismojuma inženiertehnisko sistēmu nepiemērošanu dzīvojamām mājām ir definētas teikumā, kurā ir daudz līdzvērtīgu teikuma locekļu, lai novērstu interpretācijas iespējas, kur iekavu teksts “(piemēro nedzīvojamām ēkām)” var tikt nepareizi piemērots arī iekavas attiecinot uz apkuri, dzesēšanu, ventilāciju un karstā ūdens sagatavošanu, lūdzam prasību par to, ka apgaismojuma novērtējumu nepiemēro dzīvojamām mājām, iekļaut jaunā atsevišķā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dzēsts no Noteikumu grozījuma projekta, ievērojot to, ka Noteikumu apgaismojuma novērtējums attiecas tikai uz nedzīvojamām ēkām norādīts 19.2.apakšpunktā.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Ekspluatācijā esošām nedzīvojamām ēkām, ja ēkā nav mehāniskās ventilācijas un dzesēšanas sistēmas, tad piemēro “pieņemtās sistēmas” principu un biroja ēku kategorijas ēkām paredz dzesēšanas enerģijas patēriņu 30 kWh/m2 gadā (ar nosacījumu, ka gaismu caurlaidīgo virsmu īpatsvars pārsniedz 20 % no katra stāva apkurināmās grīdas platības), bet pārējām ēku kategorijām – 20 kWh/m2 gadā (ar nosacījumu, ka gaismu caurlaidīgo virsmu īpatsvars pārsniedz 15 % no katra stāva apkurināmās grīdas platības), savukārt mehāniskās ventilācijas vērtību nosaka 6,5 kWh/m2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piedāvāto risinājuma pieņemto sistēmu apjomu, izvērtējot iespējas to patēriņu samazināt, īpaši publisku ēku sektorā, uz kurām no 2026.gada attieksies ikgadējs atjaunošanas pienākums, vienlaikus ar nosacījumu sasniegt vismaz gandrīz nulles enerģijas ēkas patēriņa līmeni. Ņemot vērā citu inženiertehnisko sistēmu patēriņus, šādas pieņemtās sistēmas patēriņi, vismaz pie šī brīža primārās enerģijas faktoru vērtībām, var būt būtisks iemesls, lai ēka, pat sasniedzot apkures patēriņa nepieciešamo energoefektivitātes līmeni, nekvalificētos gandrīz nulles enerģijas ēkas prasībām. Skaidrojam, ka ne vienmēr ir nepieciešama dzesēšanas sistēmas izveide, ne vienmēr būs iespējams uzstādīt kompensējošus atjaunīgos energoresursus izmantojošus risinājumus, turklāt centralizētās siltumapgādes sistēmas gadījumā, gala enerģijas patērētājs faktiski ir bez instrumentiem mainīt siltumapgādē patērētos neatjaunīgos energoresursus. Informējam, ka šobrīd VARAM atbildībā esošo atbalsta instrumentu ietvaros tiek īstenoti 7 ēku energoefektivitātes projekti, kas sasniedz A klases apkures energoefektivitātes līmeni, bet tikai 4 no šiem projektiem sasniedz gandrīz nulles ēkas enerģijas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neparedz pienākumu novērtēt ēkas izmērīto energoefektivitāti tikai pēc "pieņemtās sistēmas" principa un pieņemtām vērtībām (skatīt 6</w:t>
            </w:r>
            <w:r w:rsidR="00000000" w:rsidRPr="00000000" w:rsidDel="00000000">
              <w:rPr>
                <w:vertAlign w:val="superscript"/>
                <w:rtl w:val="0"/>
              </w:rPr>
              <w:t xml:space="preserve">1 </w:t>
            </w:r>
            <w:r w:rsidR="00000000" w:rsidRPr="00000000" w:rsidDel="00000000">
              <w:rPr>
                <w:rtl w:val="0"/>
              </w:rPr>
              <w:t xml:space="preserve">punktu). Izmērītas energoefektivitātes sertifikātu joprojām būs iespējams izsniegt, ievērojot līdzšinējo kārtību (skatīt 6.punktu).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ēkas enerģijas patēriņš apkurei nepārsniedz šo noteikumu 3. pielikumā norādīto līmeni A klases ēkai;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Nr 222 8. punkta 8.1. apakšpunktu šādā redakcijā: "ēkas enerģijas patēriņš apkurei nepārsniedz šo noteikumu 3. pielikumā norādīto līmeni A klases ēkai. </w:t>
            </w:r>
            <w:r w:rsidR="00000000" w:rsidRPr="00000000" w:rsidDel="00000000">
              <w:rPr>
                <w:i w:val="1"/>
                <w:rtl w:val="0"/>
              </w:rPr>
              <w:t xml:space="preserve">Prasība neattiecas uz viendzīvokļu un divdzīvokļu dzīvojamām ēkām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sanāksmes ietvaros, ka šādu grozījumu neveic. Piedāvātajam grozījumam nav pamatojuma. Vēršam uzmanību, ka 2023.gadā īstenots "Pētījums par izmaksu ziņā optimāla minimālo energoefektivitātes prasību līmeņa noteikšanu atbilstoši dažādiem ēku veidiem" (skatīt: https://ppdb.mk.gov.lv/database/petijums-par-izmaksu-zina-optimala-minimalo-energoefektivitates-prasibu-limena-noteiksanu-atbilstosi-dazadiem-eku-veidiem/). Atbilstoši pētījuma rezultātiem noteiktie enerģijas patēriņa līmeņi viendzīvokļu un divdzīvokļu mājām ir izmaksu ziņā optimāli. Papildus vēršam uzmanību, ka attiecībā uz izmaksu optimalitātes izvērtējumu katrā konkrētajā gadījumā Noteikumu 3.pielikuma piezīmē ir iekļauta atruna: "Ēku energoefektivitātes minimālos pieļaujamos līmeņus (klases) projektējamām ēkām (jaunbūvēm) nepiemēro, ja šo prasību piemērošana nav tehniski vai funkcionāli iespējama vai ja izmaksu un ieguvumu analīze par attiecīgās ēkas kalpošanas laiku norāda uz zaudējumiem. Novērtējumu veic saskaņā ar standartu LVS EN 15459-1:2020 "Ēku energoefektivitāte. Ēku energosistēmu ekonomiskā izvērtēšanas procedūra. 1. daļa: Aprēķinu procedūras, M1-14 modulis" un standartu LVS EN 15459-1:2017/NA:2020 "Ēku energoefektivitāte. Ēku energosistēmu ekonomiskā izvērtēšanas procedūra. 1. daļa: Aprēķinu procedūras, M1-14 modulis. Nacionālais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25-TA-268</w:t>
    </w:r>
    <w:r>
      <w:br/>
    </w:r>
    <w:r w:rsidR="00000000" w:rsidRPr="00000000" w:rsidDel="00000000">
      <w:rPr>
        <w:rtl w:val="0"/>
      </w:rPr>
      <w:t xml:space="preserve">16.06.2025. 11.36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25-TA-268</w:t>
    </w:r>
    <w:r>
      <w:br/>
    </w:r>
    <w:r w:rsidR="00000000" w:rsidRPr="00000000" w:rsidDel="00000000">
      <w:rPr>
        <w:rtl w:val="0"/>
      </w:rPr>
      <w:t xml:space="preserve">16.06.2025. 11.36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Izziņa_25-TA-268.docx</dc:title>
</cp:coreProperties>
</file>

<file path=docProps/custom.xml><?xml version="1.0" encoding="utf-8"?>
<Properties xmlns="http://schemas.openxmlformats.org/officeDocument/2006/custom-properties" xmlns:vt="http://schemas.openxmlformats.org/officeDocument/2006/docPropsVTypes"/>
</file>