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77704" w:rsidRDefault="00E77704" w:rsidP="00E77704">
      <w:pPr>
        <w:rPr>
          <w:rFonts w:eastAsia="Times New Roman"/>
          <w:lang w:val="en-US"/>
        </w:rPr>
      </w:pPr>
      <w:bookmarkStart w:id="0" w:name="_MailOriginal"/>
      <w:r>
        <w:rPr>
          <w:rFonts w:eastAsia="Times New Roman"/>
          <w:b/>
          <w:bCs/>
          <w:lang w:val="en-US"/>
        </w:rPr>
        <w:t>From:</w:t>
      </w:r>
      <w:r>
        <w:rPr>
          <w:rFonts w:eastAsia="Times New Roman"/>
          <w:lang w:val="en-US"/>
        </w:rPr>
        <w:t xml:space="preserve"> knab@knab.gov.lv &lt;knab@knab.gov.lv&gt; </w:t>
      </w:r>
      <w:r>
        <w:rPr>
          <w:rFonts w:eastAsia="Times New Roman"/>
          <w:lang w:val="en-US"/>
        </w:rPr>
        <w:br/>
      </w:r>
      <w:r>
        <w:rPr>
          <w:rFonts w:eastAsia="Times New Roman"/>
          <w:b/>
          <w:bCs/>
          <w:lang w:val="en-US"/>
        </w:rPr>
        <w:t>Sent:</w:t>
      </w:r>
      <w:r>
        <w:rPr>
          <w:rFonts w:eastAsia="Times New Roman"/>
          <w:lang w:val="en-US"/>
        </w:rPr>
        <w:t xml:space="preserve"> Friday, March 19, 2021 7:55 AM</w:t>
      </w:r>
      <w:r>
        <w:rPr>
          <w:rFonts w:eastAsia="Times New Roman"/>
          <w:lang w:val="en-US"/>
        </w:rPr>
        <w:br/>
      </w:r>
      <w:r>
        <w:rPr>
          <w:rFonts w:eastAsia="Times New Roman"/>
          <w:b/>
          <w:bCs/>
          <w:lang w:val="en-US"/>
        </w:rPr>
        <w:t>To:</w:t>
      </w:r>
      <w:r>
        <w:rPr>
          <w:rFonts w:eastAsia="Times New Roman"/>
          <w:lang w:val="en-US"/>
        </w:rPr>
        <w:t xml:space="preserve"> Valsts Kanceleja &lt;vk@mk.gov.lv&gt;</w:t>
      </w:r>
      <w:r>
        <w:rPr>
          <w:rFonts w:eastAsia="Times New Roman"/>
          <w:lang w:val="en-US"/>
        </w:rPr>
        <w:br/>
      </w:r>
      <w:r>
        <w:rPr>
          <w:rFonts w:eastAsia="Times New Roman"/>
          <w:b/>
          <w:bCs/>
          <w:lang w:val="en-US"/>
        </w:rPr>
        <w:t>Cc:</w:t>
      </w:r>
      <w:r>
        <w:rPr>
          <w:rFonts w:eastAsia="Times New Roman"/>
          <w:lang w:val="en-US"/>
        </w:rPr>
        <w:t xml:space="preserve"> Kristīne Stone &lt;Kristine.Stone@mk.gov.lv&gt;</w:t>
      </w:r>
      <w:r>
        <w:rPr>
          <w:rFonts w:eastAsia="Times New Roman"/>
          <w:lang w:val="en-US"/>
        </w:rPr>
        <w:br/>
      </w:r>
      <w:r>
        <w:rPr>
          <w:rFonts w:eastAsia="Times New Roman"/>
          <w:b/>
          <w:bCs/>
          <w:lang w:val="en-US"/>
        </w:rPr>
        <w:t>Subject:</w:t>
      </w:r>
      <w:r>
        <w:rPr>
          <w:rFonts w:eastAsia="Times New Roman"/>
          <w:lang w:val="en-US"/>
        </w:rPr>
        <w:t xml:space="preserve"> Par </w:t>
      </w:r>
      <w:proofErr w:type="spellStart"/>
      <w:r>
        <w:rPr>
          <w:rFonts w:eastAsia="Times New Roman"/>
          <w:lang w:val="en-US"/>
        </w:rPr>
        <w:t>precizēto</w:t>
      </w:r>
      <w:proofErr w:type="spellEnd"/>
      <w:r>
        <w:rPr>
          <w:rFonts w:eastAsia="Times New Roman"/>
          <w:lang w:val="en-US"/>
        </w:rPr>
        <w:t xml:space="preserve"> </w:t>
      </w:r>
      <w:proofErr w:type="spellStart"/>
      <w:r>
        <w:rPr>
          <w:rFonts w:eastAsia="Times New Roman"/>
          <w:lang w:val="en-US"/>
        </w:rPr>
        <w:t>likumprojektu</w:t>
      </w:r>
      <w:proofErr w:type="spellEnd"/>
      <w:r>
        <w:rPr>
          <w:rFonts w:eastAsia="Times New Roman"/>
          <w:lang w:val="en-US"/>
        </w:rPr>
        <w:t xml:space="preserve"> “</w:t>
      </w:r>
      <w:proofErr w:type="spellStart"/>
      <w:r>
        <w:rPr>
          <w:rFonts w:eastAsia="Times New Roman"/>
          <w:lang w:val="en-US"/>
        </w:rPr>
        <w:t>Grozījumi</w:t>
      </w:r>
      <w:proofErr w:type="spellEnd"/>
      <w:r>
        <w:rPr>
          <w:rFonts w:eastAsia="Times New Roman"/>
          <w:lang w:val="en-US"/>
        </w:rPr>
        <w:t xml:space="preserve"> Valsts un </w:t>
      </w:r>
      <w:proofErr w:type="spellStart"/>
      <w:r>
        <w:rPr>
          <w:rFonts w:eastAsia="Times New Roman"/>
          <w:lang w:val="en-US"/>
        </w:rPr>
        <w:t>pašvaldību</w:t>
      </w:r>
      <w:proofErr w:type="spellEnd"/>
      <w:r>
        <w:rPr>
          <w:rFonts w:eastAsia="Times New Roman"/>
          <w:lang w:val="en-US"/>
        </w:rPr>
        <w:t xml:space="preserve"> </w:t>
      </w:r>
      <w:proofErr w:type="spellStart"/>
      <w:r>
        <w:rPr>
          <w:rFonts w:eastAsia="Times New Roman"/>
          <w:lang w:val="en-US"/>
        </w:rPr>
        <w:t>institūciju</w:t>
      </w:r>
      <w:proofErr w:type="spellEnd"/>
      <w:r>
        <w:rPr>
          <w:rFonts w:eastAsia="Times New Roman"/>
          <w:lang w:val="en-US"/>
        </w:rPr>
        <w:t xml:space="preserve"> </w:t>
      </w:r>
      <w:proofErr w:type="spellStart"/>
      <w:r>
        <w:rPr>
          <w:rFonts w:eastAsia="Times New Roman"/>
          <w:lang w:val="en-US"/>
        </w:rPr>
        <w:t>amatpersonu</w:t>
      </w:r>
      <w:proofErr w:type="spellEnd"/>
      <w:r>
        <w:rPr>
          <w:rFonts w:eastAsia="Times New Roman"/>
          <w:lang w:val="en-US"/>
        </w:rPr>
        <w:t xml:space="preserve"> un </w:t>
      </w:r>
      <w:proofErr w:type="spellStart"/>
      <w:r>
        <w:rPr>
          <w:rFonts w:eastAsia="Times New Roman"/>
          <w:lang w:val="en-US"/>
        </w:rPr>
        <w:t>darbinieku</w:t>
      </w:r>
      <w:proofErr w:type="spellEnd"/>
      <w:r>
        <w:rPr>
          <w:rFonts w:eastAsia="Times New Roman"/>
          <w:lang w:val="en-US"/>
        </w:rPr>
        <w:t xml:space="preserve"> </w:t>
      </w:r>
      <w:proofErr w:type="spellStart"/>
      <w:r>
        <w:rPr>
          <w:rFonts w:eastAsia="Times New Roman"/>
          <w:lang w:val="en-US"/>
        </w:rPr>
        <w:t>atlīdzības</w:t>
      </w:r>
      <w:proofErr w:type="spellEnd"/>
      <w:r>
        <w:rPr>
          <w:rFonts w:eastAsia="Times New Roman"/>
          <w:lang w:val="en-US"/>
        </w:rPr>
        <w:t xml:space="preserve"> </w:t>
      </w:r>
      <w:proofErr w:type="spellStart"/>
      <w:r>
        <w:rPr>
          <w:rFonts w:eastAsia="Times New Roman"/>
          <w:lang w:val="en-US"/>
        </w:rPr>
        <w:t>likumā</w:t>
      </w:r>
      <w:proofErr w:type="spellEnd"/>
      <w:r>
        <w:rPr>
          <w:rFonts w:eastAsia="Times New Roman"/>
          <w:lang w:val="en-US"/>
        </w:rPr>
        <w:t>” (VSS-444) [C225791100409ED1C225869D002065E6]</w:t>
      </w:r>
    </w:p>
    <w:p w:rsidR="00E77704" w:rsidRDefault="00E77704" w:rsidP="00E77704"/>
    <w:p w:rsidR="00E77704" w:rsidRDefault="00E77704" w:rsidP="00E77704">
      <w:pPr>
        <w:pStyle w:val="NormalWeb"/>
      </w:pPr>
      <w:r>
        <w:rPr>
          <w:rFonts w:ascii="Times New Roman" w:hAnsi="Times New Roman" w:cs="Times New Roman"/>
          <w:sz w:val="24"/>
          <w:szCs w:val="24"/>
        </w:rPr>
        <w:t>Labdien!</w:t>
      </w:r>
      <w:r>
        <w:t xml:space="preserve"> </w:t>
      </w:r>
    </w:p>
    <w:p w:rsidR="00E77704" w:rsidRDefault="00E77704" w:rsidP="00E77704">
      <w:pPr>
        <w:pStyle w:val="NormalWeb"/>
      </w:pPr>
      <w:r>
        <w:rPr>
          <w:rFonts w:ascii="Times New Roman" w:hAnsi="Times New Roman" w:cs="Times New Roman"/>
          <w:i/>
          <w:iCs/>
          <w:sz w:val="24"/>
          <w:szCs w:val="24"/>
        </w:rPr>
        <w:t>Par precizēto likumprojektu “Grozījumi Valsts un pašvaldību institūciju amatpersonu un darbinieku atlīdzības likumā” (VSS-444)</w:t>
      </w:r>
      <w:r>
        <w:br/>
      </w:r>
      <w:r>
        <w:rPr>
          <w:rFonts w:ascii="Times New Roman" w:hAnsi="Times New Roman" w:cs="Times New Roman"/>
          <w:i/>
          <w:iCs/>
          <w:sz w:val="24"/>
          <w:szCs w:val="24"/>
        </w:rPr>
        <w:t>                                                     </w:t>
      </w:r>
      <w:r>
        <w:br/>
      </w:r>
      <w:r>
        <w:rPr>
          <w:rFonts w:ascii="Times New Roman" w:hAnsi="Times New Roman" w:cs="Times New Roman"/>
          <w:sz w:val="24"/>
          <w:szCs w:val="24"/>
        </w:rPr>
        <w:t xml:space="preserve">Korupcijas novēršanas un apkarošanas birojs (turpmāk – Birojs) savas kompetences ietvaros ir izvērtējis Valsts kancelejas (turpmāk – </w:t>
      </w:r>
      <w:proofErr w:type="spellStart"/>
      <w:r>
        <w:rPr>
          <w:rFonts w:ascii="Times New Roman" w:hAnsi="Times New Roman" w:cs="Times New Roman"/>
          <w:sz w:val="24"/>
          <w:szCs w:val="24"/>
        </w:rPr>
        <w:t>Vkanc</w:t>
      </w:r>
      <w:proofErr w:type="spellEnd"/>
      <w:r>
        <w:rPr>
          <w:rFonts w:ascii="Times New Roman" w:hAnsi="Times New Roman" w:cs="Times New Roman"/>
          <w:sz w:val="24"/>
          <w:szCs w:val="24"/>
        </w:rPr>
        <w:t>) precizēto likumprojektu “Grozījumi Valsts un pašvaldību institūciju amatpersonu un darbinieku atlīdzības likumā” (turpmāk – Likumprojekts), tā sākotnējās ietekmes novērtējuma ziņojumu (turpmāk – anotācija) un izziņu par atzinumos sniegtajiem iebildumiem par likumprojektu un informē, ka atbalsta likumprojekta un tā anotācijas tālāku virzību,</w:t>
      </w:r>
      <w:r>
        <w:rPr>
          <w:rFonts w:ascii="Times New Roman" w:hAnsi="Times New Roman" w:cs="Times New Roman"/>
          <w:color w:val="FF0000"/>
          <w:sz w:val="24"/>
          <w:szCs w:val="24"/>
        </w:rPr>
        <w:t> </w:t>
      </w:r>
      <w:r>
        <w:rPr>
          <w:rFonts w:ascii="Times New Roman" w:hAnsi="Times New Roman" w:cs="Times New Roman"/>
          <w:sz w:val="24"/>
          <w:szCs w:val="24"/>
        </w:rPr>
        <w:t xml:space="preserve">vienlaikus izsakot iebildumu. </w:t>
      </w:r>
      <w:r>
        <w:br/>
      </w:r>
      <w:r>
        <w:rPr>
          <w:rFonts w:ascii="Times New Roman" w:hAnsi="Times New Roman" w:cs="Times New Roman"/>
          <w:sz w:val="24"/>
          <w:szCs w:val="24"/>
        </w:rPr>
        <w:t xml:space="preserve">Likumprojekta anotācijā, raksturojot tiesiskā regulējuma mērķi un būtību, minēts, ka atlaišanas pabalstam ir sociāla, atbalstoša funkcija, kas domāta, lai atvieglotu amatpersonas pielāgošanos jaunajiem no darba zaudēšanas izrietošajiem apstākļiem, nodrošinot ienākumu avotu jauna darba meklējumu laikā. Birojs izprot un atbalsta šo konceptu, taču vienlaikus saskata nepieciešamību precizējumiem paredzēto pabalstu pamatojumā Likumprojekta anotācijā un, ja nepieciešams, atkarībā no </w:t>
      </w:r>
      <w:proofErr w:type="spellStart"/>
      <w:r>
        <w:rPr>
          <w:rFonts w:ascii="Times New Roman" w:hAnsi="Times New Roman" w:cs="Times New Roman"/>
          <w:sz w:val="24"/>
          <w:szCs w:val="24"/>
        </w:rPr>
        <w:t>izvērtējuma</w:t>
      </w:r>
      <w:proofErr w:type="spellEnd"/>
      <w:r>
        <w:rPr>
          <w:rFonts w:ascii="Times New Roman" w:hAnsi="Times New Roman" w:cs="Times New Roman"/>
          <w:sz w:val="24"/>
          <w:szCs w:val="24"/>
        </w:rPr>
        <w:t xml:space="preserve"> rezultātiem - arī pašā Likumprojektā. Proti, </w:t>
      </w:r>
      <w:proofErr w:type="spellStart"/>
      <w:r>
        <w:rPr>
          <w:rFonts w:ascii="Times New Roman" w:hAnsi="Times New Roman" w:cs="Times New Roman"/>
          <w:sz w:val="24"/>
          <w:szCs w:val="24"/>
        </w:rPr>
        <w:t>VKanc</w:t>
      </w:r>
      <w:proofErr w:type="spellEnd"/>
      <w:r>
        <w:rPr>
          <w:rFonts w:ascii="Times New Roman" w:hAnsi="Times New Roman" w:cs="Times New Roman"/>
          <w:sz w:val="24"/>
          <w:szCs w:val="24"/>
        </w:rPr>
        <w:t xml:space="preserve"> Likumprojekta anotācijā vairākkārt uzsvērusi likumā “Par interešu konflikta novēršanu valsts amatpersonu darbībā” (turpmāk – IKNL) valsts amatpersonām noteikto ierobežojumu nozīmi nelabvēlīgu apstākļu radīšanā valsts amatpersonu tālāko darba gaitu turpināšanai. Biroja redzējumā, anotācijā būtu jāizvairās no IKNL valsts amatpersonām noteikto komercdarbības ierobežojumu un to iespējamo radīto seku vispārināšanas, ņemot vērā, ka Likumprojektā ietvertajām valsts amatpersonām ir atšķirīgas funkcijas, pilnvaras un pienākumi, kas kopsakarā ar IKNL valsts amatpersonām noteiktajiem ierobežojumiem var radīt atšķirīgu ietekmi un sekas uz konkrēto valsts amatpersonu tālāku iekļaušanos darba tirgū. Balstoties uz minēto, vēršam uzmanību, ka ne visos gadījumos IKNL valsts amatpersonām noteiktajiem komercdarbības ierobežojumiem (skat. IKNL 10. pantu) būs izšķiroša vai būtiska loma attiecībā uz amatpersonas konkurētspēju darba tirgū, kā arī ne visām Likumprojektā minētajām valsts amatpersonām iestāsies divu gadu (jeb </w:t>
      </w:r>
      <w:proofErr w:type="spellStart"/>
      <w:r>
        <w:rPr>
          <w:rFonts w:ascii="Times New Roman" w:hAnsi="Times New Roman" w:cs="Times New Roman"/>
          <w:i/>
          <w:iCs/>
          <w:sz w:val="24"/>
          <w:szCs w:val="24"/>
        </w:rPr>
        <w:t>cooling</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off</w:t>
      </w:r>
      <w:proofErr w:type="spellEnd"/>
      <w:r>
        <w:rPr>
          <w:rFonts w:ascii="Times New Roman" w:hAnsi="Times New Roman" w:cs="Times New Roman"/>
          <w:sz w:val="24"/>
          <w:szCs w:val="24"/>
        </w:rPr>
        <w:t xml:space="preserve">) atdzišanas periods. Vienlaikus vēršam uzmanību, ka IKNL noteiktie ierobežojumi ir saistoši ne tikai augstākajām amatpersonām, bet arī tām, kuras nav iekļautas Likumprojektā, un kurām ierobežojumu sekas varētu būt daudz būtiskākas (piem., iepirkumu komisijas locekļiem, Valsts ieņēmumu dienesta inspektoriem (uzraudzību un kontroli veicošām personām)). Tādējādi Likumprojekta anotācijā bez konkrēta IKNL noteikto ierobežojumu radītās ietekmes raksturojuma Birojs šobrīd saskata nevienlīdzīgas attieksmes pazīmes attiecībā uz citām valsts amatpersonām, kurām kompensācijas mehānisms nav paredzēts. Līdz ar to Birojs lūdz precizēt Likumprojekta anotāciju. </w:t>
      </w:r>
    </w:p>
    <w:p w:rsidR="00E77704" w:rsidRDefault="00E77704" w:rsidP="00E77704">
      <w:pPr>
        <w:pStyle w:val="NormalWeb"/>
      </w:pPr>
      <w:r>
        <w:rPr>
          <w:rFonts w:ascii="Times New Roman" w:hAnsi="Times New Roman" w:cs="Times New Roman"/>
          <w:sz w:val="24"/>
          <w:szCs w:val="24"/>
        </w:rPr>
        <w:t xml:space="preserve">Ja </w:t>
      </w:r>
      <w:proofErr w:type="spellStart"/>
      <w:r>
        <w:rPr>
          <w:rFonts w:ascii="Times New Roman" w:hAnsi="Times New Roman" w:cs="Times New Roman"/>
          <w:sz w:val="24"/>
          <w:szCs w:val="24"/>
        </w:rPr>
        <w:t>Vkanc</w:t>
      </w:r>
      <w:proofErr w:type="spellEnd"/>
      <w:r>
        <w:rPr>
          <w:rFonts w:ascii="Times New Roman" w:hAnsi="Times New Roman" w:cs="Times New Roman"/>
          <w:sz w:val="24"/>
          <w:szCs w:val="24"/>
        </w:rPr>
        <w:t xml:space="preserve"> ir nepieciešams papildu skaidrojums, lūdzam sazināties ar Biroja Pirmās pārvaldes priekšnieci Annu </w:t>
      </w:r>
      <w:proofErr w:type="spellStart"/>
      <w:r>
        <w:rPr>
          <w:rFonts w:ascii="Times New Roman" w:hAnsi="Times New Roman" w:cs="Times New Roman"/>
          <w:sz w:val="24"/>
          <w:szCs w:val="24"/>
        </w:rPr>
        <w:t>Aļošinu</w:t>
      </w:r>
      <w:proofErr w:type="spellEnd"/>
      <w:r>
        <w:rPr>
          <w:rFonts w:ascii="Times New Roman" w:hAnsi="Times New Roman" w:cs="Times New Roman"/>
          <w:sz w:val="24"/>
          <w:szCs w:val="24"/>
        </w:rPr>
        <w:t xml:space="preserve"> (</w:t>
      </w:r>
      <w:hyperlink r:id="rId4" w:history="1">
        <w:r>
          <w:rPr>
            <w:rStyle w:val="Hyperlink"/>
            <w:rFonts w:ascii="Times New Roman" w:hAnsi="Times New Roman" w:cs="Times New Roman"/>
            <w:sz w:val="24"/>
            <w:szCs w:val="24"/>
          </w:rPr>
          <w:t>anna.alosina@knab.gov.lv</w:t>
        </w:r>
      </w:hyperlink>
      <w:r>
        <w:rPr>
          <w:rFonts w:ascii="Times New Roman" w:hAnsi="Times New Roman" w:cs="Times New Roman"/>
          <w:sz w:val="24"/>
          <w:szCs w:val="24"/>
        </w:rPr>
        <w:t xml:space="preserve">, </w:t>
      </w:r>
      <w:proofErr w:type="spellStart"/>
      <w:r>
        <w:rPr>
          <w:rFonts w:ascii="Times New Roman" w:hAnsi="Times New Roman" w:cs="Times New Roman"/>
          <w:sz w:val="24"/>
          <w:szCs w:val="24"/>
        </w:rPr>
        <w:t>tālr</w:t>
      </w:r>
      <w:proofErr w:type="spellEnd"/>
      <w:r>
        <w:rPr>
          <w:rFonts w:ascii="Times New Roman" w:hAnsi="Times New Roman" w:cs="Times New Roman"/>
          <w:sz w:val="24"/>
          <w:szCs w:val="24"/>
        </w:rPr>
        <w:t>,: 67797258) vai Pirmās pārvaldes Otrās nodaļas galveno inspektori Līgu Bernhardi (</w:t>
      </w:r>
      <w:hyperlink r:id="rId5" w:history="1">
        <w:r>
          <w:rPr>
            <w:rStyle w:val="Hyperlink"/>
            <w:rFonts w:ascii="Times New Roman" w:hAnsi="Times New Roman" w:cs="Times New Roman"/>
            <w:sz w:val="24"/>
            <w:szCs w:val="24"/>
          </w:rPr>
          <w:t>liga.bernharde@knab.gov.lv</w:t>
        </w:r>
      </w:hyperlink>
      <w:r>
        <w:rPr>
          <w:rFonts w:ascii="Times New Roman" w:hAnsi="Times New Roman" w:cs="Times New Roman"/>
          <w:sz w:val="24"/>
          <w:szCs w:val="24"/>
        </w:rPr>
        <w:t>, tālr.: 67797259).</w:t>
      </w:r>
      <w:r>
        <w:t xml:space="preserve"> </w:t>
      </w:r>
    </w:p>
    <w:p w:rsidR="00E77704" w:rsidRDefault="00E77704" w:rsidP="00E77704">
      <w:pPr>
        <w:pStyle w:val="NormalWeb"/>
        <w:spacing w:after="240" w:afterAutospacing="0"/>
      </w:pPr>
      <w:r>
        <w:rPr>
          <w:rFonts w:ascii="Arial" w:hAnsi="Arial" w:cs="Arial"/>
          <w:b/>
          <w:bCs/>
          <w:sz w:val="20"/>
          <w:szCs w:val="20"/>
        </w:rPr>
        <w:lastRenderedPageBreak/>
        <w:t xml:space="preserve">Līga </w:t>
      </w:r>
      <w:proofErr w:type="spellStart"/>
      <w:r>
        <w:rPr>
          <w:rFonts w:ascii="Arial" w:hAnsi="Arial" w:cs="Arial"/>
          <w:b/>
          <w:bCs/>
          <w:sz w:val="20"/>
          <w:szCs w:val="20"/>
        </w:rPr>
        <w:t>Bernharde</w:t>
      </w:r>
      <w:proofErr w:type="spellEnd"/>
      <w:r>
        <w:br/>
      </w:r>
      <w:r>
        <w:rPr>
          <w:rFonts w:ascii="Arial" w:hAnsi="Arial" w:cs="Arial"/>
          <w:sz w:val="20"/>
          <w:szCs w:val="20"/>
        </w:rPr>
        <w:t xml:space="preserve">Korupcijas novēršanas un apkarošanas birojs </w:t>
      </w:r>
      <w:r>
        <w:br/>
      </w:r>
      <w:r>
        <w:rPr>
          <w:rFonts w:ascii="Arial" w:hAnsi="Arial" w:cs="Arial"/>
          <w:sz w:val="20"/>
          <w:szCs w:val="20"/>
        </w:rPr>
        <w:t>Tālr.: 67797259</w:t>
      </w:r>
      <w:r>
        <w:br/>
      </w:r>
      <w:hyperlink r:id="rId6" w:history="1">
        <w:r>
          <w:rPr>
            <w:rStyle w:val="Hyperlink"/>
            <w:rFonts w:ascii="Arial" w:hAnsi="Arial" w:cs="Arial"/>
            <w:sz w:val="20"/>
            <w:szCs w:val="20"/>
          </w:rPr>
          <w:t>Liga.Bernharde@knab.gov.lv</w:t>
        </w:r>
      </w:hyperlink>
      <w:r>
        <w:rPr>
          <w:rFonts w:ascii="Arial" w:hAnsi="Arial" w:cs="Arial"/>
          <w:sz w:val="20"/>
          <w:szCs w:val="20"/>
        </w:rPr>
        <w:t xml:space="preserve"> </w:t>
      </w:r>
      <w:r>
        <w:br/>
      </w:r>
      <w:hyperlink r:id="rId7" w:history="1">
        <w:r>
          <w:rPr>
            <w:rStyle w:val="Hyperlink"/>
            <w:rFonts w:ascii="Arial" w:hAnsi="Arial" w:cs="Arial"/>
            <w:sz w:val="20"/>
            <w:szCs w:val="20"/>
          </w:rPr>
          <w:t>www.knab.gov.lv</w:t>
        </w:r>
      </w:hyperlink>
      <w:r>
        <w:rPr>
          <w:rFonts w:ascii="Arial" w:hAnsi="Arial" w:cs="Arial"/>
          <w:sz w:val="20"/>
          <w:szCs w:val="20"/>
        </w:rPr>
        <w:t xml:space="preserve"> </w:t>
      </w:r>
      <w:r>
        <w:br/>
      </w:r>
      <w:r>
        <w:rPr>
          <w:noProof/>
        </w:rPr>
        <w:drawing>
          <wp:inline distT="0" distB="0" distL="0" distR="0">
            <wp:extent cx="1095375" cy="12573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257300"/>
                    </a:xfrm>
                    <a:prstGeom prst="rect">
                      <a:avLst/>
                    </a:prstGeom>
                    <a:noFill/>
                    <a:ln>
                      <a:noFill/>
                    </a:ln>
                  </pic:spPr>
                </pic:pic>
              </a:graphicData>
            </a:graphic>
          </wp:inline>
        </w:drawing>
      </w:r>
      <w:r>
        <w:br/>
      </w:r>
      <w:r>
        <w:br/>
      </w:r>
      <w:r>
        <w:br/>
      </w:r>
      <w:r>
        <w:rPr>
          <w:rFonts w:ascii="Arial" w:hAnsi="Arial" w:cs="Arial"/>
          <w:sz w:val="15"/>
          <w:szCs w:val="15"/>
        </w:rPr>
        <w:t>Korupcijas novēršanas un apkarošanas birojs</w:t>
      </w:r>
      <w:r>
        <w:br/>
      </w:r>
      <w:r>
        <w:rPr>
          <w:rFonts w:ascii="Arial" w:hAnsi="Arial" w:cs="Arial"/>
          <w:sz w:val="15"/>
          <w:szCs w:val="15"/>
        </w:rPr>
        <w:t>Citadeles iela 1</w:t>
      </w:r>
      <w:r>
        <w:br/>
      </w:r>
      <w:r>
        <w:rPr>
          <w:rFonts w:ascii="Arial" w:hAnsi="Arial" w:cs="Arial"/>
          <w:sz w:val="15"/>
          <w:szCs w:val="15"/>
        </w:rPr>
        <w:t>Rīga, Latvija</w:t>
      </w:r>
      <w:r>
        <w:br/>
      </w:r>
      <w:r>
        <w:rPr>
          <w:rFonts w:ascii="Arial" w:hAnsi="Arial" w:cs="Arial"/>
          <w:sz w:val="15"/>
          <w:szCs w:val="15"/>
        </w:rPr>
        <w:t>LV-1010</w:t>
      </w:r>
      <w:r>
        <w:br/>
      </w:r>
      <w:r>
        <w:br/>
      </w:r>
      <w:r>
        <w:rPr>
          <w:rFonts w:ascii="Arial" w:hAnsi="Arial" w:cs="Arial"/>
          <w:sz w:val="15"/>
          <w:szCs w:val="15"/>
        </w:rPr>
        <w:t>Tālrunis: 67356161</w:t>
      </w:r>
      <w:r>
        <w:br/>
      </w:r>
      <w:r>
        <w:rPr>
          <w:rFonts w:ascii="Arial" w:hAnsi="Arial" w:cs="Arial"/>
          <w:sz w:val="15"/>
          <w:szCs w:val="15"/>
        </w:rPr>
        <w:t xml:space="preserve">E-pasts: </w:t>
      </w:r>
      <w:hyperlink r:id="rId9" w:history="1">
        <w:r>
          <w:rPr>
            <w:rStyle w:val="Hyperlink"/>
            <w:rFonts w:ascii="Arial" w:hAnsi="Arial" w:cs="Arial"/>
            <w:sz w:val="15"/>
            <w:szCs w:val="15"/>
          </w:rPr>
          <w:t>knab@knab.gov.lv</w:t>
        </w:r>
      </w:hyperlink>
      <w:r>
        <w:br/>
      </w:r>
      <w:proofErr w:type="spellStart"/>
      <w:r>
        <w:rPr>
          <w:rFonts w:ascii="Arial" w:hAnsi="Arial" w:cs="Arial"/>
          <w:sz w:val="15"/>
          <w:szCs w:val="15"/>
        </w:rPr>
        <w:t>Tviteris</w:t>
      </w:r>
      <w:proofErr w:type="spellEnd"/>
      <w:r>
        <w:rPr>
          <w:rFonts w:ascii="Arial" w:hAnsi="Arial" w:cs="Arial"/>
          <w:sz w:val="15"/>
          <w:szCs w:val="15"/>
        </w:rPr>
        <w:t xml:space="preserve">: </w:t>
      </w:r>
      <w:hyperlink r:id="rId10" w:history="1">
        <w:r>
          <w:rPr>
            <w:rStyle w:val="Hyperlink"/>
            <w:rFonts w:ascii="Arial" w:hAnsi="Arial" w:cs="Arial"/>
            <w:sz w:val="15"/>
            <w:szCs w:val="15"/>
          </w:rPr>
          <w:t>@KNABinforme</w:t>
        </w:r>
      </w:hyperlink>
      <w:r>
        <w:br/>
      </w:r>
      <w:r>
        <w:br/>
      </w:r>
      <w:proofErr w:type="spellStart"/>
      <w:r>
        <w:rPr>
          <w:rFonts w:ascii="Arial" w:hAnsi="Arial" w:cs="Arial"/>
          <w:sz w:val="15"/>
          <w:szCs w:val="15"/>
        </w:rPr>
        <w:t>Corruption</w:t>
      </w:r>
      <w:proofErr w:type="spellEnd"/>
      <w:r>
        <w:rPr>
          <w:rFonts w:ascii="Arial" w:hAnsi="Arial" w:cs="Arial"/>
          <w:sz w:val="15"/>
          <w:szCs w:val="15"/>
        </w:rPr>
        <w:t xml:space="preserve"> </w:t>
      </w:r>
      <w:proofErr w:type="spellStart"/>
      <w:r>
        <w:rPr>
          <w:rFonts w:ascii="Arial" w:hAnsi="Arial" w:cs="Arial"/>
          <w:sz w:val="15"/>
          <w:szCs w:val="15"/>
        </w:rPr>
        <w:t>Prevention</w:t>
      </w:r>
      <w:proofErr w:type="spellEnd"/>
      <w:r>
        <w:rPr>
          <w:rFonts w:ascii="Arial" w:hAnsi="Arial" w:cs="Arial"/>
          <w:sz w:val="15"/>
          <w:szCs w:val="15"/>
        </w:rPr>
        <w:t xml:space="preserve"> </w:t>
      </w:r>
      <w:proofErr w:type="spellStart"/>
      <w:r>
        <w:rPr>
          <w:rFonts w:ascii="Arial" w:hAnsi="Arial" w:cs="Arial"/>
          <w:sz w:val="15"/>
          <w:szCs w:val="15"/>
        </w:rPr>
        <w:t>and</w:t>
      </w:r>
      <w:proofErr w:type="spellEnd"/>
      <w:r>
        <w:rPr>
          <w:rFonts w:ascii="Arial" w:hAnsi="Arial" w:cs="Arial"/>
          <w:sz w:val="15"/>
          <w:szCs w:val="15"/>
        </w:rPr>
        <w:t xml:space="preserve"> </w:t>
      </w:r>
      <w:proofErr w:type="spellStart"/>
      <w:r>
        <w:rPr>
          <w:rFonts w:ascii="Arial" w:hAnsi="Arial" w:cs="Arial"/>
          <w:sz w:val="15"/>
          <w:szCs w:val="15"/>
        </w:rPr>
        <w:t>Combating</w:t>
      </w:r>
      <w:proofErr w:type="spellEnd"/>
      <w:r>
        <w:rPr>
          <w:rFonts w:ascii="Arial" w:hAnsi="Arial" w:cs="Arial"/>
          <w:sz w:val="15"/>
          <w:szCs w:val="15"/>
        </w:rPr>
        <w:t xml:space="preserve"> </w:t>
      </w:r>
      <w:proofErr w:type="spellStart"/>
      <w:r>
        <w:rPr>
          <w:rFonts w:ascii="Arial" w:hAnsi="Arial" w:cs="Arial"/>
          <w:sz w:val="15"/>
          <w:szCs w:val="15"/>
        </w:rPr>
        <w:t>Bureau</w:t>
      </w:r>
      <w:proofErr w:type="spellEnd"/>
      <w:r>
        <w:br/>
      </w:r>
      <w:r>
        <w:rPr>
          <w:rFonts w:ascii="Arial" w:hAnsi="Arial" w:cs="Arial"/>
          <w:sz w:val="15"/>
          <w:szCs w:val="15"/>
        </w:rPr>
        <w:t xml:space="preserve">Citadeles </w:t>
      </w:r>
      <w:proofErr w:type="spellStart"/>
      <w:r>
        <w:rPr>
          <w:rFonts w:ascii="Arial" w:hAnsi="Arial" w:cs="Arial"/>
          <w:sz w:val="15"/>
          <w:szCs w:val="15"/>
        </w:rPr>
        <w:t>Street</w:t>
      </w:r>
      <w:proofErr w:type="spellEnd"/>
      <w:r>
        <w:rPr>
          <w:rFonts w:ascii="Arial" w:hAnsi="Arial" w:cs="Arial"/>
          <w:sz w:val="15"/>
          <w:szCs w:val="15"/>
        </w:rPr>
        <w:t xml:space="preserve"> 1</w:t>
      </w:r>
      <w:r>
        <w:br/>
      </w:r>
      <w:proofErr w:type="spellStart"/>
      <w:r>
        <w:rPr>
          <w:rFonts w:ascii="Arial" w:hAnsi="Arial" w:cs="Arial"/>
          <w:sz w:val="15"/>
          <w:szCs w:val="15"/>
        </w:rPr>
        <w:t>Riga</w:t>
      </w:r>
      <w:proofErr w:type="spellEnd"/>
      <w:r>
        <w:rPr>
          <w:rFonts w:ascii="Arial" w:hAnsi="Arial" w:cs="Arial"/>
          <w:sz w:val="15"/>
          <w:szCs w:val="15"/>
        </w:rPr>
        <w:t>, Latvia</w:t>
      </w:r>
      <w:r>
        <w:br/>
      </w:r>
      <w:r>
        <w:rPr>
          <w:rFonts w:ascii="Arial" w:hAnsi="Arial" w:cs="Arial"/>
          <w:sz w:val="15"/>
          <w:szCs w:val="15"/>
        </w:rPr>
        <w:t>LV-1010</w:t>
      </w:r>
      <w:r>
        <w:br/>
      </w:r>
      <w:r>
        <w:br/>
      </w:r>
      <w:proofErr w:type="spellStart"/>
      <w:r>
        <w:rPr>
          <w:rFonts w:ascii="Arial" w:hAnsi="Arial" w:cs="Arial"/>
          <w:sz w:val="15"/>
          <w:szCs w:val="15"/>
        </w:rPr>
        <w:t>Phone</w:t>
      </w:r>
      <w:proofErr w:type="spellEnd"/>
      <w:r>
        <w:rPr>
          <w:rFonts w:ascii="Arial" w:hAnsi="Arial" w:cs="Arial"/>
          <w:sz w:val="15"/>
          <w:szCs w:val="15"/>
        </w:rPr>
        <w:t>: +371 67356161</w:t>
      </w:r>
      <w:r>
        <w:br/>
      </w:r>
      <w:r>
        <w:rPr>
          <w:rFonts w:ascii="Arial" w:hAnsi="Arial" w:cs="Arial"/>
          <w:sz w:val="15"/>
          <w:szCs w:val="15"/>
        </w:rPr>
        <w:t>E-</w:t>
      </w:r>
      <w:proofErr w:type="spellStart"/>
      <w:r>
        <w:rPr>
          <w:rFonts w:ascii="Arial" w:hAnsi="Arial" w:cs="Arial"/>
          <w:sz w:val="15"/>
          <w:szCs w:val="15"/>
        </w:rPr>
        <w:t>mail</w:t>
      </w:r>
      <w:proofErr w:type="spellEnd"/>
      <w:r>
        <w:rPr>
          <w:rFonts w:ascii="Arial" w:hAnsi="Arial" w:cs="Arial"/>
          <w:sz w:val="15"/>
          <w:szCs w:val="15"/>
        </w:rPr>
        <w:t xml:space="preserve">: </w:t>
      </w:r>
      <w:hyperlink r:id="rId11" w:history="1">
        <w:r>
          <w:rPr>
            <w:rStyle w:val="Hyperlink"/>
            <w:rFonts w:ascii="Arial" w:hAnsi="Arial" w:cs="Arial"/>
            <w:sz w:val="15"/>
            <w:szCs w:val="15"/>
          </w:rPr>
          <w:t>knab@knab.gov.lv</w:t>
        </w:r>
      </w:hyperlink>
      <w:r>
        <w:br/>
      </w:r>
      <w:proofErr w:type="spellStart"/>
      <w:r>
        <w:rPr>
          <w:rFonts w:ascii="Arial" w:hAnsi="Arial" w:cs="Arial"/>
          <w:sz w:val="15"/>
          <w:szCs w:val="15"/>
        </w:rPr>
        <w:t>Twitter</w:t>
      </w:r>
      <w:proofErr w:type="spellEnd"/>
      <w:r>
        <w:rPr>
          <w:rFonts w:ascii="Arial" w:hAnsi="Arial" w:cs="Arial"/>
          <w:sz w:val="15"/>
          <w:szCs w:val="15"/>
        </w:rPr>
        <w:t xml:space="preserve">: </w:t>
      </w:r>
      <w:hyperlink r:id="rId12" w:history="1">
        <w:r>
          <w:rPr>
            <w:rStyle w:val="Hyperlink"/>
            <w:rFonts w:ascii="Arial" w:hAnsi="Arial" w:cs="Arial"/>
            <w:sz w:val="15"/>
            <w:szCs w:val="15"/>
          </w:rPr>
          <w:t>@KNABinforme</w:t>
        </w:r>
      </w:hyperlink>
      <w:r>
        <w:br/>
      </w:r>
      <w:r>
        <w:br/>
      </w:r>
      <w:r>
        <w:rPr>
          <w:rFonts w:ascii="Arial" w:hAnsi="Arial" w:cs="Arial"/>
          <w:sz w:val="15"/>
          <w:szCs w:val="15"/>
        </w:rPr>
        <w:t>Šis  ir Korupcijas novēršanas un apkarošanas biroja oficiālais e-pasta sūtījums. Ja Jūs neesat šī sūtījuma adresāts vai persona, kas tiesīga šo sūtījumu saņemt, lūdzu, informējiet nosūtītāju un izdzēsiet šo e-pasta sūtījumu.</w:t>
      </w:r>
      <w:r>
        <w:br/>
      </w:r>
      <w:r>
        <w:br/>
      </w:r>
      <w:proofErr w:type="spellStart"/>
      <w:r>
        <w:rPr>
          <w:rFonts w:ascii="Arial" w:hAnsi="Arial" w:cs="Arial"/>
          <w:sz w:val="15"/>
          <w:szCs w:val="15"/>
        </w:rPr>
        <w:t>This</w:t>
      </w:r>
      <w:proofErr w:type="spellEnd"/>
      <w:r>
        <w:rPr>
          <w:rFonts w:ascii="Arial" w:hAnsi="Arial" w:cs="Arial"/>
          <w:sz w:val="15"/>
          <w:szCs w:val="15"/>
        </w:rPr>
        <w:t xml:space="preserve"> </w:t>
      </w:r>
      <w:proofErr w:type="spellStart"/>
      <w:r>
        <w:rPr>
          <w:rFonts w:ascii="Arial" w:hAnsi="Arial" w:cs="Arial"/>
          <w:sz w:val="15"/>
          <w:szCs w:val="15"/>
        </w:rPr>
        <w:t>is</w:t>
      </w:r>
      <w:proofErr w:type="spellEnd"/>
      <w:r>
        <w:rPr>
          <w:rFonts w:ascii="Arial" w:hAnsi="Arial" w:cs="Arial"/>
          <w:sz w:val="15"/>
          <w:szCs w:val="15"/>
        </w:rPr>
        <w:t xml:space="preserve"> </w:t>
      </w:r>
      <w:proofErr w:type="spellStart"/>
      <w:r>
        <w:rPr>
          <w:rFonts w:ascii="Arial" w:hAnsi="Arial" w:cs="Arial"/>
          <w:sz w:val="15"/>
          <w:szCs w:val="15"/>
        </w:rPr>
        <w:t>an</w:t>
      </w:r>
      <w:proofErr w:type="spellEnd"/>
      <w:r>
        <w:rPr>
          <w:rFonts w:ascii="Arial" w:hAnsi="Arial" w:cs="Arial"/>
          <w:sz w:val="15"/>
          <w:szCs w:val="15"/>
        </w:rPr>
        <w:t xml:space="preserve"> </w:t>
      </w:r>
      <w:proofErr w:type="spellStart"/>
      <w:r>
        <w:rPr>
          <w:rFonts w:ascii="Arial" w:hAnsi="Arial" w:cs="Arial"/>
          <w:sz w:val="15"/>
          <w:szCs w:val="15"/>
        </w:rPr>
        <w:t>official</w:t>
      </w:r>
      <w:proofErr w:type="spellEnd"/>
      <w:r>
        <w:rPr>
          <w:rFonts w:ascii="Arial" w:hAnsi="Arial" w:cs="Arial"/>
          <w:sz w:val="15"/>
          <w:szCs w:val="15"/>
        </w:rPr>
        <w:t xml:space="preserve">  e-</w:t>
      </w:r>
      <w:proofErr w:type="spellStart"/>
      <w:r>
        <w:rPr>
          <w:rFonts w:ascii="Arial" w:hAnsi="Arial" w:cs="Arial"/>
          <w:sz w:val="15"/>
          <w:szCs w:val="15"/>
        </w:rPr>
        <w:t>mail</w:t>
      </w:r>
      <w:proofErr w:type="spellEnd"/>
      <w:r>
        <w:rPr>
          <w:rFonts w:ascii="Arial" w:hAnsi="Arial" w:cs="Arial"/>
          <w:sz w:val="15"/>
          <w:szCs w:val="15"/>
        </w:rPr>
        <w:t xml:space="preserve"> </w:t>
      </w:r>
      <w:proofErr w:type="spellStart"/>
      <w:r>
        <w:rPr>
          <w:rFonts w:ascii="Arial" w:hAnsi="Arial" w:cs="Arial"/>
          <w:sz w:val="15"/>
          <w:szCs w:val="15"/>
        </w:rPr>
        <w:t>message</w:t>
      </w:r>
      <w:proofErr w:type="spellEnd"/>
      <w:r>
        <w:rPr>
          <w:rFonts w:ascii="Arial" w:hAnsi="Arial" w:cs="Arial"/>
          <w:sz w:val="15"/>
          <w:szCs w:val="15"/>
        </w:rPr>
        <w:t xml:space="preserve"> </w:t>
      </w:r>
      <w:proofErr w:type="spellStart"/>
      <w:r>
        <w:rPr>
          <w:rFonts w:ascii="Arial" w:hAnsi="Arial" w:cs="Arial"/>
          <w:sz w:val="15"/>
          <w:szCs w:val="15"/>
        </w:rPr>
        <w:t>of</w:t>
      </w:r>
      <w:proofErr w:type="spellEnd"/>
      <w:r>
        <w:rPr>
          <w:rFonts w:ascii="Arial" w:hAnsi="Arial" w:cs="Arial"/>
          <w:sz w:val="15"/>
          <w:szCs w:val="15"/>
        </w:rPr>
        <w:t xml:space="preserve">  </w:t>
      </w:r>
      <w:proofErr w:type="spellStart"/>
      <w:r>
        <w:rPr>
          <w:rFonts w:ascii="Arial" w:hAnsi="Arial" w:cs="Arial"/>
          <w:sz w:val="15"/>
          <w:szCs w:val="15"/>
        </w:rPr>
        <w:t>the</w:t>
      </w:r>
      <w:proofErr w:type="spellEnd"/>
      <w:r>
        <w:rPr>
          <w:rFonts w:ascii="Arial" w:hAnsi="Arial" w:cs="Arial"/>
          <w:sz w:val="15"/>
          <w:szCs w:val="15"/>
        </w:rPr>
        <w:t xml:space="preserve"> </w:t>
      </w:r>
      <w:proofErr w:type="spellStart"/>
      <w:r>
        <w:rPr>
          <w:rFonts w:ascii="Arial" w:hAnsi="Arial" w:cs="Arial"/>
          <w:sz w:val="15"/>
          <w:szCs w:val="15"/>
        </w:rPr>
        <w:t>Corruption</w:t>
      </w:r>
      <w:proofErr w:type="spellEnd"/>
      <w:r>
        <w:rPr>
          <w:rFonts w:ascii="Arial" w:hAnsi="Arial" w:cs="Arial"/>
          <w:sz w:val="15"/>
          <w:szCs w:val="15"/>
        </w:rPr>
        <w:t xml:space="preserve"> </w:t>
      </w:r>
      <w:proofErr w:type="spellStart"/>
      <w:r>
        <w:rPr>
          <w:rFonts w:ascii="Arial" w:hAnsi="Arial" w:cs="Arial"/>
          <w:sz w:val="15"/>
          <w:szCs w:val="15"/>
        </w:rPr>
        <w:t>Prevention</w:t>
      </w:r>
      <w:proofErr w:type="spellEnd"/>
      <w:r>
        <w:rPr>
          <w:rFonts w:ascii="Arial" w:hAnsi="Arial" w:cs="Arial"/>
          <w:sz w:val="15"/>
          <w:szCs w:val="15"/>
        </w:rPr>
        <w:t xml:space="preserve"> </w:t>
      </w:r>
      <w:proofErr w:type="spellStart"/>
      <w:r>
        <w:rPr>
          <w:rFonts w:ascii="Arial" w:hAnsi="Arial" w:cs="Arial"/>
          <w:sz w:val="15"/>
          <w:szCs w:val="15"/>
        </w:rPr>
        <w:t>and</w:t>
      </w:r>
      <w:proofErr w:type="spellEnd"/>
      <w:r>
        <w:rPr>
          <w:rFonts w:ascii="Arial" w:hAnsi="Arial" w:cs="Arial"/>
          <w:sz w:val="15"/>
          <w:szCs w:val="15"/>
        </w:rPr>
        <w:t xml:space="preserve"> </w:t>
      </w:r>
      <w:proofErr w:type="spellStart"/>
      <w:r>
        <w:rPr>
          <w:rFonts w:ascii="Arial" w:hAnsi="Arial" w:cs="Arial"/>
          <w:sz w:val="15"/>
          <w:szCs w:val="15"/>
        </w:rPr>
        <w:t>Combating</w:t>
      </w:r>
      <w:proofErr w:type="spellEnd"/>
      <w:r>
        <w:rPr>
          <w:rFonts w:ascii="Arial" w:hAnsi="Arial" w:cs="Arial"/>
          <w:sz w:val="15"/>
          <w:szCs w:val="15"/>
        </w:rPr>
        <w:t xml:space="preserve"> </w:t>
      </w:r>
      <w:proofErr w:type="spellStart"/>
      <w:r>
        <w:rPr>
          <w:rFonts w:ascii="Arial" w:hAnsi="Arial" w:cs="Arial"/>
          <w:sz w:val="15"/>
          <w:szCs w:val="15"/>
        </w:rPr>
        <w:t>Bureau</w:t>
      </w:r>
      <w:proofErr w:type="spellEnd"/>
      <w:r>
        <w:rPr>
          <w:rFonts w:ascii="Arial" w:hAnsi="Arial" w:cs="Arial"/>
          <w:sz w:val="15"/>
          <w:szCs w:val="15"/>
        </w:rPr>
        <w:t xml:space="preserve"> </w:t>
      </w:r>
      <w:proofErr w:type="spellStart"/>
      <w:r>
        <w:rPr>
          <w:rFonts w:ascii="Arial" w:hAnsi="Arial" w:cs="Arial"/>
          <w:sz w:val="15"/>
          <w:szCs w:val="15"/>
        </w:rPr>
        <w:t>and</w:t>
      </w:r>
      <w:proofErr w:type="spellEnd"/>
      <w:r>
        <w:rPr>
          <w:rFonts w:ascii="Arial" w:hAnsi="Arial" w:cs="Arial"/>
          <w:sz w:val="15"/>
          <w:szCs w:val="15"/>
        </w:rPr>
        <w:t xml:space="preserve"> it </w:t>
      </w:r>
      <w:proofErr w:type="spellStart"/>
      <w:r>
        <w:rPr>
          <w:rFonts w:ascii="Arial" w:hAnsi="Arial" w:cs="Arial"/>
          <w:sz w:val="15"/>
          <w:szCs w:val="15"/>
        </w:rPr>
        <w:t>is</w:t>
      </w:r>
      <w:proofErr w:type="spellEnd"/>
      <w:r>
        <w:rPr>
          <w:rFonts w:ascii="Arial" w:hAnsi="Arial" w:cs="Arial"/>
          <w:sz w:val="15"/>
          <w:szCs w:val="15"/>
        </w:rPr>
        <w:t xml:space="preserve"> </w:t>
      </w:r>
      <w:proofErr w:type="spellStart"/>
      <w:r>
        <w:rPr>
          <w:rFonts w:ascii="Arial" w:hAnsi="Arial" w:cs="Arial"/>
          <w:sz w:val="15"/>
          <w:szCs w:val="15"/>
        </w:rPr>
        <w:t>intended</w:t>
      </w:r>
      <w:proofErr w:type="spellEnd"/>
      <w:r>
        <w:rPr>
          <w:rFonts w:ascii="Arial" w:hAnsi="Arial" w:cs="Arial"/>
          <w:sz w:val="15"/>
          <w:szCs w:val="15"/>
        </w:rPr>
        <w:t xml:space="preserve"> </w:t>
      </w:r>
      <w:proofErr w:type="spellStart"/>
      <w:r>
        <w:rPr>
          <w:rFonts w:ascii="Arial" w:hAnsi="Arial" w:cs="Arial"/>
          <w:sz w:val="15"/>
          <w:szCs w:val="15"/>
        </w:rPr>
        <w:t>solely</w:t>
      </w:r>
      <w:proofErr w:type="spellEnd"/>
      <w:r>
        <w:rPr>
          <w:rFonts w:ascii="Arial" w:hAnsi="Arial" w:cs="Arial"/>
          <w:sz w:val="15"/>
          <w:szCs w:val="15"/>
        </w:rPr>
        <w:t xml:space="preserve"> </w:t>
      </w:r>
      <w:proofErr w:type="spellStart"/>
      <w:r>
        <w:rPr>
          <w:rFonts w:ascii="Arial" w:hAnsi="Arial" w:cs="Arial"/>
          <w:sz w:val="15"/>
          <w:szCs w:val="15"/>
        </w:rPr>
        <w:t>for</w:t>
      </w:r>
      <w:proofErr w:type="spellEnd"/>
      <w:r>
        <w:rPr>
          <w:rFonts w:ascii="Arial" w:hAnsi="Arial" w:cs="Arial"/>
          <w:sz w:val="15"/>
          <w:szCs w:val="15"/>
        </w:rPr>
        <w:t xml:space="preserve"> </w:t>
      </w:r>
      <w:proofErr w:type="spellStart"/>
      <w:r>
        <w:rPr>
          <w:rFonts w:ascii="Arial" w:hAnsi="Arial" w:cs="Arial"/>
          <w:sz w:val="15"/>
          <w:szCs w:val="15"/>
        </w:rPr>
        <w:t>the</w:t>
      </w:r>
      <w:proofErr w:type="spellEnd"/>
      <w:r>
        <w:rPr>
          <w:rFonts w:ascii="Arial" w:hAnsi="Arial" w:cs="Arial"/>
          <w:sz w:val="15"/>
          <w:szCs w:val="15"/>
        </w:rPr>
        <w:t xml:space="preserve"> </w:t>
      </w:r>
      <w:proofErr w:type="spellStart"/>
      <w:r>
        <w:rPr>
          <w:rFonts w:ascii="Arial" w:hAnsi="Arial" w:cs="Arial"/>
          <w:sz w:val="15"/>
          <w:szCs w:val="15"/>
        </w:rPr>
        <w:t>attention</w:t>
      </w:r>
      <w:proofErr w:type="spellEnd"/>
      <w:r>
        <w:rPr>
          <w:rFonts w:ascii="Arial" w:hAnsi="Arial" w:cs="Arial"/>
          <w:sz w:val="15"/>
          <w:szCs w:val="15"/>
        </w:rPr>
        <w:t xml:space="preserve"> </w:t>
      </w:r>
      <w:proofErr w:type="spellStart"/>
      <w:r>
        <w:rPr>
          <w:rFonts w:ascii="Arial" w:hAnsi="Arial" w:cs="Arial"/>
          <w:sz w:val="15"/>
          <w:szCs w:val="15"/>
        </w:rPr>
        <w:t>and</w:t>
      </w:r>
      <w:proofErr w:type="spellEnd"/>
      <w:r>
        <w:rPr>
          <w:rFonts w:ascii="Arial" w:hAnsi="Arial" w:cs="Arial"/>
          <w:sz w:val="15"/>
          <w:szCs w:val="15"/>
        </w:rPr>
        <w:t xml:space="preserve"> </w:t>
      </w:r>
      <w:proofErr w:type="spellStart"/>
      <w:r>
        <w:rPr>
          <w:rFonts w:ascii="Arial" w:hAnsi="Arial" w:cs="Arial"/>
          <w:sz w:val="15"/>
          <w:szCs w:val="15"/>
        </w:rPr>
        <w:t>use</w:t>
      </w:r>
      <w:proofErr w:type="spellEnd"/>
      <w:r>
        <w:rPr>
          <w:rFonts w:ascii="Arial" w:hAnsi="Arial" w:cs="Arial"/>
          <w:sz w:val="15"/>
          <w:szCs w:val="15"/>
        </w:rPr>
        <w:t xml:space="preserve"> </w:t>
      </w:r>
      <w:proofErr w:type="spellStart"/>
      <w:r>
        <w:rPr>
          <w:rFonts w:ascii="Arial" w:hAnsi="Arial" w:cs="Arial"/>
          <w:sz w:val="15"/>
          <w:szCs w:val="15"/>
        </w:rPr>
        <w:t>of</w:t>
      </w:r>
      <w:proofErr w:type="spellEnd"/>
      <w:r>
        <w:rPr>
          <w:rFonts w:ascii="Arial" w:hAnsi="Arial" w:cs="Arial"/>
          <w:sz w:val="15"/>
          <w:szCs w:val="15"/>
        </w:rPr>
        <w:t xml:space="preserve"> </w:t>
      </w:r>
      <w:proofErr w:type="spellStart"/>
      <w:r>
        <w:rPr>
          <w:rFonts w:ascii="Arial" w:hAnsi="Arial" w:cs="Arial"/>
          <w:sz w:val="15"/>
          <w:szCs w:val="15"/>
        </w:rPr>
        <w:t>the</w:t>
      </w:r>
      <w:proofErr w:type="spellEnd"/>
      <w:r>
        <w:rPr>
          <w:rFonts w:ascii="Arial" w:hAnsi="Arial" w:cs="Arial"/>
          <w:sz w:val="15"/>
          <w:szCs w:val="15"/>
        </w:rPr>
        <w:t xml:space="preserve"> </w:t>
      </w:r>
      <w:proofErr w:type="spellStart"/>
      <w:r>
        <w:rPr>
          <w:rFonts w:ascii="Arial" w:hAnsi="Arial" w:cs="Arial"/>
          <w:sz w:val="15"/>
          <w:szCs w:val="15"/>
        </w:rPr>
        <w:t>defined</w:t>
      </w:r>
      <w:proofErr w:type="spellEnd"/>
      <w:r>
        <w:rPr>
          <w:rFonts w:ascii="Arial" w:hAnsi="Arial" w:cs="Arial"/>
          <w:sz w:val="15"/>
          <w:szCs w:val="15"/>
        </w:rPr>
        <w:t xml:space="preserve"> recipient . </w:t>
      </w:r>
      <w:proofErr w:type="spellStart"/>
      <w:r>
        <w:rPr>
          <w:rFonts w:ascii="Arial" w:hAnsi="Arial" w:cs="Arial"/>
          <w:sz w:val="15"/>
          <w:szCs w:val="15"/>
        </w:rPr>
        <w:t>If</w:t>
      </w:r>
      <w:proofErr w:type="spellEnd"/>
      <w:r>
        <w:rPr>
          <w:rFonts w:ascii="Arial" w:hAnsi="Arial" w:cs="Arial"/>
          <w:sz w:val="15"/>
          <w:szCs w:val="15"/>
        </w:rPr>
        <w:t xml:space="preserve"> </w:t>
      </w:r>
      <w:proofErr w:type="spellStart"/>
      <w:r>
        <w:rPr>
          <w:rFonts w:ascii="Arial" w:hAnsi="Arial" w:cs="Arial"/>
          <w:sz w:val="15"/>
          <w:szCs w:val="15"/>
        </w:rPr>
        <w:t>you</w:t>
      </w:r>
      <w:proofErr w:type="spellEnd"/>
      <w:r>
        <w:rPr>
          <w:rFonts w:ascii="Arial" w:hAnsi="Arial" w:cs="Arial"/>
          <w:sz w:val="15"/>
          <w:szCs w:val="15"/>
        </w:rPr>
        <w:t xml:space="preserve"> </w:t>
      </w:r>
      <w:proofErr w:type="spellStart"/>
      <w:r>
        <w:rPr>
          <w:rFonts w:ascii="Arial" w:hAnsi="Arial" w:cs="Arial"/>
          <w:sz w:val="15"/>
          <w:szCs w:val="15"/>
        </w:rPr>
        <w:t>are</w:t>
      </w:r>
      <w:proofErr w:type="spellEnd"/>
      <w:r>
        <w:rPr>
          <w:rFonts w:ascii="Arial" w:hAnsi="Arial" w:cs="Arial"/>
          <w:sz w:val="15"/>
          <w:szCs w:val="15"/>
        </w:rPr>
        <w:t xml:space="preserve"> </w:t>
      </w:r>
      <w:proofErr w:type="spellStart"/>
      <w:r>
        <w:rPr>
          <w:rFonts w:ascii="Arial" w:hAnsi="Arial" w:cs="Arial"/>
          <w:sz w:val="15"/>
          <w:szCs w:val="15"/>
        </w:rPr>
        <w:t>not</w:t>
      </w:r>
      <w:proofErr w:type="spellEnd"/>
      <w:r>
        <w:rPr>
          <w:rFonts w:ascii="Arial" w:hAnsi="Arial" w:cs="Arial"/>
          <w:sz w:val="15"/>
          <w:szCs w:val="15"/>
        </w:rPr>
        <w:t xml:space="preserve"> </w:t>
      </w:r>
      <w:proofErr w:type="spellStart"/>
      <w:r>
        <w:rPr>
          <w:rFonts w:ascii="Arial" w:hAnsi="Arial" w:cs="Arial"/>
          <w:sz w:val="15"/>
          <w:szCs w:val="15"/>
        </w:rPr>
        <w:t>the</w:t>
      </w:r>
      <w:proofErr w:type="spellEnd"/>
      <w:r>
        <w:rPr>
          <w:rFonts w:ascii="Arial" w:hAnsi="Arial" w:cs="Arial"/>
          <w:sz w:val="15"/>
          <w:szCs w:val="15"/>
        </w:rPr>
        <w:t xml:space="preserve"> </w:t>
      </w:r>
      <w:proofErr w:type="spellStart"/>
      <w:r>
        <w:rPr>
          <w:rFonts w:ascii="Arial" w:hAnsi="Arial" w:cs="Arial"/>
          <w:sz w:val="15"/>
          <w:szCs w:val="15"/>
        </w:rPr>
        <w:t>intended</w:t>
      </w:r>
      <w:proofErr w:type="spellEnd"/>
      <w:r>
        <w:rPr>
          <w:rFonts w:ascii="Arial" w:hAnsi="Arial" w:cs="Arial"/>
          <w:sz w:val="15"/>
          <w:szCs w:val="15"/>
        </w:rPr>
        <w:t xml:space="preserve"> recipient </w:t>
      </w:r>
      <w:proofErr w:type="spellStart"/>
      <w:r>
        <w:rPr>
          <w:rFonts w:ascii="Arial" w:hAnsi="Arial" w:cs="Arial"/>
          <w:sz w:val="15"/>
          <w:szCs w:val="15"/>
        </w:rPr>
        <w:t>or</w:t>
      </w:r>
      <w:proofErr w:type="spellEnd"/>
      <w:r>
        <w:rPr>
          <w:rFonts w:ascii="Arial" w:hAnsi="Arial" w:cs="Arial"/>
          <w:sz w:val="15"/>
          <w:szCs w:val="15"/>
        </w:rPr>
        <w:t xml:space="preserve"> </w:t>
      </w:r>
      <w:proofErr w:type="spellStart"/>
      <w:r>
        <w:rPr>
          <w:rFonts w:ascii="Arial" w:hAnsi="Arial" w:cs="Arial"/>
          <w:sz w:val="15"/>
          <w:szCs w:val="15"/>
        </w:rPr>
        <w:t>the</w:t>
      </w:r>
      <w:proofErr w:type="spellEnd"/>
      <w:r>
        <w:rPr>
          <w:rFonts w:ascii="Arial" w:hAnsi="Arial" w:cs="Arial"/>
          <w:sz w:val="15"/>
          <w:szCs w:val="15"/>
        </w:rPr>
        <w:t xml:space="preserve"> </w:t>
      </w:r>
      <w:proofErr w:type="spellStart"/>
      <w:r>
        <w:rPr>
          <w:rFonts w:ascii="Arial" w:hAnsi="Arial" w:cs="Arial"/>
          <w:sz w:val="15"/>
          <w:szCs w:val="15"/>
        </w:rPr>
        <w:t>person</w:t>
      </w:r>
      <w:proofErr w:type="spellEnd"/>
      <w:r>
        <w:rPr>
          <w:rFonts w:ascii="Arial" w:hAnsi="Arial" w:cs="Arial"/>
          <w:sz w:val="15"/>
          <w:szCs w:val="15"/>
        </w:rPr>
        <w:t xml:space="preserve"> </w:t>
      </w:r>
      <w:proofErr w:type="spellStart"/>
      <w:r>
        <w:rPr>
          <w:rFonts w:ascii="Arial" w:hAnsi="Arial" w:cs="Arial"/>
          <w:sz w:val="15"/>
          <w:szCs w:val="15"/>
        </w:rPr>
        <w:t>eligible</w:t>
      </w:r>
      <w:proofErr w:type="spellEnd"/>
      <w:r>
        <w:rPr>
          <w:rFonts w:ascii="Arial" w:hAnsi="Arial" w:cs="Arial"/>
          <w:sz w:val="15"/>
          <w:szCs w:val="15"/>
        </w:rPr>
        <w:t xml:space="preserve"> to </w:t>
      </w:r>
      <w:proofErr w:type="spellStart"/>
      <w:r>
        <w:rPr>
          <w:rFonts w:ascii="Arial" w:hAnsi="Arial" w:cs="Arial"/>
          <w:sz w:val="15"/>
          <w:szCs w:val="15"/>
        </w:rPr>
        <w:t>receive</w:t>
      </w:r>
      <w:proofErr w:type="spellEnd"/>
      <w:r>
        <w:rPr>
          <w:rFonts w:ascii="Arial" w:hAnsi="Arial" w:cs="Arial"/>
          <w:sz w:val="15"/>
          <w:szCs w:val="15"/>
        </w:rPr>
        <w:t xml:space="preserve"> </w:t>
      </w:r>
      <w:proofErr w:type="spellStart"/>
      <w:r>
        <w:rPr>
          <w:rFonts w:ascii="Arial" w:hAnsi="Arial" w:cs="Arial"/>
          <w:sz w:val="15"/>
          <w:szCs w:val="15"/>
        </w:rPr>
        <w:t>this</w:t>
      </w:r>
      <w:proofErr w:type="spellEnd"/>
      <w:r>
        <w:rPr>
          <w:rFonts w:ascii="Arial" w:hAnsi="Arial" w:cs="Arial"/>
          <w:sz w:val="15"/>
          <w:szCs w:val="15"/>
        </w:rPr>
        <w:t xml:space="preserve"> </w:t>
      </w:r>
      <w:proofErr w:type="spellStart"/>
      <w:r>
        <w:rPr>
          <w:rFonts w:ascii="Arial" w:hAnsi="Arial" w:cs="Arial"/>
          <w:sz w:val="15"/>
          <w:szCs w:val="15"/>
        </w:rPr>
        <w:t>message</w:t>
      </w:r>
      <w:proofErr w:type="spellEnd"/>
      <w:r>
        <w:rPr>
          <w:rFonts w:ascii="Arial" w:hAnsi="Arial" w:cs="Arial"/>
          <w:sz w:val="15"/>
          <w:szCs w:val="15"/>
        </w:rPr>
        <w:t xml:space="preserve">, </w:t>
      </w:r>
      <w:proofErr w:type="spellStart"/>
      <w:r>
        <w:rPr>
          <w:rFonts w:ascii="Arial" w:hAnsi="Arial" w:cs="Arial"/>
          <w:sz w:val="15"/>
          <w:szCs w:val="15"/>
        </w:rPr>
        <w:t>please</w:t>
      </w:r>
      <w:proofErr w:type="spellEnd"/>
      <w:r>
        <w:rPr>
          <w:rFonts w:ascii="Arial" w:hAnsi="Arial" w:cs="Arial"/>
          <w:sz w:val="15"/>
          <w:szCs w:val="15"/>
        </w:rPr>
        <w:t xml:space="preserve"> </w:t>
      </w:r>
      <w:proofErr w:type="spellStart"/>
      <w:r>
        <w:rPr>
          <w:rFonts w:ascii="Arial" w:hAnsi="Arial" w:cs="Arial"/>
          <w:sz w:val="15"/>
          <w:szCs w:val="15"/>
        </w:rPr>
        <w:t>contact</w:t>
      </w:r>
      <w:proofErr w:type="spellEnd"/>
      <w:r>
        <w:rPr>
          <w:rFonts w:ascii="Arial" w:hAnsi="Arial" w:cs="Arial"/>
          <w:sz w:val="15"/>
          <w:szCs w:val="15"/>
        </w:rPr>
        <w:t xml:space="preserve"> </w:t>
      </w:r>
      <w:proofErr w:type="spellStart"/>
      <w:r>
        <w:rPr>
          <w:rFonts w:ascii="Arial" w:hAnsi="Arial" w:cs="Arial"/>
          <w:sz w:val="15"/>
          <w:szCs w:val="15"/>
        </w:rPr>
        <w:t>the</w:t>
      </w:r>
      <w:proofErr w:type="spellEnd"/>
      <w:r>
        <w:rPr>
          <w:rFonts w:ascii="Arial" w:hAnsi="Arial" w:cs="Arial"/>
          <w:sz w:val="15"/>
          <w:szCs w:val="15"/>
        </w:rPr>
        <w:t xml:space="preserve"> </w:t>
      </w:r>
      <w:proofErr w:type="spellStart"/>
      <w:r>
        <w:rPr>
          <w:rFonts w:ascii="Arial" w:hAnsi="Arial" w:cs="Arial"/>
          <w:sz w:val="15"/>
          <w:szCs w:val="15"/>
        </w:rPr>
        <w:t>sender</w:t>
      </w:r>
      <w:proofErr w:type="spellEnd"/>
      <w:r>
        <w:rPr>
          <w:rFonts w:ascii="Arial" w:hAnsi="Arial" w:cs="Arial"/>
          <w:sz w:val="15"/>
          <w:szCs w:val="15"/>
        </w:rPr>
        <w:t xml:space="preserve"> </w:t>
      </w:r>
      <w:proofErr w:type="spellStart"/>
      <w:r>
        <w:rPr>
          <w:rFonts w:ascii="Arial" w:hAnsi="Arial" w:cs="Arial"/>
          <w:sz w:val="15"/>
          <w:szCs w:val="15"/>
        </w:rPr>
        <w:t>and</w:t>
      </w:r>
      <w:proofErr w:type="spellEnd"/>
      <w:r>
        <w:rPr>
          <w:rFonts w:ascii="Arial" w:hAnsi="Arial" w:cs="Arial"/>
          <w:sz w:val="15"/>
          <w:szCs w:val="15"/>
        </w:rPr>
        <w:t xml:space="preserve"> </w:t>
      </w:r>
      <w:proofErr w:type="spellStart"/>
      <w:r>
        <w:rPr>
          <w:rFonts w:ascii="Arial" w:hAnsi="Arial" w:cs="Arial"/>
          <w:sz w:val="15"/>
          <w:szCs w:val="15"/>
        </w:rPr>
        <w:t>delete</w:t>
      </w:r>
      <w:proofErr w:type="spellEnd"/>
      <w:r>
        <w:rPr>
          <w:rFonts w:ascii="Arial" w:hAnsi="Arial" w:cs="Arial"/>
          <w:sz w:val="15"/>
          <w:szCs w:val="15"/>
        </w:rPr>
        <w:t xml:space="preserve"> </w:t>
      </w:r>
      <w:proofErr w:type="spellStart"/>
      <w:r>
        <w:rPr>
          <w:rFonts w:ascii="Arial" w:hAnsi="Arial" w:cs="Arial"/>
          <w:sz w:val="15"/>
          <w:szCs w:val="15"/>
        </w:rPr>
        <w:t>this</w:t>
      </w:r>
      <w:proofErr w:type="spellEnd"/>
      <w:r>
        <w:rPr>
          <w:rFonts w:ascii="Arial" w:hAnsi="Arial" w:cs="Arial"/>
          <w:sz w:val="15"/>
          <w:szCs w:val="15"/>
        </w:rPr>
        <w:t xml:space="preserve"> e-</w:t>
      </w:r>
      <w:proofErr w:type="spellStart"/>
      <w:r>
        <w:rPr>
          <w:rFonts w:ascii="Arial" w:hAnsi="Arial" w:cs="Arial"/>
          <w:sz w:val="15"/>
          <w:szCs w:val="15"/>
        </w:rPr>
        <w:t>mail</w:t>
      </w:r>
      <w:proofErr w:type="spellEnd"/>
      <w:r>
        <w:rPr>
          <w:rFonts w:ascii="Arial" w:hAnsi="Arial" w:cs="Arial"/>
          <w:sz w:val="15"/>
          <w:szCs w:val="15"/>
        </w:rPr>
        <w:t xml:space="preserve"> </w:t>
      </w:r>
      <w:proofErr w:type="spellStart"/>
      <w:r>
        <w:rPr>
          <w:rFonts w:ascii="Arial" w:hAnsi="Arial" w:cs="Arial"/>
          <w:sz w:val="15"/>
          <w:szCs w:val="15"/>
        </w:rPr>
        <w:t>message</w:t>
      </w:r>
      <w:proofErr w:type="spellEnd"/>
      <w:r>
        <w:rPr>
          <w:rFonts w:ascii="Arial" w:hAnsi="Arial" w:cs="Arial"/>
          <w:sz w:val="15"/>
          <w:szCs w:val="15"/>
        </w:rPr>
        <w:t xml:space="preserve"> </w:t>
      </w:r>
      <w:proofErr w:type="spellStart"/>
      <w:r>
        <w:rPr>
          <w:rFonts w:ascii="Arial" w:hAnsi="Arial" w:cs="Arial"/>
          <w:sz w:val="15"/>
          <w:szCs w:val="15"/>
        </w:rPr>
        <w:t>from</w:t>
      </w:r>
      <w:proofErr w:type="spellEnd"/>
      <w:r>
        <w:rPr>
          <w:rFonts w:ascii="Arial" w:hAnsi="Arial" w:cs="Arial"/>
          <w:sz w:val="15"/>
          <w:szCs w:val="15"/>
        </w:rPr>
        <w:t xml:space="preserve"> </w:t>
      </w:r>
      <w:proofErr w:type="spellStart"/>
      <w:r>
        <w:rPr>
          <w:rFonts w:ascii="Arial" w:hAnsi="Arial" w:cs="Arial"/>
          <w:sz w:val="15"/>
          <w:szCs w:val="15"/>
        </w:rPr>
        <w:t>your</w:t>
      </w:r>
      <w:proofErr w:type="spellEnd"/>
      <w:r>
        <w:rPr>
          <w:rFonts w:ascii="Arial" w:hAnsi="Arial" w:cs="Arial"/>
          <w:sz w:val="15"/>
          <w:szCs w:val="15"/>
        </w:rPr>
        <w:t xml:space="preserve"> </w:t>
      </w:r>
      <w:proofErr w:type="spellStart"/>
      <w:r>
        <w:rPr>
          <w:rFonts w:ascii="Arial" w:hAnsi="Arial" w:cs="Arial"/>
          <w:sz w:val="15"/>
          <w:szCs w:val="15"/>
        </w:rPr>
        <w:t>system</w:t>
      </w:r>
      <w:proofErr w:type="spellEnd"/>
      <w:r>
        <w:rPr>
          <w:rFonts w:ascii="Arial" w:hAnsi="Arial" w:cs="Arial"/>
          <w:sz w:val="15"/>
          <w:szCs w:val="15"/>
        </w:rPr>
        <w:t>.</w:t>
      </w:r>
      <w:r>
        <w:br/>
      </w:r>
      <w:r>
        <w:br/>
      </w:r>
      <w:r>
        <w:rPr>
          <w:rFonts w:ascii="Arial" w:hAnsi="Arial" w:cs="Arial"/>
          <w:sz w:val="15"/>
          <w:szCs w:val="15"/>
        </w:rPr>
        <w:t>Par saudzīgu attieksmi pret dabu. Lūdzu, apsveriet, vai šo e-pastu ir nepieciešams izdrukāt.</w:t>
      </w:r>
      <w:r>
        <w:br/>
      </w:r>
      <w:r>
        <w:br/>
      </w:r>
      <w:proofErr w:type="spellStart"/>
      <w:r>
        <w:rPr>
          <w:rFonts w:ascii="Arial" w:hAnsi="Arial" w:cs="Arial"/>
          <w:sz w:val="15"/>
          <w:szCs w:val="15"/>
        </w:rPr>
        <w:t>Please</w:t>
      </w:r>
      <w:proofErr w:type="spellEnd"/>
      <w:r>
        <w:rPr>
          <w:rFonts w:ascii="Arial" w:hAnsi="Arial" w:cs="Arial"/>
          <w:sz w:val="15"/>
          <w:szCs w:val="15"/>
        </w:rPr>
        <w:t xml:space="preserve"> </w:t>
      </w:r>
      <w:proofErr w:type="spellStart"/>
      <w:r>
        <w:rPr>
          <w:rFonts w:ascii="Arial" w:hAnsi="Arial" w:cs="Arial"/>
          <w:sz w:val="15"/>
          <w:szCs w:val="15"/>
        </w:rPr>
        <w:t>consider</w:t>
      </w:r>
      <w:proofErr w:type="spellEnd"/>
      <w:r>
        <w:rPr>
          <w:rFonts w:ascii="Arial" w:hAnsi="Arial" w:cs="Arial"/>
          <w:sz w:val="15"/>
          <w:szCs w:val="15"/>
        </w:rPr>
        <w:t xml:space="preserve"> </w:t>
      </w:r>
      <w:proofErr w:type="spellStart"/>
      <w:r>
        <w:rPr>
          <w:rFonts w:ascii="Arial" w:hAnsi="Arial" w:cs="Arial"/>
          <w:sz w:val="15"/>
          <w:szCs w:val="15"/>
        </w:rPr>
        <w:t>the</w:t>
      </w:r>
      <w:proofErr w:type="spellEnd"/>
      <w:r>
        <w:rPr>
          <w:rFonts w:ascii="Arial" w:hAnsi="Arial" w:cs="Arial"/>
          <w:sz w:val="15"/>
          <w:szCs w:val="15"/>
        </w:rPr>
        <w:t xml:space="preserve"> </w:t>
      </w:r>
      <w:proofErr w:type="spellStart"/>
      <w:r>
        <w:rPr>
          <w:rFonts w:ascii="Arial" w:hAnsi="Arial" w:cs="Arial"/>
          <w:sz w:val="15"/>
          <w:szCs w:val="15"/>
        </w:rPr>
        <w:t>environment</w:t>
      </w:r>
      <w:proofErr w:type="spellEnd"/>
      <w:r>
        <w:rPr>
          <w:rFonts w:ascii="Arial" w:hAnsi="Arial" w:cs="Arial"/>
          <w:sz w:val="15"/>
          <w:szCs w:val="15"/>
        </w:rPr>
        <w:t xml:space="preserve"> </w:t>
      </w:r>
      <w:proofErr w:type="spellStart"/>
      <w:r>
        <w:rPr>
          <w:rFonts w:ascii="Arial" w:hAnsi="Arial" w:cs="Arial"/>
          <w:sz w:val="15"/>
          <w:szCs w:val="15"/>
        </w:rPr>
        <w:t>before</w:t>
      </w:r>
      <w:proofErr w:type="spellEnd"/>
      <w:r>
        <w:rPr>
          <w:rFonts w:ascii="Arial" w:hAnsi="Arial" w:cs="Arial"/>
          <w:sz w:val="15"/>
          <w:szCs w:val="15"/>
        </w:rPr>
        <w:t xml:space="preserve"> </w:t>
      </w:r>
      <w:proofErr w:type="spellStart"/>
      <w:r>
        <w:rPr>
          <w:rFonts w:ascii="Arial" w:hAnsi="Arial" w:cs="Arial"/>
          <w:sz w:val="15"/>
          <w:szCs w:val="15"/>
        </w:rPr>
        <w:t>printing</w:t>
      </w:r>
      <w:proofErr w:type="spellEnd"/>
      <w:r>
        <w:rPr>
          <w:rFonts w:ascii="Arial" w:hAnsi="Arial" w:cs="Arial"/>
          <w:sz w:val="15"/>
          <w:szCs w:val="15"/>
        </w:rPr>
        <w:t xml:space="preserve"> </w:t>
      </w:r>
      <w:proofErr w:type="spellStart"/>
      <w:r>
        <w:rPr>
          <w:rFonts w:ascii="Arial" w:hAnsi="Arial" w:cs="Arial"/>
          <w:sz w:val="15"/>
          <w:szCs w:val="15"/>
        </w:rPr>
        <w:t>this</w:t>
      </w:r>
      <w:proofErr w:type="spellEnd"/>
      <w:r>
        <w:rPr>
          <w:rFonts w:ascii="Arial" w:hAnsi="Arial" w:cs="Arial"/>
          <w:sz w:val="15"/>
          <w:szCs w:val="15"/>
        </w:rPr>
        <w:t xml:space="preserve"> e-</w:t>
      </w:r>
      <w:proofErr w:type="spellStart"/>
      <w:r>
        <w:rPr>
          <w:rFonts w:ascii="Arial" w:hAnsi="Arial" w:cs="Arial"/>
          <w:sz w:val="15"/>
          <w:szCs w:val="15"/>
        </w:rPr>
        <w:t>mail</w:t>
      </w:r>
      <w:proofErr w:type="spellEnd"/>
      <w:r>
        <w:rPr>
          <w:rFonts w:ascii="Arial" w:hAnsi="Arial" w:cs="Arial"/>
          <w:sz w:val="15"/>
          <w:szCs w:val="15"/>
        </w:rPr>
        <w:t>.</w:t>
      </w:r>
      <w:bookmarkEnd w:id="0"/>
    </w:p>
    <w:p w:rsidR="00253694" w:rsidRDefault="00253694"/>
    <w:sectPr w:rsidR="00253694" w:rsidSect="002F00E2">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704"/>
    <w:rsid w:val="00253694"/>
    <w:rsid w:val="002F00E2"/>
    <w:rsid w:val="00E7770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034CEA-D6C8-49AF-B14E-98A41036C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7704"/>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77704"/>
    <w:rPr>
      <w:color w:val="0000FF"/>
      <w:u w:val="single"/>
    </w:rPr>
  </w:style>
  <w:style w:type="paragraph" w:styleId="NormalWeb">
    <w:name w:val="Normal (Web)"/>
    <w:basedOn w:val="Normal"/>
    <w:uiPriority w:val="99"/>
    <w:semiHidden/>
    <w:unhideWhenUsed/>
    <w:rsid w:val="00E7770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360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knab.gov.lv" TargetMode="External"/><Relationship Id="rId12" Type="http://schemas.openxmlformats.org/officeDocument/2006/relationships/hyperlink" Target="http://twitter.com/KNABinform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iga.Bernharde@knab.gov.lv" TargetMode="External"/><Relationship Id="rId11" Type="http://schemas.openxmlformats.org/officeDocument/2006/relationships/hyperlink" Target="mailto:knab@knab.gov.lv" TargetMode="External"/><Relationship Id="rId5" Type="http://schemas.openxmlformats.org/officeDocument/2006/relationships/hyperlink" Target="mailto:liga.bernharde@knab.gov.lv" TargetMode="External"/><Relationship Id="rId10" Type="http://schemas.openxmlformats.org/officeDocument/2006/relationships/hyperlink" Target="http://twitter.com/KNABinforme" TargetMode="External"/><Relationship Id="rId4" Type="http://schemas.openxmlformats.org/officeDocument/2006/relationships/hyperlink" Target="mailto:anna.alosina@knab.gov.lv" TargetMode="External"/><Relationship Id="rId9" Type="http://schemas.openxmlformats.org/officeDocument/2006/relationships/hyperlink" Target="mailto:knab@knab.gov.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3214</Words>
  <Characters>1832</Characters>
  <Application>Microsoft Office Word</Application>
  <DocSecurity>0</DocSecurity>
  <Lines>15</Lines>
  <Paragraphs>10</Paragraphs>
  <ScaleCrop>false</ScaleCrop>
  <Company/>
  <LinksUpToDate>false</LinksUpToDate>
  <CharactersWithSpaces>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Kroja</dc:creator>
  <cp:keywords/>
  <dc:description/>
  <cp:lastModifiedBy>Inta Kroja</cp:lastModifiedBy>
  <cp:revision>1</cp:revision>
  <dcterms:created xsi:type="dcterms:W3CDTF">2021-03-19T07:23:00Z</dcterms:created>
  <dcterms:modified xsi:type="dcterms:W3CDTF">2021-03-19T07:24:00Z</dcterms:modified>
</cp:coreProperties>
</file>