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4. oktobra noteikumos Nr. 754 "Noteikumi par kriminālprocesuālo izdevumu atlīdzināšanas kārtību un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norāda, ka procesuālie izdevumi būs tikai tajos izbeigtajos administratīvā pārkāpuma procesos, kuri izbeigti, nododot materiālus izmeklēšanas iestādei (pārkāpumā saskatāmas noziedzīga nodarījuma pazīmes vai jau uzsākts kriminālprocess par to pašu faktu). Līdz ar to, norma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Izdevumus, kas radušies administratīvā pārkāpuma lietā, kurā pieņemts lēmums par administratīvā pārkāpuma procesa izbeigšanu, materiālus nododot izmeklēšanas iestādei, vai pieņemtais nolēmums ir atcelts sakarā ar kriminālprocesa uzsākšanu, vai zaudējis spēku sakarā ar personas saukšanu pie kriminālatbildības, atlīdzina faktiskajā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Ģenerālprokuratūras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norāda, ka nav skaidrs, kāpēc ar noteikumu projekta 11. punktu tiek izteikts jaunā redakcijā noteikumu 7. punkts, ja, salīdzinot ar spēkā esošo šī punkta redakciju, nekas nav mainīts. Attiecībā uz uzziņu, par ko ir norāde noteikumu projekta 11.punktā, ir paredzēts atsevišķs grozījums noteikumu projekta 18 punktā. Ievērojot minēto, aicinām noteikumu projekta 11.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TAP automātiski izveidots punkta grozījums, jo tika mainīts viss pielikums, tādēļ nepieciešams veidot jaunu atsauci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skaidru piemērošanu, prokuratūra vērš uzmanību uz to, ka normā ir ne tikai konsekventi jālieto vienota terminoloģija, bet arī jāatšifrē visi izdevumi, kādi var rasties, izmantojot personīgo transportlīdzekli, kam nav degvielas patēriņa, bet ir elektroenerģijas patēriņš.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izdevumus par personīgā transportlīdzekļa izmantošanu — atbilstoši patērētajai degvielai vai elektroenerģijai, ņemot vērā brauciena maršrutu un kilometrāžu, kā arī attiecīgā transportlīdzekļa degvielas vai elektroenerģijas patēriņu, ievērojot, ka degvielas, izņemot gāzes degvielu, vidējais patēriņš uz 100 km nepārsniedz 10 litrus vai gāzes degvielas vidējais patēriņš uz 100 km nepārsniedz 11 litrus, vai enerģijas vidējais patēriņš M1 kategorijas elektrotransportlīdzekļiem nepārsniedz 17,5 kWh uz 100 km, vai enerģijas vidējais patēriņš N1 kategorijas elektrotransportlīdzekļiem nepārsniedz 27,1 kWh uz 100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Ģenerālprokuratūras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vērš uzmanību uz to, ka nav pieļaujams mainīt Kriminālprocesa likuma 367.panta pirmās daļas 7.1 punkta formulējumu, pārceļot norādi par materiālu nodošanu izmeklēšanas iestādei uz punkta sākumu, jo tas maina likumā noteikto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likumā norāde par materiālu nodošanu izmeklēšanas iestādei ir saistīta tikai ar lēmumiem par administratīvā pārkāpuma procesa izbeigšanu, tādējādi uzsverot, ka tas ir gadījumos, kad noskaidrots, ka pārkāpumā saskatāmas noziedzīga nodarījuma pazīmes vai ir jau uzsākts kriminālprocess, kas ir administratīvā pārkāpuma procesa nepieļaujošs apstāklis. Tad tiek pieņemts lēmums par administratīvā pārkāpuma procesa izbeigšanu un materiālu nodošanu izmeklēšanas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2 likumā paredzētie gadījumi ir saistīti ar jau pieņemtajiem nolēmumiem, kas attiecīgi tiek atcelti vai zaudē spēku (bez sasaistes ar materiālu nodošanu izmeklēšanas iestādei). Turklāt, ja pieņemtais lēmums administratīvā pārkāpuma lietā zaudē spēku sakarā ar saukšanu pie kriminālatbildības, tad materiāli būs jānodod (ja prokurors to prasīs) prokuratūrai, nevis izmeklēšanas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kārtību, kādā atlīdzina izdevumus, kas radušies administratīvā pārkāpuma lietā, kurā pieņemts lēmums par administratīvā pārkāpuma procesa izbeigšanu, materiālus nododot izmeklēšanas iestādei, vai pieņemtais nolēmums ir atcelts sakarā ar kriminālprocesa uzsākšanu vai zaudējis spēku sakarā ar personas saukšanu pie kriminālatbildības;".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Ģenerālprokuratūras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tekstā lietot Kriminālprocesa likuma terminoloģiju. Kriminālprocesa likuma 367.panta pirmās daļas 5.punktā ir lietots termins "pārsūtīšana" nevis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pēc ieinteresētās personas lūguma atlīdzina lietisko pierādījumu glabāšanas, pārsūtīšanas, realizācijas un iznīcināšanas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Ģenerālprokuratūras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normatīvā akta sākotnējās ietekmes novērtējuma ziņojumā (anotācijā) lietot Kriminālprocesa likumā lietoto terminoloģiju attiecībā uz lietisko pierādījumu "pārvietošanu". Kriminālprocesa likuma 367.panta pirmās daļas 5.punktā ir lietots termins "pārsūtīšana" nevis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lietots jēdziens "pārsūtīšana", vienlaikus papildinot tekstu ar nepieciešamību jēdzienu 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2005. gada 4. oktobra noteikumos Nr. 754 "Noteikumi par kriminālprocesuālo izdevumu atlīdzināšanas kārtību un apmēru" (Latvijas Vēstnesis, 2005, 162. nr.; 2013, 153.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 nomas labākas uztveramības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atlīdzina izmeklēšanas iestāde, prokuratūra, tiesa vai iestāde, kas administrē tiesas budžetu, no valsts budžetā šim mērķim paredzētajiem līdzekļiem, nodrošinot pēc iespējas ekonomiskāko risinājumu, saskaņā ar iestādes lēmumu, kas pieņemts, pamatojoties uz procesa virzītāja apstiprinātu personas iesniegumu un tam pievienotajiem izdevumus apliecinošajiem dokumentiem, ja šajos noteikumos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Ģenerālprokuratūras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2.1. sadaļā norādīts, ka projektam ir ietekme arī uz Latvijas Republiku kā juridisku personu, tomēr projekta sākotnējās ietekmes novērtējuma ziņojumā (anotācijā) nav norādīts attiecīgās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 tiek svītrots, tā vietā norādot uz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3.punkta sadaļu “Cita informācija”, norādot, ka ar noteikumu projekta izpildi saistītos izdevumus Tieslietu ministrija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Kriminālprocesuālos izdevumus sedz iestādes, prokuratūra vai tiesa, tādēļ nevaram atbalstīt Tieslietu ministrijas lomu izdevumu segšanā, bet tās vietā rakstot izmeklēšanas iestādes, prokuratūru un Tiesu administrāciju.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minēts, ka projekta izpildē tiks iesaistītas visas izmeklēšanas iestādes. Vienlaikus projektā kā saskaņošanas dalībnieki norādīti tikai Iekšlietu ministrija, Finanšu ministrija un 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Kriminālprocesa likuma 386. pants paredz izmeklēšanas iestāžu loku, kas ir plašāks nekā Iekšlietu ministrijas un Finanšu ministrijas padotībā esošās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izvērtējama nepieciešamība projektu skaņot arī ar citām izmeklēšanas iestādēm vai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projekts tiek skaņots ar Iekšlietu ministriju un Finanšu ministriju, kuru padotībā ir lielākās izmeklēšanas iestādes. Tomēr papildus arī jāmin, ka tiesību akta projekts ir publiski pieejams TAP portālā, un atzinuma sniegšanas termiņā jebkura institūcija var sniegt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kārtību, kādā atlīdzina izdevumus, kas izlietoti apreibinošu vielu ietekmes kontatēšanai veiktajās pārbaudēs;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noteikumi” 102. apakšpunktu noteikumu projekta 1. punktā raksta likumā noteikto pilnvarojumu Ministru kabinetam. Vēršama uzmanība, ka atbilstoši Kriminālprocesa likuma 386. panta regulējumam likumdevējs ir pilnvarojis Ministru kabinetu noteikt kārtību, kādā  sedzami izdevumi, kas saistīti ar alkohola koncentrācijas, narkotisko, psihotropo, toksisko vai citu apreibinošu vielu ietekmes konstatēšanai veiktajām pārbaudēm (Kriminālprocesa likuma 368.panta pirmās daļas 7.</w:t>
            </w:r>
            <w:r w:rsidR="00000000" w:rsidRPr="00000000" w:rsidDel="00000000">
              <w:rPr>
                <w:vertAlign w:val="superscript"/>
                <w:rtl w:val="0"/>
              </w:rPr>
              <w:t xml:space="preserve">2</w:t>
            </w:r>
            <w:r w:rsidR="00000000" w:rsidRPr="00000000" w:rsidDel="00000000">
              <w:rPr>
                <w:rtl w:val="0"/>
              </w:rPr>
              <w:t xml:space="preserve"> apakšpunkts). Ievērojot minēto, aizstāt noteikumu 1.2.</w:t>
            </w:r>
            <w:r w:rsidR="00000000" w:rsidRPr="00000000" w:rsidDel="00000000">
              <w:rPr>
                <w:vertAlign w:val="superscript"/>
                <w:rtl w:val="0"/>
              </w:rPr>
              <w:t xml:space="preserve">3</w:t>
            </w:r>
            <w:r w:rsidR="00000000" w:rsidRPr="00000000" w:rsidDel="00000000">
              <w:rPr>
                <w:rtl w:val="0"/>
              </w:rPr>
              <w:t xml:space="preserve"> apakšpunktā vārdus “izlietoti apreibinošu vielu konstatēšanai veiktajās pārbaudēs” ar vārdiem “saistīti ar alkohola koncentrācijas, narkotisko, psihotropo, toksisko vai citu apreibinošu vielu ietekmes konstatēšanai veiktajām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Iekšlietu ministrijas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kārtību, kādā atlīdzina izdevumus, kas saistīti ar alkohola koncentrācijas, narkotisko, psihotropo, toksisko vai citu apreibinošu vielu ietekmes konstatēšanai veiktajām pārbaudēm;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1.2.</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un 1.2.</w:t>
            </w:r>
            <w:r w:rsidR="00000000" w:rsidRPr="00000000" w:rsidDel="00000000">
              <w:rPr>
                <w:vertAlign w:val="superscript"/>
                <w:rtl w:val="0"/>
              </w:rPr>
              <w:t xml:space="preserve">5</w:t>
            </w:r>
            <w:r w:rsidR="00000000" w:rsidRPr="00000000" w:rsidDel="00000000">
              <w:rPr>
                <w:rtl w:val="0"/>
              </w:rPr>
              <w:t xml:space="preserve"> apakšpunktā minēto izdevumu segšanas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1.1.-1.2.</w:t>
            </w:r>
            <w:r w:rsidR="00000000" w:rsidRPr="00000000" w:rsidDel="00000000">
              <w:rPr>
                <w:vertAlign w:val="superscript"/>
                <w:rtl w:val="0"/>
              </w:rPr>
              <w:t xml:space="preserve">5</w:t>
            </w:r>
            <w:r w:rsidR="00000000" w:rsidRPr="00000000" w:rsidDel="00000000">
              <w:rPr>
                <w:rtl w:val="0"/>
              </w:rPr>
              <w:t xml:space="preserve"> apakšpunktā minēto izdevumu segšanas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Iekšlietu ministrijas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w:t>
            </w:r>
            <w:r w:rsidR="00000000" w:rsidRPr="00000000" w:rsidDel="00000000">
              <w:rPr>
                <w:rtl w:val="0"/>
              </w:rPr>
              <w:t xml:space="preserve">  - 1.2.</w:t>
            </w:r>
            <w:r w:rsidR="00000000" w:rsidRPr="00000000" w:rsidDel="00000000">
              <w:rPr>
                <w:vertAlign w:val="superscript"/>
                <w:rtl w:val="0"/>
              </w:rPr>
              <w:t xml:space="preserve">5</w:t>
            </w:r>
            <w:r w:rsidR="00000000" w:rsidRPr="00000000" w:rsidDel="00000000">
              <w:rPr>
                <w:rtl w:val="0"/>
              </w:rPr>
              <w:t xml:space="preserve"> apakšpunktā minēto izdevumu segšanas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atlīdzina izmeklēšanas iestāde, proku­ratūra, tiesa vai iestāde, kas administrē tiesas budžetu, no valsts budžetā šim mērķim paredzētajiem līdzekļiem, ar iestādes lēmumu, nodrošinot pēc iespējas ekonomiskāko risinājumu, pamatojoties uz procesa virzītāja apstiprinātu personas iesniegumu un tam pievienotajiem izdevumus apliecinošajiem dokumentiem, ja šajos noteiku­mos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vienkāršot normu un atvieglot tās uztveramību, atsakoties no daudzajiem palīgteikumiem un divdabju teicieniem, vai attiecīgi sadalot normu vairākos 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Ģenerālprokuratūras piedāvātajā redakcijā </w:t>
            </w:r>
            <w:r w:rsidR="00000000" w:rsidRPr="00000000" w:rsidDel="00000000">
              <w:rPr>
                <w:rtl w:val="0"/>
              </w:rPr>
              <w:t xml:space="preserve">nomas labākas uztveramības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atlīdzina izmeklēšanas iestāde, proku­ratūra, tiesa vai iestāde, kas administrē tiesas budžetu, no valsts budžetā šim mērķim paredzētajiem līdzekļiem, nodrošinot pēc iespējas ekonomiskāko risinājumu, saskaņā ar iestādes lēmumu, kas pieņemts, pamatojoties uz procesa virzītāja apstiprinātu personas iesniegumu un tam pievienotajiem izdevumus apliecinošajiem dokumentiem, ja šajos noteiku­mos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iestādei rodas šaubas par norādīto izdevumu apmēru, iestādei ir tiesības pieprasīt, bet personai ir pienākums iesniegt pierādījumus izdevumu pamatojumam un to atbilstībai tirgus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normu vai papildināt projekta sākotnējās ietekmes novērtējuma ziņojumu (anotāciju) ar skaidrojumu par nepieciešamību pamatot izdevumu atbilstību tirgus cenām nevis faktiskajam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uzsvērts uz līdzekļu lietderīgu izmantošanu, proti, ka būtiski ir vērtēt, cik faktiskais izlietojums ir atbilstošs tirgū esošajām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iestādei rodas šaubas par norādīto izdevumu apmēru, iestādei ir tiesības pieprasīt, bet personai ir pienākums iesniegt pierādījumus izdevumu pamatojumam un to atbilstībai tirgus cenām.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izdevumus par personīgā transportlīdzekļa izmantošanu — atbilstoši patērētajai degvielai, ņemot vērā brauciena maršrutu un kilometrāžu, kā arī attiecīgā transportlīdzekļa degvielas patēriņu, ņemot vērā, ka vidējais degvielas, izņemot gāzes degvielas, patēriņš uz 100 km nepārsniedz 10 litrus vai vidējais gāzes degvielas patēriņš uz 100 km nepārsniedz 11 litrus vai ņemot vērā, ka elektroauto enerģijas vidējais patēriņš M1 kategorijas transportlīdzekļiem nepārsniedz 17,5 kWh uz 100 km, bet N1 kategorijas elektro transportlīdzekļiem nepārsniedz 27,1 kWh uz 100 km.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vienkāršot normu, lai atvieglotu tās uztveramību, piemēram, sadalot normu vairākos 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Ģenerālprokuratūras priekšlikums, lai nodrošinātu normas skaidru piemērošanu, normā konsekventi lietojot vienotu terminoloģiju un atšifrējot visus izdevumi, kādi var rasties, izmantojot personīgo transportlīdzekli, kam nav degvielas patēriņa, bet ir elektroenerģijas patēriņš.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izdevumus par personīgā transportlīdzekļa izmantošanu — atbilstoši patērētajai degvielai vai elektroenerģijai, ņemot vērā brauciena maršrutu un kilometrāžu, kā arī attiecīgā transportlīdzekļa degvielas vai elektroenerģijas patēriņu, ievērojot, ka degvielas, izņemot gāzes degvielas, vidējais patēriņš uz 100 km nepārsniedz 10 litrus vai gāzes degvielas vidējais patēriņš uz 100 km nepārsniedz 11 litrus, vai enerģijas vidējais patēriņš M1 kategorijas elektrotransportlīdzekļiem nepārsniedz 17,5 kWh uz 100 km, vai enerģijas vidējais patēriņš N1 kategorijas elektrotransportlīdzekļiem nepārsniedz 27,1 kWh uz 100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Ekspertam, revidentam, tulkam vai speciālistam samaksā par procesa virzītāja uzdevumā paveikto darbu. Samaksas apmēru nosaka izmeklēšanas iestāde, prokuratūra, tiesa vai iestāde, kas administrē tiesas budžetu, ņemot vērā eksperta, revidenta, tulka vai speciālista kvalifikāciju un pamatojoties uz procesa virzītāja uzziņu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3.2.. apakšpunktu, normatīvā akta projektā neietver normas, kas dublē augstāka vai tāda paša spēka normatīvā akta tiesību normās ietverto normatīvo regulējumu. Izsakām priekšlikumu svītrot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TAP automātiski izveidoja punktu kā grozījumu, jo tika mainīts viss pielikums, tādēļ šajā punktā būs nepieciešams veidot jaunu atsauci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Ekspertam, revidentam, tulkam vai speciālistam samaksā par procesa virzītāja uzdevumā paveikto darbu. Samaksas apmēru nosaka izmeklēšanas iestāde, prokuratūra, tiesa vai iestāde, kas administrē tiesas budžetu, ņemot vērā eksperta, revidenta, tulka vai speciālista kvalifikāciju un pamatojoties uz procesa virzītāja uzziņu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Izdevumus, kas radušies administratīvā pārkāpuma lietā, kurā pieņemts lēmums par administratīvā pārkāpuma procesa izbeigšanu vai pieņemtais nolēmums ir atcelts sakarā ar kriminālprocesa uzsākšanu, vai zaudējis spēku sakarā ar personas saukšanu pie kriminālatbildības, atlīdzina faktiskajā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Kriminālprocesa likuma 368. panta pirmās daļas 7.</w:t>
            </w:r>
            <w:r w:rsidR="00000000" w:rsidRPr="00000000" w:rsidDel="00000000">
              <w:rPr>
                <w:vertAlign w:val="superscript"/>
                <w:rtl w:val="0"/>
              </w:rPr>
              <w:t xml:space="preserve">1 </w:t>
            </w:r>
            <w:r w:rsidR="00000000" w:rsidRPr="00000000" w:rsidDel="00000000">
              <w:rPr>
                <w:rtl w:val="0"/>
              </w:rPr>
              <w:t xml:space="preserve">apakšpunktā noteikto, kā arī projekta noteikumu 1.2.</w:t>
            </w:r>
            <w:r w:rsidR="00000000" w:rsidRPr="00000000" w:rsidDel="00000000">
              <w:rPr>
                <w:vertAlign w:val="superscript"/>
                <w:rtl w:val="0"/>
              </w:rPr>
              <w:t xml:space="preserve">2</w:t>
            </w:r>
            <w:r w:rsidR="00000000" w:rsidRPr="00000000" w:rsidDel="00000000">
              <w:rPr>
                <w:rtl w:val="0"/>
              </w:rPr>
              <w:t xml:space="preserve"> apakšpunktā paredzēto, papildināt noteikumu 10.</w:t>
            </w:r>
            <w:r w:rsidR="00000000" w:rsidRPr="00000000" w:rsidDel="00000000">
              <w:rPr>
                <w:vertAlign w:val="superscript"/>
                <w:rtl w:val="0"/>
              </w:rPr>
              <w:t xml:space="preserve">2</w:t>
            </w:r>
            <w:r w:rsidR="00000000" w:rsidRPr="00000000" w:rsidDel="00000000">
              <w:rPr>
                <w:rtl w:val="0"/>
              </w:rPr>
              <w:t xml:space="preserve"> punktu aiz vārda “izbeigšanu” ar vārdiem “materiālus nododot izmeklēšanas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Iekšlietu ministrijas piedāvātajā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Izdevumus, kas radušies administratīvā pārkāpuma lietā, kurā pieņemts lēmums par administratīvā pārkāpuma procesa izbeigšanu, materiālus nododot izmeklēšanas iestādei, vai pieņemtais nolēmums ir atcelts sakarā ar kriminālprocesa uzsākšanu, vai zaudējis spēku sakarā ar personas saukšanu pie kriminālatbildības, atlīdzina faktiskajā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Izdevumus, kas saistīti ar ārvalsts izdotās vai nodotās personas pārņemšanu, sedz: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Saistībā ar ārvalsts izdotās vai nodotās personas pārņemšanu sedz šādus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1. ceļa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2. apdrošināšanas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3. uzturēšanās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4. dienas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Iekšlietu ministrijas piedāvātajā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Saistībā ar ārvalsts izdotās vai nodotās personas pārņemšanu sedz šādus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Izdevumus, kas saistīti ar šo noteikumu izpildi, atlīdzina valsts budžeta likumā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veikt grozījumus MK 04.10.2005. noteikumos Nr.754, lai pietiekami skaidri noregulētu jautājumu par kriminālprocesa ietvaros arestēto finanšu līdzekļu uzglabāšanas izmaksām kredītiestādēs un par rīcību gadījumos, kad kredītiestādes lūdz atlīdzināt izdevumus, kas radušies arestēto finanšu līdzekļu uzglabāšanas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izvērtēt iespēju MK 04.10.2005. noteikumos Nr.754 paredzēt, ka izdevumus, kas saistīti ar MK 04.10.2005. noteikumu Nr.754 izpildi, atlīdzina ne tikai valsts budžeta likumā piešķirto valsts budžeta līdzekļu ietvaros, bet arī no valsts budžeta līdzekļiem neparedzētiem gadījumiem, piemēram, izsakot MK 04.10.2005. noteikumu 12.punktu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Izdevumus, kas saistīti ar šo noteikumu izpildi, atlīdzina valsts budžeta likumā piešķirto valsts budžeta līdzekļu ietvaros. Ja valsts budžeta likumā piešķirtie valsts budžeta līdzekļi procesuālo izdevumu atlīdzināšanai nav pietiekami, tos atlīdzina no valsts budžeta līdzekļiem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2023. gada 8. maijā sanāksmē par kriminālprocesuālajiem līdzekļiem un plānotajiem grozījumiem 2005. gada 4. oktobra Ministru kabineta noteikumos Nr. 754 “Noteikumi par kriminālprocesuālo izdevumu atlīdzināšanas kārtību un apmēru” tika skatīts arī jautājums par kriminālprocesā arestēto finanšu līdzekļu glabāšanu. Sanāksmē piedalījās FNA, Latvijas Bankas, Valsts Policijas un Ģenerālprokuratūras pārstāvji. Visas iesaistītās puses sanāksmē piekrita arestētos finanšu līdzekļus uzskatīt par procesuālajiem izdevumiem. Tomēr 2023. gada 24. jūlijā pēc Ģenerālprokuratūras lūguma tika rīkota atkārtota sanāksme, pieaicinot arī Korupcijas novēršanas un apkarošanas biroju, kurā atkārtoti tika meklēti risinājumi kriminālprocesā arestēto finanšu līdzekļu glabāšanai. Sanāksmē Ģenerālprokuratūras pārstāvji un Korupcijas novēršanas un apkarošanas biroja pārstāvji piekrita variantam, ka naudas noguldījumus un finanšu instrumentus ieskaita un glabā Ģenerālprokuratūras deponēto līdzekļu kontā Valsts kasē. Arī 2023. gada 1. augusta rīkotajā sanāksmē secināts, ka naudas noguldījumus un finanšu instrumentus ieskaita un glabā Ģenerālprokuratūras, vai attiecīgās izmeklēšanas iestādes deponēto līdzekļu kontā Valsts kasē. 2023. gada 28. septembrī notika KPL Pastāvīgā darba grupa, kuras ietvaros tika diskutēts par potenciālajiem grozījumiem un redakcijām KPL un Noziedzīgi iegūtas mantas konfiskācijas izpildes likumā. Darba grupas locekļi atbalstīja plānotās grozījumu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papildinājumu par valsts budžeta līdzekļiem neparedzētiem gadījumiem MK noteikumu Nr.754 12. punktā norādām, ka Ministru kabineta noteikumu Nr.421 “Kārtība, kādā veic gadskārtējā valsts budžeta likumā noteiktās apropriācijas izmaiņas” 41. punkts paredz, ka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Nebūtu atbalstāma tādu noteikumu projektu virzība, kuru īstenošana var netikt nodrošināta nepietiekama finansējuma dēļ, informējam, ka noteikumu projektā paredzēto normu izpilde ir jānodrošina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Izdevumus, kas saistīti ar šo noteikumu izpildi, atlīdzina valsts budžeta likumā piešķirto valsts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Izdevumus, kas saistīti ar šo noteikumu izpildi, atlīdzina likumā par valsts budžetu kārtējam gadam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Likumā par budžetu un finanšu vadību nodefinēto terminu "likums par valsts budžetu kārtējam gadam un vidēja termiņa budžeta ietvaru" un tā saīsinājumu "valsts budžeta likums", ierosinām noteikumu projektu papildināt ar grozījumu noteikumu 12. punktā, aizstājot tajā vārdus "likumā par valsts budžetu kārtējam gadam" ar vārdiem "valsts budžeta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Iekšlietu ministrijas norādītie grozījumi noteikumu 12. punktā, vienlaikus tiek papildināta anotācija par grozījumu nepieciešamību šajā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Izdevumus, kas saistīti ar šo noteikumu izpildi, atlīdzina valsts budžeta likumā piešķirto valsts budžeta līdzekļu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23-TA-1213</w:t>
    </w:r>
    <w:r>
      <w:br/>
    </w:r>
    <w:r w:rsidR="00000000" w:rsidRPr="00000000" w:rsidDel="00000000">
      <w:rPr>
        <w:rtl w:val="0"/>
      </w:rPr>
      <w:t xml:space="preserve">04.01.2024. 16.57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23-TA-1213</w:t>
    </w:r>
    <w:r>
      <w:br/>
    </w:r>
    <w:r w:rsidR="00000000" w:rsidRPr="00000000" w:rsidDel="00000000">
      <w:rPr>
        <w:rtl w:val="0"/>
      </w:rPr>
      <w:t xml:space="preserve">04.01.2024. 16.57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Izziņa_23-TA-1213.docx</dc:title>
</cp:coreProperties>
</file>

<file path=docProps/custom.xml><?xml version="1.0" encoding="utf-8"?>
<Properties xmlns="http://schemas.openxmlformats.org/officeDocument/2006/custom-properties" xmlns:vt="http://schemas.openxmlformats.org/officeDocument/2006/docPropsVTypes"/>
</file>