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anotācijas 1.3.sadaļā ietverto informāciju: ”</w:t>
            </w:r>
            <w:r w:rsidR="00000000" w:rsidRPr="00000000" w:rsidDel="00000000">
              <w:rPr>
                <w:i w:val="1"/>
                <w:rtl w:val="0"/>
              </w:rPr>
              <w:t xml:space="preserve">Noteikumos, iekļaujot normas par rīcību aizdevuma pārkreditācijas gadījumā, tika paredzēts, ka aizdevuma summas pieaugums būtu iespējams gadījumos, kad </w:t>
            </w:r>
            <w:r w:rsidR="00000000" w:rsidRPr="00000000" w:rsidDel="00000000">
              <w:rPr>
                <w:i w:val="1"/>
                <w:u w:val="single"/>
                <w:rtl w:val="0"/>
              </w:rPr>
              <w:t xml:space="preserve">aizņēmējs, pārkreditējoties izlemj veikt papildu ieguldījumus jau iegādātajā mājoklī</w:t>
            </w:r>
            <w:r w:rsidR="00000000" w:rsidRPr="00000000" w:rsidDel="00000000">
              <w:rPr>
                <w:i w:val="1"/>
                <w:rtl w:val="0"/>
              </w:rPr>
              <w:t xml:space="preserve">, piemēram, veicot būvniecību. Noteikumos tika noteikts, ka šādā gadījumā iespējams atteikties no sākotnēji piešķirtās garantijas un pieteikties atkārtotai garantijai, ja aizņēmējs atbilst garantijas piešķiršanas nosacījumiem</w:t>
            </w:r>
            <w:r w:rsidR="00000000" w:rsidRPr="00000000" w:rsidDel="00000000">
              <w:rPr>
                <w:rtl w:val="0"/>
              </w:rPr>
              <w:t xml:space="preserve">” un “</w:t>
            </w:r>
            <w:r w:rsidR="00000000" w:rsidRPr="00000000" w:rsidDel="00000000">
              <w:rPr>
                <w:i w:val="1"/>
                <w:rtl w:val="0"/>
              </w:rPr>
              <w:t xml:space="preserve">Precizējumi nosaka, ka hipotekārās pārkreditēšanas gadījumā ir akceptējams aizdevuma apmēra pieaugums tikai MK noteikumos Nr. 691 noteikto gadījumu dēļ</w:t>
            </w:r>
            <w:r w:rsidR="00000000" w:rsidRPr="00000000" w:rsidDel="00000000">
              <w:rPr>
                <w:rtl w:val="0"/>
              </w:rPr>
              <w:t xml:space="preserve">”,  jo sākotnēji grozījumi MK noteikumos tika veikti sasaistē ar pārkreditāciju, kad kredītņēmējs veic pārkreditēšanu pie cita kredīta devēja saskaņā ar 2016.gada MK noteikumu Nr. 691 “Noteikumi par patērētāja kreditēšanu” sadaļu XIV</w:t>
            </w:r>
            <w:r w:rsidR="00000000" w:rsidRPr="00000000" w:rsidDel="00000000">
              <w:rPr>
                <w:vertAlign w:val="superscript"/>
                <w:rtl w:val="0"/>
              </w:rPr>
              <w:t xml:space="preserve">1</w:t>
            </w:r>
            <w:r w:rsidR="00000000" w:rsidRPr="00000000" w:rsidDel="00000000">
              <w:rPr>
                <w:rtl w:val="0"/>
              </w:rPr>
              <w:t xml:space="preserve"> “Hipotekārās pārkreditēšanas procesa īstenošanas kārtība un termiņi”, kas </w:t>
            </w:r>
            <w:r w:rsidR="00000000" w:rsidRPr="00000000" w:rsidDel="00000000">
              <w:rPr>
                <w:u w:val="single"/>
                <w:rtl w:val="0"/>
              </w:rPr>
              <w:t xml:space="preserve">neparedz, ka aizņēmējs pārkreditējoties varētu palielināt kredīta summu</w:t>
            </w:r>
            <w:r w:rsidR="00000000" w:rsidRPr="00000000" w:rsidDel="00000000">
              <w:rPr>
                <w:rtl w:val="0"/>
              </w:rPr>
              <w:t xml:space="preserve"> un veikt papildu ieguldījumus jau iegādātajā mājoklī.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šādas </w:t>
            </w:r>
            <w:r w:rsidR="00000000" w:rsidRPr="00000000" w:rsidDel="00000000">
              <w:rPr>
                <w:u w:val="single"/>
                <w:rtl w:val="0"/>
              </w:rPr>
              <w:t xml:space="preserve">izmaiņas, ja nepieciešams, būtu papildus jāatrunā MK noteikumu projektā</w:t>
            </w:r>
            <w:r w:rsidR="00000000" w:rsidRPr="00000000" w:rsidDel="00000000">
              <w:rPr>
                <w:rtl w:val="0"/>
              </w:rPr>
              <w:t xml:space="preserve">, tai skaitā pie kādiem nosacījumiem var palielināt kredīta summu, jo piemēram, pārkreditējoties ar parādu, nebūtu pieļaujams kredīta summas palielinājums. Vienlaikus MK noteikumu projekta anotācijā jāietver pamatots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3.2.1., 3.2.3. un 3.2.4. apakšpunktā noteiktais darījuma summas ierobežojums nav attiecināms hipotekārās pārkreditēšanas gadījumā, ja darījuma summa pieaugusi normatīvajos aktos par patērētāja kreditēšanu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projektā papildus ietverto 3.3. punktu, ar kuru tiek atcelti MK noteikumu 3.2.1., 3.2.3. un 3.2.4. apakšpunktā noteiktie darījumu summas ierobežojumi, jo 3.3.apakšpunktā ietvertajam izņēmumam ir tieša ietekme uz MK noteikumu 6.punktu par garantijas apmēra noteikšanu, tas ir, palielinās garantijas summa, kas standarta gadījumā nav pieļaujama, un attiecīgi atbalsta programmā pieejamā kopējā finansējuma apjomu. Kā arī vēršam uzmanību, ka MK noteikumu projekta anotācijā nav ietverts skaidrs pamatojums šāda MK noteikumu projekta 3.3. apakšpunkta izņēmuma iekļaušanai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Finanšu ministriju.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3.2.1., 3.2.3. un 3.2.4. apakšpunktā noteiktais darījuma summas ierobežojums nav attiecināms hipotekārās pārkreditēšanas gadījumā, ja darījuma summa pieaugusi normatīvajos aktos par patērētāja kreditēšanu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11. punktā minēto maksu par garantijas izsniegšanu vai piešķiršanu, vai šo noteikumu 12.punktā noteikto garantijas maksu par garantijas nosacījumu maiņu nepiemēro hipotekārās pārkreditēšanas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anotāciju ar pamatotu skaidrojumu, tai skaitā ietvert konkrētas atsauces uz saistošo normatīvo aktu atbilstošajiem punktiem, par MK noteikumu projekta 11.</w:t>
            </w:r>
            <w:r w:rsidR="00000000" w:rsidRPr="00000000" w:rsidDel="00000000">
              <w:rPr>
                <w:vertAlign w:val="superscript"/>
                <w:rtl w:val="0"/>
              </w:rPr>
              <w:t xml:space="preserve">1</w:t>
            </w:r>
            <w:r w:rsidR="00000000" w:rsidRPr="00000000" w:rsidDel="00000000">
              <w:rPr>
                <w:rtl w:val="0"/>
              </w:rPr>
              <w:t xml:space="preserve"> punkta papildināšanu ar atsauci uz MK noteikumu 12. punktu un ietverto papildu nosacījumu par garantijas maksas nepiemērošanu hipotekārās pārkreditēšanas gadījumā, ja tiek mainīti garantijas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11. punktā minēto maksu par garantijas izsniegšanu vai piešķiršanu, vai šo noteikumu 12.punktā noteikto garantijas maksu par garantijas nosacījumu maiņu nepiemēro hipotekārās pārkreditēšanas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Garantija sedz neatmaksāto aizdevuma pamatsummu. Garantiju nesniedz aizdevuma procentu, kavējuma procentu, līgumsodu un citu veidu maksājumu segšanai, izņemot normatīvajos aktos par patērētāja kreditēšanu noteiktajā hipotekārās pārkreditēšanas gadījumā, kad ar aizdevumu tiek segtas aizņēmēja atlikušās attiecīgā aizdevuma saistības pret iepriekšējo aizdevēju.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precizēt MK noteikumu projekta 18. punktā ietverto papildinājumu “</w:t>
            </w:r>
            <w:r w:rsidR="00000000" w:rsidRPr="00000000" w:rsidDel="00000000">
              <w:rPr>
                <w:i w:val="1"/>
                <w:rtl w:val="0"/>
              </w:rPr>
              <w:t xml:space="preserve">izņemot normatīvajos aktos par patērētāja kreditēšanu noteiktajā hipotekārās pārkreditēšanas gadījumā, kad ar aizdevumu tiek segtas aizņēmēja atlikušās attiecīgā aizdevuma saistības pret iepriekšējo aizdevēju</w:t>
            </w:r>
            <w:r w:rsidR="00000000" w:rsidRPr="00000000" w:rsidDel="00000000">
              <w:rPr>
                <w:rtl w:val="0"/>
              </w:rPr>
              <w:t xml:space="preserve">”, to salāgojot ar MK noteikumu projekta 25.</w:t>
            </w:r>
            <w:r w:rsidR="00000000" w:rsidRPr="00000000" w:rsidDel="00000000">
              <w:rPr>
                <w:vertAlign w:val="superscript"/>
                <w:rtl w:val="0"/>
              </w:rPr>
              <w:t xml:space="preserve">3</w:t>
            </w:r>
            <w:r w:rsidR="00000000" w:rsidRPr="00000000" w:rsidDel="00000000">
              <w:rPr>
                <w:rtl w:val="0"/>
              </w:rPr>
              <w:t xml:space="preserve">2. apakšpunktu, jo ir pretrunā ar MK noteikumu projekta 25.</w:t>
            </w:r>
            <w:r w:rsidR="00000000" w:rsidRPr="00000000" w:rsidDel="00000000">
              <w:rPr>
                <w:vertAlign w:val="superscript"/>
                <w:rtl w:val="0"/>
              </w:rPr>
              <w:t xml:space="preserve">3</w:t>
            </w:r>
            <w:r w:rsidR="00000000" w:rsidRPr="00000000" w:rsidDel="00000000">
              <w:rPr>
                <w:rtl w:val="0"/>
              </w:rPr>
              <w:t xml:space="preserve">2. apakšpunktu, saskaņā ar kuru ir noteikts, ka, veicot hipotekāro pārkreditēšanu, garantija sedz visu jaunā aizdevuma </w:t>
            </w:r>
            <w:r w:rsidR="00000000" w:rsidRPr="00000000" w:rsidDel="00000000">
              <w:rPr>
                <w:u w:val="single"/>
                <w:rtl w:val="0"/>
              </w:rPr>
              <w:t xml:space="preserve">pamatsummu</w:t>
            </w:r>
            <w:r w:rsidR="00000000" w:rsidRPr="00000000" w:rsidDel="00000000">
              <w:rPr>
                <w:rtl w:val="0"/>
              </w:rPr>
              <w:t xml:space="preserve">, tas ir, nav paredzēts segt aizdevuma procentu, kavējuma procentu, līgumsodu un citu veidu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Garantija sedz neatmaksāto aizdevuma pamatsummu. Garantiju nesniedz aizdevuma procentu, kavējuma procentu, līgumsodu un citu veidu maksājumu segšanai, izņemot normatīvajos aktos par patērētāja kreditēšanu noteiktajā hipotekārās pārkreditēšanas gadījumā, kad ar aizdevumu tiek segtas aizņēmēja atlikušās attiecīgā aizdevuma saistības pret iepriekšējo aizdevēju.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20. februāra noteikumos Nr. 95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izsaka priekšlikumu, ka grozījumos Ministru kabineta 2018. gada 20. februāra noteikumos Nr. 95 "Noteikumi par valsts palīdzību dzīvojamās telpas iegādei vai būvniecībai"  nepieciešamajā apjomā būtu jāietver noteikumi, kas regulē likumdevēja noteikto atviegloto  pārkreditēšanas procesu.  Proti, ir nepieciešams ņemt vērā un iestrādāt tos attiecīgos noteikumus, lai tiktu nodrošināta   likumdevēja izteikta griba: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02.2024. spēkā stājušos grozījumos Patērētāju tiesību aizsardzības likumā, kas ļauj vienkāršāk pārkreditēt hipotekāro kredītu;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- 15.03.2024. spēkā stājušos grozījumos Ministru kabineta noteikumos Nr. 691 “Noteikumi par patērētāja kreditēšanu”, ar kuriem noteikta atvieglota hipotekārās pārkreditēšanas kārtība un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norādītajā aprēķinā par pārpalikumu Balsts subsīdijā ir sniegta informācija, ka 2023.gadā Balsts subsīdijai tika piešķirts finansējums 3,6 milj. euro apmērā. Vēršam uzmanību, ka prioritārā pasākuma ietvaros “Mājokļu garantiju atbalsta programma un atbalsta programma Balsts” 2023.gadā Balsts subsīdiju izsniegšanai daudzbērnu ģimenēm tika piešķirts finansējums 3 milj. euro apmērā, attiecīgi lūdzam precizēt sniegto aprēķinu.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punkta “Cita informācija” pēdējās rindkopas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noteikumu projektā paredzētās izmaiņas,</w:t>
            </w:r>
            <w:r w:rsidR="00000000" w:rsidRPr="00000000" w:rsidDel="00000000">
              <w:rPr>
                <w:rtl w:val="0"/>
              </w:rPr>
              <w:t xml:space="preserve"> nepieciešamais finansējums </w:t>
            </w:r>
            <w:r w:rsidR="00000000" w:rsidRPr="00000000" w:rsidDel="00000000">
              <w:rPr>
                <w:u w:val="single"/>
                <w:rtl w:val="0"/>
              </w:rPr>
              <w:t xml:space="preserve">mājokļu</w:t>
            </w:r>
            <w:r w:rsidR="00000000" w:rsidRPr="00000000" w:rsidDel="00000000">
              <w:rPr>
                <w:rtl w:val="0"/>
              </w:rPr>
              <w:t xml:space="preserve"> garantijas programmai un Balsts subsīdijai </w:t>
            </w:r>
            <w:r w:rsidR="00000000" w:rsidRPr="00000000" w:rsidDel="00000000">
              <w:rPr>
                <w:u w:val="single"/>
                <w:rtl w:val="0"/>
              </w:rPr>
              <w:t xml:space="preserve">2024.gadā</w:t>
            </w:r>
            <w:r w:rsidR="00000000" w:rsidRPr="00000000" w:rsidDel="00000000">
              <w:rPr>
                <w:rtl w:val="0"/>
              </w:rPr>
              <w:t xml:space="preserve"> tiks nodrošināts no Altum budžetā pieejamā finansējuma, savukārt turpmākajiem gadiem Ekonomikas ministrijas budžetā </w:t>
            </w:r>
            <w:r w:rsidR="00000000" w:rsidRPr="00000000" w:rsidDel="00000000">
              <w:rPr>
                <w:u w:val="single"/>
                <w:rtl w:val="0"/>
              </w:rPr>
              <w:t xml:space="preserve">mājokļu</w:t>
            </w:r>
            <w:r w:rsidR="00000000" w:rsidRPr="00000000" w:rsidDel="00000000">
              <w:rPr>
                <w:rtl w:val="0"/>
              </w:rPr>
              <w:t xml:space="preserve"> garantiju programmai un </w:t>
            </w:r>
            <w:r w:rsidR="00000000" w:rsidRPr="00000000" w:rsidDel="00000000">
              <w:rPr>
                <w:u w:val="single"/>
                <w:rtl w:val="0"/>
              </w:rPr>
              <w:t xml:space="preserve">Balsts subsīdijai</w:t>
            </w:r>
            <w:r w:rsidR="00000000" w:rsidRPr="00000000" w:rsidDel="00000000">
              <w:rPr>
                <w:rtl w:val="0"/>
              </w:rPr>
              <w:t xml:space="preserve"> paredzētā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š.g. 11.jūnija lēmumam (prot. Nr.24 65.§ 8.punkts) no Ekonomikas ministrijas budžetā mājokļu garantiju atbalsta programmai un atbalsta programmai Balsts paredzētā finansējuma plānota pārdale uz Finanšu ministrijas budžetu 2024.gadā 219 700 euro un 2025.gadā 402 500 euro apmērā. Ņemot vērā minēto, lūdzam skaidrot vai Ekonomikas ministrijas budžetā 2024. un 2025.gadam paredzētais finansējums mājokļu garantiju programmai un Balsts subsīdijai būs pietiekošs, lai nodrošinātu noteikumu projektā paredzēto izmaiņu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finansējuma pārdales Ekonomikas ministrijas budžetā 2024. un 2025.gadam paredzētais finansējums mājokļu garantiju programmai un Balsts subsīdijai būs pietiekošs, lai nodrošinātu noteikumu projektā paredzēto izmaiņu ieviešanu.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Ekonomikas ministrijas (turpmāk tekstā - EM) izstrādāto normatīvā akta projektu ““Grozījumi Ministru kabineta 2018. gada 20. februāra noteikumos Nr. 95 "Noteikumi par valsts palīdzību dzīvojamās telpas iegādei vai būvniecībai"” (turpmāk tekstā - Projekts)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pārvērtēt Projektā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 saglabāt spēkā esošajā Noteikumu redakcijā paredzētos izglītības veida, darbspēju ierobežojumu un ar konkrēto kredītu nesaistīta īpašuma esamības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mājsaimniecībā esošas personas, kas nav sasniegusi 24 gadu vecumu, paredzēts saglabāt kritēriju persona  I vai II invaliditātes grupu. Ņemot vērā, ka saskaņā ar normatīvo regulējumu Latvijā III invaliditātes grupai normatīvi noteiktais fizisko vai garīgo spēju ierobežojuma diapazons var sasniegt pat 59%, LDDK ieskatā nav pamata liegt arī iespēju saņemt atbalstu arī tām mājsaimniecībām, kurās ir  persona ar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kritēriju, ka uz atbalstu pretendējošajām personām nepieder cita dzīvojamā telpa, jānorāda, ka atbalsts ir paredzēts ne tikai mājokļa iegādei, bet arī būvniecībai un jaunais mājoklis ir nepieciešams tādēļ, ka (tostarp īpašumā) esošais vairs neatbilst mājsaimniecības vajadzībām. Tomēr tas var būt ievērojami labāks risinājums, nekā pirms kredīta ņemšanas atsavināt sev piederošo mājokli, lai būvniecības laikā pārceltos uz īrētu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kritēriju, ka uz atbalstu var pretendēt persona, kura ieguvusi vidējo profesionālo vai augstāko izglītību jānorāda, ka atbalstu nevajadzētu liegt arī personām, kuras ieguvušas vidējo izglītību un konkrētajam darbam nepieciešamās prasmes ir apguvusi pašas personas vai tās darbam devēja vai īpašu fondu finansētas neformālās izglītības ietvaros. Ir labi, ka persona vienlaikus ar vidējo vispārējo izglītību iegūst arī profesionālo izglītību, tomēr  pazīme, ka ir iegūta tieši vidējā profesionālā izglītība ne vienmēr nozīmē, ka konkrētā persona arī strādā atbilstīgi iegūtajai profesionālajai kvalifikācijai. Tā, piemēram, Valsts kontrole 2020.gadā veiktajā revīzijā “Profesionālā vidējā izglītība – vai kļuvusi pievilcīgāka un sagatavo valstī pieprasītus speciālistus?” norāda, ka tikai ap 23 % no IZM un 38 % no KM padotībā esošo profesionālās vidējās izglītības iestāžu absolventiem ir nodarbināti un/vai uzsāk studijas savā profesijā. Turklāt no 100 izglītojamajiem, kas uzņemti IZM izglītības iestāžu īstenotajās profesionālās vidējās izglītības un arodizglītības programmās tikai 14 uzsāk darba attiecības un/vai turpina mācības apgūtajā profesijā. Dažās nozarēs apgūtajā profesijā nodarbināto skaits sasniedz pat tikai 4 % īpatsvaru no kopējā absolventu skaita. Savukārt, ja profesionālo izglītību apguvusi persona strādā citā, ar apgūto profesiju nesaistītā nozarē, tad faktiski tā ir salīdzināmā situācijā ar personu, kura ir ieguvusi vispārējo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ir izvērtējusi LDDK sniegto priekšlikumu saturu, taču vērš uzmanību, ka grozījumi Noteikumos tiek īstenoti pieejamā budžeta finansējuma ietvaros. Ievērojot to, ka Noteikumu tvēruma paplašinājumam papildus valsts budžeta finanšu līdzekļi nav saņemti, tad LDDK priekšlikumu ieviešana bez papildus finansējuma piešķiršanas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regulējuma paplašināšanu, lai nodrošinātu iespēju saņemt subsīdijas “Balsts” atbalstu arī tām mājsaimniecībām, kurās ir  persona ar III invaliditātes grupu, paskaidrojam, ka,  izstrādājot grozījumus subsīdijas "Balsts" piešķiršanai personām, kurās dzīvo bērns ar invaliditāti EM konsultējās ar Labklājības ministriju un atbalsta piešķiršana tieši personām ar I un II invaliditātes grupu tika salāgota ar regulējumu Ministra kabineta 2014. gada 23. decembra noteikumu Nr. 805 "Prognozējamas invaliditātes, invaliditātes un darbspēju zaudējuma noteikšanas un invaliditāti apliecinoša dokumenta izsniegšanas noteikumi" (turpmāk - MK noteikumi 805) 5. pielikuma piezīmju  3.2.; 3.3. un 3.4. apakšpunktā. Proti, trešās grupas invaliditātes funkcionēšanas ierobežojumi ir mēreni: funkcionēšana ir būtiski ierobežota, bet ne tik lielā mērā, lai ierobežojums būtu smags (ikdienas dzīves aktivitātes var veikt patstāvīgi, bet būtiski lēnākā tempā vai ar lielāku piepūli, vai sliktākā kvalitātē, salīdzinot ar normāli pieņemto attiecīgā vecuma grupā), taču pirmās un otrās invaliditātes grupai funkcionēšana ir būtiski ierobežota, kur ir epizodiski nepieciešama palīdzība vai uzraudzība. Ievērojot minēto, personām ar I un II grupas invaliditāti ir nepieciešams lielāks atbalsts, nekā personām ar III grupas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vienu no subsīdijas ”Balsts” piešķiršanas priekšnosacījumiem - ka uz atbalstu pretendējošajām personām nepieder cita dzīvojamā telpa – EM paskaidro, ka atbalsta programma ir mērķēta tieši uz mājsaimniecībām kurām nepieder dzīvojamā telpa. Lai arī vispārēji ir atzīstams, ka ir svarīgi atbalstīt arvien plašāku atbalstāmo personu loku, tomēr atbalsta programmas finansējuma nepietiekamība šobrīd ierobežo programmas darbības paplašinājumu.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kritēriju valsts garantiju programmā, ka uz atbalstu var pretendēt persona, kura ieguvusi vidējo profesionālo vai augstāko izglītību, EM paskaidro, ka garantiju programmas pieejamības jaunajiem speciālistiem mērķis ir motivēt jauniešus pēc pamata vai vispārējās izglītības iegūšanas iegūt vidējo profesionālo izglītību vai augstāko izglītību savas kvalifikācijas celšanai. Ievērojot to, ka iegūtās zināšanas, prasmes un kompetences var izmantot praksē starpdisciplināri dažādās nozarēs, tad profesionālajai un augstākajai izglītībai ir lielāka ietekme uz tautsaimniecības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palīdzību dzīvojamās telpas iegādei vai būvniecībai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2.punkta pēdējo teikumu ar vārdiem "atbilstoši šo noteikumu 3.</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 atbilstoši šo noteikumu 3.</w:t>
            </w:r>
            <w:r w:rsidR="00000000" w:rsidRPr="00000000" w:rsidDel="00000000">
              <w:rPr>
                <w:vertAlign w:val="superscript"/>
                <w:rtl w:val="0"/>
              </w:rPr>
              <w:t xml:space="preserve">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 atbilstoši šo noteikumu 3.</w:t>
            </w:r>
            <w:r w:rsidR="00000000" w:rsidRPr="00000000" w:rsidDel="00000000">
              <w:rPr>
                <w:vertAlign w:val="superscript"/>
                <w:rtl w:val="0"/>
              </w:rPr>
              <w:t xml:space="preserve">1</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hipotekāro aizdevumu (turpmāk – aizdevums) izsniedz Latvijā reģistrēta kredītiestāde, dalībvalstī reģistrēta kredītiestāde, tās filiāle vai ārvalsts kredītiestādes filiāle, krājaizdevu sabiedrība vai cits patērētāju kreditēšanas pakalpojumu sniedzējs, kas noslēdzis sadarbības līgumu ar garantētāju (turpmāk – sadarbības līgums) un ir tiesīga izsniegt aizdevumus Latvijā (turpmāk – aizdevējs);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 apakšpunktā ir uzskaitīti subjekti, kuri var izsniegt aizdevumus ar garantiju un (vai subsīdiju), kur, citu starpā, atbilstoši piedāvātajiem grozījumiem iekļauti arī patērētāju kreditēšanas pakalpojumu sniedzēji. Ņemot vērā, ka attiecībā uz patērētāju kreditēšanas pakalpojumu sniedzējiem ar grozījumiem ir paredzēts attiecināt īpašus nosacījumus, kuriem tiem ir jāatbilst, lai tie kvalificētos finansējumam, ierosinām grozīt 3.1. apakšpunktu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hipotekāro aizdevumu (turpmāk – aizdevums) izsniedz aizdevējs, kas ir tiesīgs izsniegt aizdevumus Latvijā, ir noslēdzis sadarbības līgumu ar garantētāju (turpmāk – sadarbības līgums) un kas atbilst vienam no šādiem nosacījumiem, (turpmāk – aizdevējs):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tas ir Latvijā reģistrēta kredītiestāde, dalībvalstī reģistrēta kredītiestāde, tās filiāle vai ārvalsts kredītiestādes filiāle, vai krājaizdevu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tas ir Latvijā licencēts patērētāju kreditēšanas pakalpojumu sniedzējs, kas ir Noziedzīgi iegūtu līdzekļu legalizācijas un terorisma un proliferācijas finansēšanas novēršanas likuma subjekts un kas sniedz finanšu pakalpojumus hipotekārajā aizdevumu kreditēšanā ne mazāk kā trīs gadus, tai skaitā grupas ietvaros, ja mātes uzņēmumi darbojas tajā pašā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hipotekāro aizdevumu (turpmāk – aizdevums) izsniedz aizdevējs, kas ir tiesīgs izsniegt aizdevumus Latvijā, ir noslēdzis sadarbības līgumu ar garantētāju (turpmāk – sadarbības līgums) un kas atbilst vienam no šādiem nosacījumiem (turpmāk – aizdevējs):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aizdevumu izsniedz patērētāju kreditēšanas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kreditēšanas pakalpojumu sniedzējs kā subjekts, kas var izsniegt aizdevumus ar garantiju un (vai subsīdiju), ir minēts šo noteikumu 3.1. apakšpunktā. Tādējādi ierosinām 3.1.</w:t>
            </w:r>
            <w:r w:rsidR="00000000" w:rsidRPr="00000000" w:rsidDel="00000000">
              <w:rPr>
                <w:vertAlign w:val="superscript"/>
                <w:rtl w:val="0"/>
              </w:rPr>
              <w:t xml:space="preserve">1</w:t>
            </w:r>
            <w:r w:rsidR="00000000" w:rsidRPr="00000000" w:rsidDel="00000000">
              <w:rPr>
                <w:rtl w:val="0"/>
              </w:rPr>
              <w:t xml:space="preserve"> apakšpunktu dzēst un precizēt 3.1. apakšpunktu atbilstoši piedāvātajai redakcijai (lūdzu skatīt priekšlikumu un piedāvāto redakciju pie noteikumu 3.1.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3. garantijas sniedz portfeļgarantiju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3. apakšpunktā minētais, ka garantijas sniedz portfeļgarantiju veidā, nav kā kritērijs patērētāju kreditēšanas pakalpojumu sniedzējam, lai tas kvalificētos finansējumam, bet gan kā nosacījums izsniedzamajai garantijai. Ierosinām noteikumus papildināt ar 3.</w:t>
            </w:r>
            <w:r w:rsidR="00000000" w:rsidRPr="00000000" w:rsidDel="00000000">
              <w:rPr>
                <w:vertAlign w:val="superscript"/>
                <w:rtl w:val="0"/>
              </w:rPr>
              <w:t xml:space="preserve">1</w:t>
            </w:r>
            <w:r w:rsidR="00000000" w:rsidRPr="00000000" w:rsidDel="00000000">
              <w:rPr>
                <w:rtl w:val="0"/>
              </w:rPr>
              <w:t xml:space="preserve">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Garantiju attiecībā uz dzīvojamās telpas iegādei vai būvniecībai Latvijas teritorijā ņemto aizdevumu atbilstoši šiem noteikumiem ir tiesības saņemt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šo noteikumu 3.1.1. apakšpunktā minētajiem aizdevējiem – individuālu vai protfeļgarantiju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šo noteikumu 3.1.2. apakšpunktā minētajiem aizdevējiem – protfeļgarantiju veidā.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3.1. un 3.1.</w:t>
            </w:r>
            <w:r w:rsidR="00000000" w:rsidRPr="00000000" w:rsidDel="00000000">
              <w:rPr>
                <w:vertAlign w:val="superscript"/>
                <w:rtl w:val="0"/>
              </w:rPr>
              <w:t xml:space="preserve">1</w:t>
            </w:r>
            <w:r w:rsidR="00000000" w:rsidRPr="00000000" w:rsidDel="00000000">
              <w:rPr>
                <w:rtl w:val="0"/>
              </w:rPr>
              <w:t xml:space="preserve"> apakšpunktā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apakšpunktā minētie kritēriji attiecināmi tikai uz patērētāju kreditēšanas pakalpojumu sniedzējiem, tie nav attiecināmi uz citiem 3.1. apakšpunktā minētajiem aizdevējiem. Ierosinām precizēt noteikumu 6.</w:t>
            </w:r>
            <w:r w:rsidR="00000000" w:rsidRPr="00000000" w:rsidDel="00000000">
              <w:rPr>
                <w:vertAlign w:val="superscript"/>
                <w:rtl w:val="0"/>
              </w:rPr>
              <w:t xml:space="preserve">4</w:t>
            </w:r>
            <w:r w:rsidR="00000000" w:rsidRPr="00000000" w:rsidDel="00000000">
              <w:rPr>
                <w:rtl w:val="0"/>
              </w:rPr>
              <w:t xml:space="preserve"> punkta pēdējo teikumu atbilstoši piedāvātajai redakcijai, dzēšot atsauci uz 3.1.</w:t>
            </w:r>
            <w:r w:rsidR="00000000" w:rsidRPr="00000000" w:rsidDel="00000000">
              <w:rPr>
                <w:vertAlign w:val="superscript"/>
                <w:rtl w:val="0"/>
              </w:rPr>
              <w:t xml:space="preserve">1</w:t>
            </w:r>
            <w:r w:rsidR="00000000" w:rsidRPr="00000000" w:rsidDel="00000000">
              <w:rPr>
                <w:rtl w:val="0"/>
              </w:rPr>
              <w:t xml:space="preserve">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šo noteikumu 3.1. apakšpunktā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šo noteikumu 3.1. apakšpunktā noteiktajiem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Ja uz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minēto personu vārda, ar kurām kopā dzīvo un kuru apgādībā ir vismaz viens nepilngadīgs bērns ar invaliditāti vai pilngadīga persona ar I vai II invaliditātes grupu, kas nav sasniegusi 24 gadu vecumu, kā arī uz šo noteikumu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un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w:t>
            </w:r>
            <w:r w:rsidR="00000000" w:rsidRPr="00000000" w:rsidDel="00000000">
              <w:rPr>
                <w:rtl w:val="0"/>
              </w:rPr>
              <w:t xml:space="preserve">4.9.</w:t>
            </w:r>
            <w:r w:rsidR="00000000" w:rsidRPr="00000000" w:rsidDel="00000000">
              <w:rPr>
                <w:rtl w:val="0"/>
              </w:rPr>
              <w:t xml:space="preserve"> apakšpunktā</w:t>
            </w:r>
            <w:r w:rsidR="00000000" w:rsidRPr="00000000" w:rsidDel="00000000">
              <w:rPr>
                <w:rtl w:val="0"/>
              </w:rPr>
              <w:t xml:space="preserve"> minētajos datos norādītajā iepriekšējā taksācijas gadā kopsummā bruto nepārsniedz 23 000 </w:t>
            </w:r>
            <w:r w:rsidR="00000000" w:rsidRPr="00000000" w:rsidDel="00000000">
              <w:rPr>
                <w:i w:val="1"/>
                <w:rtl w:val="0"/>
              </w:rPr>
              <w:t xml:space="preserve">euro</w:t>
            </w:r>
            <w:r w:rsidR="00000000" w:rsidRPr="00000000" w:rsidDel="00000000">
              <w:rPr>
                <w:rtl w:val="0"/>
              </w:rPr>
              <w:t xml:space="preserve"> vienai personai atbilstoši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punktam</w:t>
            </w:r>
            <w:r w:rsidR="00000000" w:rsidRPr="00000000" w:rsidDel="00000000">
              <w:rPr>
                <w:rtl w:val="0"/>
              </w:rPr>
              <w:t xml:space="preserve">, šīm personām budžetā paredzamā finansējuma ietvaros vienu reizi ir pieejama atbalsta programmas "Balsts" subsīdija, nepārsniedzot 50 % no dzīvojamās telpas iegādes vai būvniecības darījuma summas. Subsīdija pieejama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priekšlikumu par Projekta 7.punktu 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piedāvā šajā punktā ietvert darbspēju ierobežojumu un ar konkrēto kredītu nesaistīta īpašuma esamības kritērijus. Detalizētu pamatojumu skatīt pie iepriekšējā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viedoklis atspoguļots Latvijas darba devēju konfederācijas iepriekšējā priekšlikumā.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Ja uz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minēto personu vārda, ar kurām kopā dzīvo un kuru apgādībā ir vismaz viens nepilngadīgs bērns ar invaliditāti vai pilngadīga persona ar I vai II invaliditātes grupu, kas nav sasniegusi 24 gadu vecumu, kā arī uz šo noteikumu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un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w:t>
            </w:r>
            <w:r w:rsidR="00000000" w:rsidRPr="00000000" w:rsidDel="00000000">
              <w:rPr>
                <w:rtl w:val="0"/>
              </w:rPr>
              <w:t xml:space="preserve">4.9.</w:t>
            </w:r>
            <w:r w:rsidR="00000000" w:rsidRPr="00000000" w:rsidDel="00000000">
              <w:rPr>
                <w:rtl w:val="0"/>
              </w:rPr>
              <w:t xml:space="preserve"> apakšpunktā</w:t>
            </w:r>
            <w:r w:rsidR="00000000" w:rsidRPr="00000000" w:rsidDel="00000000">
              <w:rPr>
                <w:rtl w:val="0"/>
              </w:rPr>
              <w:t xml:space="preserve"> minētajos datos norādītajā iepriekšējā taksācijas gadā kopsummā bruto nepārsniedz 23 000 </w:t>
            </w:r>
            <w:r w:rsidR="00000000" w:rsidRPr="00000000" w:rsidDel="00000000">
              <w:rPr>
                <w:i w:val="1"/>
                <w:rtl w:val="0"/>
              </w:rPr>
              <w:t xml:space="preserve">euro</w:t>
            </w:r>
            <w:r w:rsidR="00000000" w:rsidRPr="00000000" w:rsidDel="00000000">
              <w:rPr>
                <w:rtl w:val="0"/>
              </w:rPr>
              <w:t xml:space="preserve"> vienai personai atbilstoši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punktam</w:t>
            </w:r>
            <w:r w:rsidR="00000000" w:rsidRPr="00000000" w:rsidDel="00000000">
              <w:rPr>
                <w:rtl w:val="0"/>
              </w:rPr>
              <w:t xml:space="preserve">, šīm personām budžetā paredzamā finansējuma ietvaros vienu reizi ir pieejama atbalsta programmas "Balsts" subsīdija, nepārsniedzot 50 % no dzīvojamās telpas iegādes vai būvniecības darījuma summas. Subsīdija pieejama šādā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24-TA-1048</w:t>
    </w:r>
    <w:r>
      <w:br/>
    </w:r>
    <w:r w:rsidR="00000000" w:rsidRPr="00000000" w:rsidDel="00000000">
      <w:rPr>
        <w:rtl w:val="0"/>
      </w:rPr>
      <w:t xml:space="preserve">11.08.2024. 11.22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24-TA-1048</w:t>
    </w:r>
    <w:r>
      <w:br/>
    </w:r>
    <w:r w:rsidR="00000000" w:rsidRPr="00000000" w:rsidDel="00000000">
      <w:rPr>
        <w:rtl w:val="0"/>
      </w:rPr>
      <w:t xml:space="preserve">11.08.2024. 11.22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Izziņa_24-TA-1048.docx</dc:title>
</cp:coreProperties>
</file>

<file path=docProps/custom.xml><?xml version="1.0" encoding="utf-8"?>
<Properties xmlns="http://schemas.openxmlformats.org/officeDocument/2006/custom-properties" xmlns:vt="http://schemas.openxmlformats.org/officeDocument/2006/docPropsVTypes"/>
</file>