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166 "Valsts atbalsta piešķiršanas kārtība vaislas lauksaimniecības dzīvnieku ierakstīšanai ciltsgrāmatā un ciltsreģistrā un vietējo apdraudēto šķirņu saglabāšanai"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16:46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priekšlikuma mērķis nebija projekta vienības svītrošana, tikai skaidrojumu nodrošināšana tiesību normu adresātiem plānoto izmaiņu pilnīgas izpratnes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atbalsta Finanšu ministrijas viedokli par vispārināšanu un nepieciešamību risināt jautājumu zemākā pārvaldības līmenī, piemēram, ar vispārīgo administratīvo aktu (Administratīvā procesa likuma 1.panta trešā daļa), ko paziņo to publicējot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par finansējuma sadalījuma neiekļaušanu noteikumos Nr. 166 lems sākot no 2027. gada. Vēršam uzmanību, ka Zemkopības ministrijai 2025. gada nogalē nebija skaidrības par Finanšu ministrijas un Tieslietu ministrijas nostāju attiecībā uz finansējuma sadalījuma iekļaušanu vai neiekļaušanu ministru kabineta noteikumos, jo pieejamā informācijā bija norādīts, ka atbildīgās iestādes vadītājs par finansējuma piešķiršanu bez Ministru kabineta iesaistes var lemt ​​​​, ja tas skar tikai attiecīgo nozari un finansējuma apmērs ir neliels. Tā kā noteikumos Nr. 166 noteiktā atbalsta summa 21 550 000 </w:t>
            </w:r>
            <w:r w:rsidR="00000000" w:rsidRPr="00000000" w:rsidDel="00000000">
              <w:rPr>
                <w:i w:val="1"/>
                <w:rtl w:val="0"/>
              </w:rPr>
              <w:t xml:space="preserve">euro</w:t>
            </w:r>
            <w:r w:rsidR="00000000" w:rsidRPr="00000000" w:rsidDel="00000000">
              <w:rPr>
                <w:rtl w:val="0"/>
              </w:rPr>
              <w:t xml:space="preserve"> (un tās sadalījums) Zemkopības ministrijas ieskatā nav neliela, tā tika iekļauta noteikuma projektā. Ja finansējuma sadalījums netiek iekļauts noteikumos Nr. 166, Zemkopības ministrijai par to vēl nepieciešama diskusija ar nozares pārstāvjiem, lai visiem būtu skaidra turpmākā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15.01.2026. 11:43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kādā pasākumā finansējuma apmērs ir nepietiekams, bet citā pasākumā izveidojas finansējuma atlikums, zemkopības ministrs ir tiesīgs lemt par finansējuma pārdali starp pasākumiem, nepārsniedzot šajos noteikumos noteikto kopējo 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noteikumu līmenī ir noteikts finansējuma sadalījums pa pasākumiem, nosakot to konkrētā apmērā, tad arī Ministru kabineta līmenī ir iespējams lemt par tā precizēšanu. Ja ar noteikumu projektu ir plānots noteikt tiesības zemkopības ministram lemt par finansējuma sadalījumu pa pasākumiem, tad būtu precizējams noteikumu 2.punkts, proti, nosakot tikai noteikumos iekļauto pasākumu īstenošanai kopējo finansējumu, norādot, kādiem pasākumiem tas izmantojams, vienlaikus nenorādot finansējuma sadalījumu pa pasākumiem, bet nosakot tiesības to apstiprināt ar zemkopības ministra rīkojumu. Tādā veidā tiktu mazināts anotācijā minētais administratīvais slogs jau ar sākotnēji apstiprināšanai virzāmo noteikumu projektu. Attiecīgi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par to, ka zemkopības ministrs ir tiesīgs lemt par finansējuma pārdali starp pasākumiem. Zemkopības ministrijas ieskatā pretendentam ir būtiski, lai vienkopus būtu pieejama visa informācija par atbalsta pasākumiem, gan par pieejamo finansējumu, gan par atbalsta nosacījumiem, tāpēc pasākumu īstenošanai pieejamais finansējums saglabāts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anotācijas 1.3. apakšsadaļa tiesību normu adresātam nodrošina pilnīgu projekta izpratni. Proti, lūdzam skaidrot, kā praktiski tiks īstenots no projekta 2. punkta izrietošais process un kā sabiedrība tiks informēta par no ministra lēmuma izrietošajām izmaiņām finansējuma apmērā iepretim Ministru kabineta 2023. gada 4. aprīļa noteikumos Nr. 166 "Valsts atbalsta piešķiršanas kārtība vaislas lauksaimniecības dzīvnieku ierakstīšanai ciltsgrāmatā un ciltsreģistrā un vietējo apdraudēto šķirņu saglabāšanai" jau noteiktajam. Proti, tieši šo noteikumu 2. punktā ir noteikti visi pasākumi un konkrēts uz tiem attiecināmais finansējums, tādēļ, ja tiek plānots pieņemt atsevišķus ministra lēmumus par izmaiņām attiecināmajā finansējumā, nav gūstama pārliecība par informētību par aktuālo pasākumiem pieejamo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punkts par to, ka ministrs var lemt par finansējuma pārdali starp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atsauci uz MK 22.09.2025. sēdes protokola lēmumu papildināt arī ar norādi uz MK 19.11.2025. sēdes protokolu un Saeimas 2. lasījuma priekšlikumu Nr.153.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25-TA-2658</w:t>
    </w:r>
    <w:r>
      <w:br/>
    </w:r>
    <w:r w:rsidR="00000000" w:rsidRPr="00000000" w:rsidDel="00000000">
      <w:rPr>
        <w:rtl w:val="0"/>
      </w:rPr>
      <w:t xml:space="preserve">09.02.2026. 13.35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25-TA-2658</w:t>
    </w:r>
    <w:r>
      <w:br/>
    </w:r>
    <w:r w:rsidR="00000000" w:rsidRPr="00000000" w:rsidDel="00000000">
      <w:rPr>
        <w:rtl w:val="0"/>
      </w:rPr>
      <w:t xml:space="preserve">09.02.2026. 13.35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Izziņa_25-TA-2658.docx</dc:title>
</cp:coreProperties>
</file>

<file path=docProps/custom.xml><?xml version="1.0" encoding="utf-8"?>
<Properties xmlns="http://schemas.openxmlformats.org/officeDocument/2006/custom-properties" xmlns:vt="http://schemas.openxmlformats.org/officeDocument/2006/docPropsVTypes"/>
</file>