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18. jūnija noteikumos Nr. 328 "Prasības kautuvēm, kurās nokauto dzīvnieku gaļu mazā daudzumā realizē vietējā tirgū"</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Pēckaušanas veterināro ekspertīzi medījamo sugu dzīvniekiem var veikt persona, kura papildus ir apguvusi ar dienestu saskaņotas nomedīto dzīvnieku </w:t>
            </w:r>
            <w:r w:rsidR="00000000" w:rsidRPr="00000000" w:rsidDel="00000000">
              <w:rPr>
                <w:i w:val="1"/>
                <w:rtl w:val="0"/>
              </w:rPr>
              <w:t xml:space="preserve">post mortem</w:t>
            </w:r>
            <w:r w:rsidR="00000000" w:rsidRPr="00000000" w:rsidDel="00000000">
              <w:rPr>
                <w:rtl w:val="0"/>
              </w:rPr>
              <w:t xml:space="preserve"> apskates prasmes.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Zemkopības ministrijas sagatavotais Ministru kabineta noteikumu projekts „Grozījumi Ministru kabineta 2013. gada 18. jūnija noteikumos Nr.328 “Prasības kautuvēm, kurās nokauto dzīvnieku gaļu mazā daudzumā realizē vietējā tirgū”” (turpmāk – projekts) un par to izsakām šādu iebildumu - Projekta 11. punktā paredzēto Ministru kabineta 2013. gada 18. jūnija noteikumu Nr.328 “Prasības kautuvēm, kurās nokauto dzīvnieku gaļu mazā daudzumā realizē vietējā tirgū” (turpmāk – noteikumi) 14.</w:t>
            </w:r>
            <w:r w:rsidR="00000000" w:rsidRPr="00000000" w:rsidDel="00000000">
              <w:rPr>
                <w:vertAlign w:val="superscript"/>
                <w:rtl w:val="0"/>
              </w:rPr>
              <w:t xml:space="preserve">2</w:t>
            </w:r>
            <w:r w:rsidR="00000000" w:rsidRPr="00000000" w:rsidDel="00000000">
              <w:rPr>
                <w:rtl w:val="0"/>
              </w:rPr>
              <w:t xml:space="preserve"> punktu nepieciešams izvērtēt un precizēt vai svītrot. Projekta anotācijā šāda regulējuma mērķis un nepieciešamība netiek skaidrota. Eiropas Parlamenta un Padomes 2004. gada 29. aprīļa regulas (EK) Nr.853/2004, ar ko nosaka īpašus higiēnas noteikumus attiecībā uz dzīvnieku izcelsmes pārtiku (turpmāk – regula) I pielikuma 1.5. un 1.6. apakšpunktā “medījamiem dzīvniekiem” un “saimniecībā audzētiem medījamiem dzīvniekiem” ir atšķirīgas definīcijas, kā arī turpmākajā regulas tekstā kautuvei izvirzāmās prasības šīm dzīvnieku kategorijām ir atšķirīgas. Tādējādi medījamiem dzīvniekiem paredzēto regulējumu nevar attiecināt uz visu dzīvnieku sugu. Turklāt Veterinārmedicīnas likuma (turpmāk – likums) 4.</w:t>
            </w:r>
            <w:r w:rsidR="00000000" w:rsidRPr="00000000" w:rsidDel="00000000">
              <w:rPr>
                <w:vertAlign w:val="superscript"/>
                <w:rtl w:val="0"/>
              </w:rPr>
              <w:t xml:space="preserve">3</w:t>
            </w:r>
            <w:r w:rsidR="00000000" w:rsidRPr="00000000" w:rsidDel="00000000">
              <w:rPr>
                <w:rtl w:val="0"/>
              </w:rPr>
              <w:t xml:space="preserve"> panta trešā daļa paredz nosacījumu par medījamo dzīvnieku veterināro ekspertīzi. Ministru kabineta noteikumos kā normatīvo aktu hierarhijā zemāka līmeņa normatīvajā aktā nav pieļaujama likuma vai regulas regulējuma dublēšana vai atšķirīgu prasību noteikšana. Ievērojot minēto, projektā regulējums ir jāizsaka atbilstoši likumā un regulā esošajiem terminiem un prasībām, kā arī par jauno regulējumu jāsniedz izvērsts pamatojums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Labota anotācija un 14.</w:t>
            </w:r>
            <w:r w:rsidR="00000000" w:rsidRPr="00000000" w:rsidDel="00000000">
              <w:rPr>
                <w:vertAlign w:val="superscript"/>
                <w:rtl w:val="0"/>
              </w:rPr>
              <w:t xml:space="preserve">2</w:t>
            </w:r>
            <w:r w:rsidR="00000000" w:rsidRPr="00000000" w:rsidDel="00000000">
              <w:rPr>
                <w:rtl w:val="0"/>
              </w:rPr>
              <w:t xml:space="preserve">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teikts Eiropas Parlamenta un Padomes 2004. gada 29. aprīļa regulas (EK) Nr.853/2004, ar ko nosaka īpašus higiēnas noteikumus attiecībā uz dzīvnieku izcelsmes pārtiku (turpmāk – regula Nr.853/2004) 22.apsvērumā, lai saglabātu dažas medīšanas tradīcijas, neapdraudot pārtikas drošību, ir lietderīgi apmācīt medniekus, kas laiž tirgū savvaļas dzīvnieku gaļu lietošanai pārtikā. Tas ļautu medniekiem veikt nomedītā savvaļas dzīvnieka sākotnēju pārbaudi uz vietas. Šādos apstākļos nav vajadzības prasīt apmācītiem medniekiem nogādāt visus nomedīto dzīvnieku iekšējos orgānus savvaļas dzīvnieku gaļas apstrādes uzņēmumā pēckaušanas veterinārās ekspertīzes veikšanai, ja viņi paši veic šo sākotnējo izmeklēšanu un nekonstatē nekādas novirzes vai iespējamus draudus. Tomēr dalībvalstīm ir jāļauj to teritorijā paredzēt stingrākus noteikumus, ņemot vērā īpašus draudus. Saskaņā ar regulas Nr.853/2004 I pielikuma 1.5. punktu  “Medījamie dzīvnieki” ir: savvaļas nagaiņi un zaķveidīgie, kā arī citi sauszemes zīdītāji, ko medī lietošanai pārtikā un uzskata par medījamiem dzīvniekiem saskaņā ar attiecīgās dalībvalsts piemērojamiem tiesību aktiem, tostarp zīdītāji, kas dzīvo norobežotā teritorijā apstākļos, kuri ir līdzīgi savvaļas medījamo dzīvnieku brīvībai. Uz šiem dzīvniekiem tad arī attiecināmas noteikumu projekta 14.</w:t>
            </w:r>
            <w:r w:rsidR="00000000" w:rsidRPr="00000000" w:rsidDel="00000000">
              <w:rPr>
                <w:vertAlign w:val="superscript"/>
                <w:rtl w:val="0"/>
              </w:rPr>
              <w:t xml:space="preserve">2</w:t>
            </w:r>
            <w:r w:rsidR="00000000" w:rsidRPr="00000000" w:rsidDel="00000000">
              <w:rPr>
                <w:rtl w:val="0"/>
              </w:rPr>
              <w:t xml:space="preserve"> punktā ietvertās prasības par post mortem apskati, ko veic apmācīta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Nr.853/2004 III pielikuma IV sadaļas pirmajā nodaļā noteikts kādas zināšanas jāapgūst medniekiem veselības un higiēnas prasību jomā. Ņemot vērā infekciju slimību attīstību un savvaļas dzīvnieku zoonožu (piemēram, trakumsērga, bruceloze, parazitozes, u.c.) ierosinātāju apriti un iespējamiem riskiem sabiedrības un dzīvnieku veselībai, ir būtiski, lai pārtikas apritē nonākusī gaļa būtu atbilstoši izvērtēta un cilvēka patēriņam derīga. Ņemot vērā iespējamo risku, noteikumu projektā ir pārnests jau Ministru kabineta 2017.gada 17.oktobra  noteikumos Nr. 624 „Prasības medījamo dzīvnieku un to gaļas apritei un piegādei nelielā apjomā galapatērētājam” (turpmāk - Noteikumi Nr.624) iekļautais punkts par to, ka apmācītai personai, kura veic nomedītā dzīvnieka post mortem apskati, ir jāapgūst papildu prasmes. Regula Nr.853/2004 nav piemērojama attiecībā uz tādiem dzīvnieku izcelsmes produktiem, kuri minēti regulas Nr.853/2004 1.panta 3.punktā un par kuriem ir izstrādāti dalībvalstu nacionālie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uzskatāms par tehnisko noteikumu projektu preču jomā, un noteikumu projekta izrietošās prasības būtu paziņojamas Eiropas Komisijai un citām ES dalībvalstīm, īpaši ņemot vērā noteikumu tvēruma paplašinājumu, paredzot iespēju mazjaudas kautuvēs iegūto gaļu piegādāt atzītiem uzņēmumiem. Paziņošanas pienākums attiecībā uz precēm izriet no Ministru kabineta 2010. gada 23. februāra instrukcijas Nr. 1 “Kārtība, kādā valsts pārvaldes iestādes sniedz informāciju par tehnisko noteikumu projektiem”. Lūdzam aizpildīt anotācijas 5. sadaļu norādot, ka projekts ir uzskatāms par tehnisko noteikumu projektu, attiecībā uz kādiem aspektiem tas ir uzskatāms par tehnisko noteikumu projektu, kā arī informāciju par paziņošanas procedūras veikšanu TRIS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22-TA-54</w:t>
    </w:r>
    <w:r>
      <w:br/>
    </w:r>
    <w:r w:rsidR="00000000" w:rsidRPr="00000000" w:rsidDel="00000000">
      <w:rPr>
        <w:rtl w:val="0"/>
      </w:rPr>
      <w:t xml:space="preserve">28.10.2022. 12.00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22-TA-54</w:t>
    </w:r>
    <w:r>
      <w:br/>
    </w:r>
    <w:r w:rsidR="00000000" w:rsidRPr="00000000" w:rsidDel="00000000">
      <w:rPr>
        <w:rtl w:val="0"/>
      </w:rPr>
      <w:t xml:space="preserve">28.10.2022. 12.00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Izziņa_22-TA-54.docx</dc:title>
</cp:coreProperties>
</file>

<file path=docProps/custom.xml><?xml version="1.0" encoding="utf-8"?>
<Properties xmlns="http://schemas.openxmlformats.org/officeDocument/2006/custom-properties" xmlns:vt="http://schemas.openxmlformats.org/officeDocument/2006/docPropsVTypes"/>
</file>