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25-TA-2078: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2024. gada 27. februāra noteikumos Nr. 137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4.3.5.5. pasākuma "Pieeja tiesiskumam"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(06.06.2025.)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"Risinājuma apraksts" un norādīt elastības finansējuma apmēru dalījumā pa finanšu avotiem. T.i. kopējais 4.3.5.5.pasākuma elastības finansējums ir 179 789  euro, tai skaitā elastības finansējums ESF+ finansējuma daļai 152 821 euro, elastības finansējums valsts budžeta līdzfinansējuma daļai 26 968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anotācijas sadaļas "Pašreizējā situācija" 2.rinkopā minēto "</w:t>
            </w:r>
            <w:r w:rsidR="00000000" w:rsidRPr="00000000" w:rsidDel="00000000">
              <w:rPr>
                <w:i w:val="1"/>
                <w:rtl w:val="0"/>
              </w:rPr>
              <w:t xml:space="preserve">Atbilstoši Finanšu ministrijas š.g. augustā neformāli sniegtajai informācijai, Eiropas Komisija (turpmāk – EK) lēmumu par elastības finansējuma pieejamību konkrētām investīcijām programmas vidusposma novērtējuma ietvaros varētu pieņemt š.g. oktobrī.</w:t>
            </w:r>
            <w:r w:rsidR="00000000" w:rsidRPr="00000000" w:rsidDel="00000000">
              <w:rPr>
                <w:rtl w:val="0"/>
              </w:rPr>
              <w:t xml:space="preserve">", ņemot vērā, ka "Rīkojuma projekts "Grozījumi Ministru kabineta 2021. gada 16. novembra rīkojumā Nr. 841 "Par Eiropas Savienības kohēzijas politikas programmu 2021.–2027. gadam""" (25-TA-2199) ir iekļauti Ministru kabineta 2025.gada 7.oktobra darba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lēmums par vidusposma pārskatu tiek sagaidīts 2026.gada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precizētā finansējuma apmēru 4.3.5.5.pasākuma ietvaros, lūdzam anotācijā norādīt, vai plānotajiem grozījumiem ir ietekme uz īstenošanā esošo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tabulas 6.punktā norādīto plānoto finansējumu 2027.gadam, lai tas atbilst tabulas 2.punktā norādītajam finansējumam, kas atbilst likumā "Par valsts budžetu 2025. gadam un budžeta ietvaru 2025., 2026. un 2027. gadam" plānotajam. Vienlaikus lūdzam papildināt anotācijas 3.sadaļu, norādot, ka projektam nepieciešamais papildu finansējums tiks pieprasīts normatīvajos aktos noteiktajā kārtībā no valsts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"Grozījums Ministru kabineta 2024. gada 27. februāra noteikumos Nr. 137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4.3.5.5. pasākuma "Pieeja tiesiskumam"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punktu par Tieslietu ministrijas rīcību gadījumā, ja netiek saņemts pozitīvs Eiropas Komisijas lēmums par grozījumiem Eiropas Savienības Kohēzijas politikas programmā 2021.–2027. gadam vai elastības finansējuma pārdali un ātrāku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netiek saņemts pozitīvs Eiropas Komisijas lēmums par grozījumiem ES kohēzijas politikas programmā 2021.-2027. gadam, Tieslietu ministrijai nekavējoties sagatavot un iesniegt izskatīšanai MK informatīvo ziņojumu par priekšlikumiem turpmākai rīcībai.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Lai uzraudzītu projekta īstenošanu, finansējuma saņēmējs mēneša laikā pēc vienošanās par projekta īstenošanu noslēgšanas izveido projekta uzraudzības komiteju, kuru vada finansējuma saņēmēja vadītājs vai viņa vietnieks. Projekta uzraudzības komitejā piedalās divi finansējuma saņēmēja pārstāvji un divi atbildīgās iestādes pārstāvji. Sadarbības iestāde un Tieslietu ministrija kā nozares ministrija var deleģēt pārstāvjus projekta uzraudzības komitejā novērotāju statusā. Pēc projekta uzraudzības komitejas priekšsēdētāja uzaicinājuma sēdē var piedalīties arī citu valsts institūciju amatpersonas un darbinieki, nevalstisko organizāciju pārstāvji, eksperti un citi speciālisti bez balsstiesībām.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Ministru prezidentes Evikas Siliņas 2025. gada 21. februārī paziņotajām valdības 4x4 prioritātēm 2025. gadam, ikgadējā ziņojumā Saeimai iekļauto apņemšanos 2025. gadā turpināt darbu pie birokrātijas mazināšanas pasākumiem Eiropas Savienības fondu apguvē un publisko iepirkumu jomā, un 2024. gada 20. janvārī apstiprinātā Valsts rīcības plāna pasākuma 35.4. darbības rezultātu: </w:t>
            </w:r>
            <w:r w:rsidR="00000000" w:rsidRPr="00000000" w:rsidDel="00000000">
              <w:rPr>
                <w:i w:val="1"/>
                <w:rtl w:val="0"/>
              </w:rPr>
              <w:t xml:space="preserve">pārskatītas un iespēju robežās mazinātas nacionālajos horizontālajos un specifisko atbalsta mērķu ieviešanu regulējošajos normatīvajos aktos noteiktās prasības</w:t>
            </w:r>
            <w:r w:rsidR="00000000" w:rsidRPr="00000000" w:rsidDel="00000000">
              <w:rPr>
                <w:rtl w:val="0"/>
              </w:rPr>
              <w:t xml:space="preserve">, administratīvā sloga mazināšanas nolūkos un iesaistīto iestāžu administratīvo resursu taupības nolūkos lūdzam izvērtēt projekta uzraudzības komitejas nepieciešamību. Ja projektu uzraudzības komiteja tiek saglabāta, lūdzam izvērtēt noteikumu 27.punktā paredzēto sanāksmju rīkošanas biežumu.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uzraudzības komitejas sēžu ietvaros tiek t.sk. lemts par grozījumu veikšanu vienošanās par projekta īstenošanu. Vienošanās par sadarbību starp atbildīgo iestādi un CFLA savukārt ir noteikts, ka, saskaņojot šādus grozījumus projekta uzraudzības komitejā, CFLA pieteiktie grozījumi nav atkārtoti jāsaskaņo ar atbildīgo iestādi. Attiecīgi, atceļot projekta uzraudzības komitejas sēdes, vismaz šajā sadarbības aspektā palielinātos administratīvais slogs CFLA un atbildīgajai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Lai uzraudzītu projekta īstenošanu, finansējuma saņēmējs mēneša laikā pēc vienošanās par projekta īstenošanu noslēgšanas izveido projekta uzraudzības komiteju, kuru vada finansējuma saņēmēja vadītājs vai viņa vietnieks. Projekta uzraudzības komitejā piedalās divi finansējuma saņēmēja pārstāvji un divi atbildīgās iestādes pārstāvji. Sadarbības iestāde un Tieslietu ministrija kā nozares ministrija var deleģēt pārstāvjus projekta uzraudzības komitejā novērotāju statusā. Pēc projekta uzraudzības komitejas priekšsēdētāja uzaicinājuma sēdē var piedalīties arī citu valsts institūciju amatpersonas un darbinieki, nevalstisko organizāciju pārstāvji, eksperti un citi speciālisti bez balsstiesībām.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25-TA-2078</w:t>
    </w:r>
    <w:r>
      <w:br/>
    </w:r>
    <w:r w:rsidR="00000000" w:rsidRPr="00000000" w:rsidDel="00000000">
      <w:rPr>
        <w:rtl w:val="0"/>
      </w:rPr>
      <w:t xml:space="preserve">15.10.2025. 09.58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25-TA-2078</w:t>
    </w:r>
    <w:r>
      <w:br/>
    </w:r>
    <w:r w:rsidR="00000000" w:rsidRPr="00000000" w:rsidDel="00000000">
      <w:rPr>
        <w:rtl w:val="0"/>
      </w:rPr>
      <w:t xml:space="preserve">15.10.2025. 09.58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Izziņa_25-TA-2078.docx</dc:title>
</cp:coreProperties>
</file>

<file path=docProps/custom.xml><?xml version="1.0" encoding="utf-8"?>
<Properties xmlns="http://schemas.openxmlformats.org/officeDocument/2006/custom-properties" xmlns:vt="http://schemas.openxmlformats.org/officeDocument/2006/docPropsVTypes"/>
</file>