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12:12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projekta īstenošanas personāla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sadarbības partnera projekta īstenošanas personāla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punkts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sadarbības partnera projekta īstenošanas personāla izmaksas, ja personāla iesaiste projektā ir nodrošināta saskaņā ar daļlaika attiecināmības principu, attiecināma ir ne mazāka kā 30 procentu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punkts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09:36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pieņemšanai vajadzīgo informāciju un analīzi attiecībā uz 1.1.1.1. pasākuma elastības finansējuma novirzīšanu, lūdzam papildināt anotāciju ar detālāku informāciju, kas pamatotu elastības finansējuma novirzīšanu 1.1.1.1. pasākuma atbalstāmajām darbībām, t.i., kādi ir lietderības apsvērumi un argumenti, kāda plānota investīciju efektivitāte, t.sk. vai piedāvātais risinājums ir izvērtēts, ņemot vērā Ministru kabinetā (turpmāk - MK) apstiprinātā valdības rīcības plānā noteiktās prioritātes un ir analizēti alternatīvi (stratēģiski prioritārāki) pārdaļu varianti.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obligāto veselības pārbaužu izmaksas finansējuma saņēmēja un sadarbības partnera projekta vadības un īstenošanas personālam, ja tās netiek segtas no veselības apdrošināšanas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vadošās iestādes vadlīniju Nr.1.2 "Vadlīnijas attiecināmo izmaksu noteikšanai Eiropas Savienības programmas kohēzijas 2021.-2027.gada periodā'' 5.2. apakšpunktam obligātās veselības pārbaudes izmaksas ir projekta netiešās attiecināmās izmaksas. Ņemot vērā iepriekšminēto, lūdzam šīs izmaksas paredzēt kā netiešās attiecināmās izmaksas.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MK noteikumu apakšpunkts,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vietu aprīkošana jau ir veikta 2024-2026 gados 40% vienotās likmes ietvarā, lūdzam TA lietai pievienot aprēķinu par ieguldījumu darba vietu aprīkošanā konkrētām amata vietām. Šāds aprēķins nepieciešams lai, mainot finansēšanas modeli, varētu nodrošināt nosacījuma “3000 euro vienai darba vietai visā projekta īstenošanas laikā, strādājot pilnā slodzē” ievērošanas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papildināti ar noslēguma jautājumu. Finansējuma saņēmējs, iesniedzot sadarbības iestādē pirmo maksājuma pieprasījumu pēc šo noteikumu grozījumu spēkā stāšanās, iesniedz finansējuma saņēmēja apliecinātu pārskatu par līdz 2025. gada 3. oktobrim izlietoto finansējumu darba vietu aprīkošanai šo noteikumu 17.</w:t>
            </w:r>
            <w:r w:rsidR="00000000" w:rsidRPr="00000000" w:rsidDel="00000000">
              <w:rPr>
                <w:vertAlign w:val="superscript"/>
                <w:rtl w:val="0"/>
              </w:rPr>
              <w:t xml:space="preserve">1</w:t>
            </w:r>
            <w:r w:rsidR="00000000" w:rsidRPr="00000000" w:rsidDel="00000000">
              <w:rPr>
                <w:rtl w:val="0"/>
              </w:rPr>
              <w:t xml:space="preserve">2. apakšpunktā minēto izmaksu ietvaros, norādot attiecīgās amata vietas un izlietotā finansējuma apmēru, lai nodrošinātu nosacījuma par darba vietas aprīkojuma izmaksu ierobežojumu ne vairāk kā 3 000 euro vienai darba vietai visā projekta īstenošanas laikā, strādājot pilnā slodzē, ievērošanas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iekšzemes komandējumu un dienesta braucienu izmaksas finansējuma saņēmējam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un sadarbības partnerim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atbalstāmo darbību nodrošināšanai finansējuma saņēmēja un sadarbības partnera projekta vadības un īstenošanas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punktu norādot, ka iekšzemes komandējumu un dienesta braucienu izmaksas ir attiecināmas, atbilstoši VI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MK noteikumu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vai izstrādātie grozījumi nav uzskatāmi par būtiskiem, tas ir tādi, kas ietekmē darbības veidu, mērķus vai īstenošanas nosacījumus, tādējādi traucējot tās sākotnējo mērķu sasniegšanu, tāpat  skaidrojumu par izstrādāto grozījumu ietekmi uz finansējuma saņēmēju, ka arī to, vai noslēgtajā vienošanās par projekta īstenošanu būs nepieciešams veikt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29.05.2026.gada IZM elektroniskajā pastā sniegtajā aprēķinā tika norādīts, ka MK noteikumu Nr.690 15.4. punktā plānotās darbības “Latvijas zinātnes stratēģiskās komunikācijas īstenošana, tai skaitā, bet ne tikai informācijas un komunikācijas platformas https://researchLatvia.gov.lv un https://latviaspace.gov.lv attīstīšana un funkcionalitātes paplašināšana, sadarbības ar diasporu stiprināšana un Pasaules Latviešu zinātnieku kongresa nodrošināšana” nodrošināšanai plānotas (tai skaitā, bet ne tikai)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"Zinātne Latvijai" 2025-2030 gada kalendāru un izstādes planšetu izgatavošana un piegādes izmaksas plānotas kopā 279 289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Komunikācijas aktivitātes 2024-2029 gadam 88 166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aktivitātes 2026-2029 gadam 185 640 EUR (LZP);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ResearchLatvia reprezentācijas priekšmeti 2024-2025 gadam 36 000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589 095 EUR (IZM: 403 455 EUR; LZP: 185 640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finansējuma apjomu, lūdzam anotācijā papildus skaidrot izdevumu pamatotību un sniegt izvērtējumu par to samērīgumu, lietderīgumu, efektivitāti un saimnieciskumu pret projekta darbībā plānotā rādītāja nodrošināšanu, ievērojot VI vadlīnijās Nr. 1.2.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 lietai pievienot aprēķinu par plānotajām tiešajām attiecināmajām izmaksām, norādot konkrētus pasākumus, un to pamatotību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dzēst vārdus "Finansējuma saņēmējam jāizvērtē, vai saimnieciski izdevīgāk ir transportlīdzekli iegādāties vai nomāt, tai skaitā izvērtējot transportlīdzekļa pilnas noslodzes efektivitāti un ilgtspēju, ko sniedz dalīšanās vai koplietošanas pakalpojums. Izmaksām ir jābūt pamatotām, noteiktām atbilstoši ekonomiskuma un efektivitātes principam;", saglabājot nosacījumu, ka transporta izmaksas attiecināmas atbilstoši VI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jaunā finansējuma sadalījumu pa intervences kodiem saskaņā ar Eiropas Savienības kohēzijas politikas programmā 2021.–2027.gadam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 Skaidrojam, ka ar šo noteikumu projektu finansējuma sadalījums pa pa Eiropas Savienības kohēzijas politikas programmā 2021.–2027. gadam noteiktajiem intervences kodiem netiek mainīts un tiek saglabāts atbilstoši līdzšinējam pasākuma finansējuma plānojumam. Vienlaikus norādām, ka finansējuma sadalījums pa intervences kodiem var tikt precizēts turpmāku lēmumu gadījumā, ja tiks pieņemts lēmums par elastības finansējuma novirzīšanu citām 1.1.1. specifiskā atbalsta mērķa darbībām vai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finansējuma saņēmējam un sadarbības partnerim pakalpojumu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 </w:t>
            </w:r>
            <w:r w:rsidR="00000000" w:rsidRPr="00000000" w:rsidDel="00000000">
              <w:rPr>
                <w:rtl w:val="0"/>
              </w:rPr>
              <w:t xml:space="preserve">apakšpunktā</w:t>
            </w:r>
            <w:r w:rsidR="00000000" w:rsidRPr="00000000" w:rsidDel="00000000">
              <w:rPr>
                <w:rtl w:val="0"/>
              </w:rPr>
              <w:t xml:space="preserve">  minēto darbību īstenošanai. Ja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nosakot papildu nosacījumus ēdināšanas pakalpojumiem, izvērtējot labās prakse ievērošanu un  ēdināšanas funkcionālo nepieciešamību. Aicinām noteikt ēdināšanas pakalpojumu ierobežojumu, piemēram, proporcija pret kopējiem konkrēta pasākuma izdevumiem, vai arī noteikt ēdināšanas pakalpojuma ierobežojumu (summa EUR) uz vienu pasākuma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ēdināšanas izmaksas nepārsniedz IZM iekšējos noteikumus, kas nosaka reprezentācijas pasākumu un ēdināšanas pakalpojumu organizēšanas kārtību, tai skaitā pasākumu izdevumu limitus.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16. punktā minēto sadalījumu pa izmaksu veidiem –  tiešās attiecināmās un netiešās attiecināmās izmaksas, un tiešās attiecināmās izmaksas kā faktiskās projekta izmaksas finansējuma saņēmējam un sadarbības partnerim piemēro no 2025. gada 4. oktobra. Līdz 2025. gada 3.oktobrim piemēro sadalījumu pa izmaksu veidiem – tiešās attiecināmās personāla izmaksas un pārējās izmaksas, un pārējās izmaksas plāno kā vienu izmaksu pozīciju, piemērojot vienoto likmi 40 procentu apmērā no tiešajām attiecināmajām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atteikšanās no vienotās likmes piemērošanas lielākā mērā pamatota ar nākotnes pasākumiem, lūdzam papildināt anotāciju ar aprēķiniem/skaidrojumiem par līdzšinējiem zaudējumiem, tādējādi pamatojot retrospektīvu pāreju uz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26-TA-1358</w:t>
    </w:r>
    <w:r>
      <w:br/>
    </w:r>
    <w:r w:rsidR="00000000" w:rsidRPr="00000000" w:rsidDel="00000000">
      <w:rPr>
        <w:rtl w:val="0"/>
      </w:rPr>
      <w:t xml:space="preserve">09.09.2026. 11.03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26-TA-1358</w:t>
    </w:r>
    <w:r>
      <w:br/>
    </w:r>
    <w:r w:rsidR="00000000" w:rsidRPr="00000000" w:rsidDel="00000000">
      <w:rPr>
        <w:rtl w:val="0"/>
      </w:rPr>
      <w:t xml:space="preserve">09.09.2026. 11.03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Izziņa_26-TA-1358.docx</dc:title>
</cp:coreProperties>
</file>

<file path=docProps/custom.xml><?xml version="1.0" encoding="utf-8"?>
<Properties xmlns="http://schemas.openxmlformats.org/officeDocument/2006/custom-properties" xmlns:vt="http://schemas.openxmlformats.org/officeDocument/2006/docPropsVTypes"/>
</file>