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24-TA-1401: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Negodīgas komercprakses aizlieguma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termina "vides norāde" skaidrojumā norādīt uz produktiem, nevis precēm, ievērojot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direktīva Nr. 2024/825), 1. panta 1. punkta "b" apakšpunktā ietvertā termina skaidrojumu. Līdzīgi arī cituviet lūdzam izvērtēt un nepieciešamības gadījumā precizēt likumprojektu vai skaidrot likumprojekta anotācijā, kādēļ atsevišķas prasības attiecas vienīgi uz precēm, bet ne pakalpojumiem, digitāliem pakalpojumiem, digitālo saturu (kā arī, piemēram, kādēļ atsevišķas prasības attiecas vienīgi uz precēm un pakalpojumiem, bet ne, piem., digitālo saturu)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precizējot, kādos gadījumos nosacījumi attiecināmi uz preces, pakalpojuma, preces ar digitāliem elementiem, digitālā pakalpojuma vai digitālā satura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sniegts īss skaidrojums anotācijā, kāpēc visas Likuma normas netiek attiecinātas uz precēm, pakalpojumiem, precēm ar digitāliem elementiem, digitālo pakalpojumu vai digitālo saturu, bet, piemēram, tikai uz fiziskām precēm un precēm ar digitāliem elementiem.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nav tieši piemērojamos Eiropas Savienības tiesību aktos vai valsts tiesību aktos jau noteikts kā obligāts. Šis apgalvojums vai paziņojums var tikt attēlots teksta, ilustrēta, grafiska vai simboliska atveidojuma formā kā marķējums, zīmols, komercprakses īstenotāja vai preces, pakalpojuma, digitālā pakalpojuma vai digitālā satura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likumprojekta 1. pantu un citas likuma vienības, termina "uzņēmums" (attiecīgā skaitlī un locījumā)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likumprojektā termins "uzņēmums", kā arī termins "tirgotājs" ir aizstāts ar vārdu "komercprakses īstenotājs", atbilstoši NKAL 1.panta pirmās daļas 1.punktam.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nav tieši piemērojamos Eiropas Savienības tiesību aktos vai valsts tiesību aktos jau noteikts kā obligāts. Šis apgalvojums vai paziņojums var tikt attēlots teksta, ilustrēta, grafiska vai simboliska atveidojuma formā kā marķējums, zīmols, komercprakses īstenotāja vai preces, pakalpojuma, digitālā pakalpojuma vai digitālā satura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informācija par vides norādēm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vai uzņēmuma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preces, pakalpojuma, digitālā pakalpojuma vai digitālā satura pieejamību; ieguvumus no preces, pakalpojuma, digitālā pakalpojuma vai digitālā satura; ar preci, pakalpojumu, digitālo pakalpojumu vai digitālo saturu saistītos riskus; preces, pakalpojuma, digitālā pakalpojuma vai digitālā satura darbību, sastāvu, piederumus, preces, pakalpojuma vides vai sociālos raksturlielumus un apritīguma aspektus kā ilgizturība, remontējamība vai reciklējamība, pēcpārdošanas apkalpošanu un sūdzību izskatīšanas kārtību; ražošanas un piegādes metodi un datumu; piegādes apstākļus; preces, pakalpojuma, digitālā pakalpojuma vai digitālā satura nolūku, lietošanu, daudzumu, specifikācijas, ģeogrāfisko vai komerciālo izcelsmi; paredzamos preces, pakalpojuma, digitālā pakalpojuma vai digitālā satura lietošanas rezultātus; preces, pakalpojuma, digitālā pakalpojuma vai digitālā satura testēšanas vai pārbaudes rezultātus vai citas būtiskas īpašības;”;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2. pantā (nepieciešamības gadījumā arī cituviet) nav jānorāda uz komercprakses ietvaros sniegtām vides norādēm, nevis informācija par vides norādēm vai sniegtām vides norādēm. Nepieciešamības gadījumā lūdzam atbilstoši precizēt likumprojekta 2. pantu vai skaidrot, kādēļ tas nav nepieciešams, tostarp norādot, kāda informācija pa vides norādēm tiek 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gan Likumprojektā, gan anotācijā, norādot, ka komercprakses ietvaros patērētājam tiek sniegta vides norāde saistībā ar turpmāko ar vidi saistīto sniegumu, nevis tiek sniegta informācija par šo norādi.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bet netiek norādītas objektīvas, skaidras, publiski pieejamas un pārbaudāmas apņemšanās, kas ir izklāstītas detalizētā un reālistiskā īstenošanas plānā. Šajā plānā ir ietverti laikā ierobežoti un izmērāmi mērķrādītāji un citi elementi kā resursu piešķiršana, kas ir nepieciešami, lai sekmētu plāna īstenošanu. Plānu regulāri verificē neatkarīgs trešās puses eksperts, kurš konstatētos faktus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pakalpojuma, digitālā pakalpojuma, digitālā satura vai attiecīgā komercprakses īstenotāja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to pieejamību un ieguvumus, ar preci, pakalpojumu, digitālo pakalpojumu vai digitālo saturu saistītos riskus, preces, digitālā pakalpojuma vai digitālā satura darbību, sastāvu, piederumus, un vides vai sociālos raksturlielumus un apritīguma aspektus kā ilgizturība, remontējamība vai reciklējamība, pēcpārdošanas apkalpošanu un sūdzību izskatīšanas kārtību, ražošanas un piegādes metodi un datumu, piegādes apstākļus, kā arī to nolūku, lietošanu, daudzumu, specifikācijas, ģeogrāfisko vai komerciālo izcelsmi, un paredzamos preces, pakalpojuma, digitālā pakalpojuma vai digitālā satura lietošanas rezultātus, preces, digitālā pakalpojuma vai digitālā satura testēšanas vai pārbaudes rezultātus vai citas būtiskas īpašības, kas ir attiecināmas;”;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informācija par vides norādēm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sadale, kas ir nepieciešami, lai sekmētu norādītā plāna īstenošanu, un šo plānu regulāri verificē trešās puses eksperts, kurš konstatētos faktos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vai uzņēmuma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preces, pakalpojuma, digitālā pakalpojuma vai digitālā satura pieejamību; ieguvumus no preces, pakalpojuma, digitālā pakalpojuma vai digitālā satura; ar preci, pakalpojumu, digitālo pakalpojumu vai digitālo saturu saistītos riskus; preces, pakalpojuma, digitālā pakalpojuma vai digitālā satura darbību, sastāvu, piederumus, preces, pakalpojuma vides vai sociālos raksturlielumus un apritīguma aspektus kā ilgizturība, remontējamība vai reciklējamība, pēcpārdošanas apkalpošanu un sūdzību izskatīšanas kārtību; ražošanas un piegādes metodi un datumu; piegādes apstākļus; preces, pakalpojuma, digitālā pakalpojuma vai digitālā satura nolūku, lietošanu, daudzumu, specifikācijas, ģeogrāfisko vai komerciālo izcelsmi; paredzamos preces, pakalpojuma, digitālā pakalpojuma vai digitālā satura lietošanas rezultātus; preces, pakalpojuma, digitālā pakalpojuma vai digitālā satura testēšanas vai pārbaudes rezultātus vai citas būtiskas īpašības;”;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 pantā izslēgt vārdu "būtiski", ievērojot, ka no direktīvas Nr. 2024/825 attiecīgs priekšnosacījums neizriet, vai alternatīvi lūdzam likumprojekta anotācijā skaidrot pamatojumu minētā priekšnosacījuma atbilstībai direktīvā noteiktajam, kā arī skaidrot, kādos gadījumos elementi tiks novērtēti kā būtiski. Līdzīgi, nolūkā nodrošināt atbilstību minētajā direktīvā noteiktajam, lūdzam papildināt likumprojekta 2. pantu ar norādi, ka trešās puses eksperts ir neatkarīgs.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2.panta dzēsts vārds "būtiski", kā arī tas ir papildināts ar vārdu "neatkarīgs".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bet netiek norādītas objektīvas, skaidras, publiski pieejamas un pārbaudāmas apņemšanās, kas ir izklāstītas detalizētā un reālistiskā īstenošanas plānā. Šajā plānā ir ietverti laikā ierobežoti un izmērāmi mērķrādītāji un citi elementi kā resursu piešķiršana, kas ir nepieciešami, lai sekmētu plāna īstenošanu. Plānu regulāri verificē neatkarīgs trešās puses eksperts, kurš konstatētos faktus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pakalpojuma, digitālā pakalpojuma, digitālā satura vai attiecīgā komercprakses īstenotāja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to pieejamību un ieguvumus, ar preci, pakalpojumu, digitālo pakalpojumu vai digitālo saturu saistītos riskus, preces, digitālā pakalpojuma vai digitālā satura darbību, sastāvu, piederumus, un vides vai sociālos raksturlielumus un apritīguma aspektus kā ilgizturība, remontējamība vai reciklējamība, pēcpārdošanas apkalpošanu un sūdzību izskatīšanas kārtību, ražošanas un piegādes metodi un datumu, piegādes apstākļus, kā arī to nolūku, lietošanu, daudzumu, specifikācijas, ģeogrāfisko vai komerciālo izcelsmi, un paredzamos preces, pakalpojuma, digitālā pakalpojuma vai digitālā satura lietošanas rezultātus, preces, digitālā pakalpojuma vai digitālā satura testēšanas vai pārbaudes rezultātus vai citas būtiskas īpašības, kas ir attiecināmas;”;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noteikušas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preci vai konkrēto uzņēmumu, ja šī norāde attiecas tikai uz kādu konkrētu preces aspektu vai uzņēmuma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tirgotāja piedāvājuma iezīmi tādas prasības, kas visām attiecīgās preču kategorijas precēm Eiropas Savienības tirgū ir noteiktas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kurā ir iestrādāta preces ilgizturību ierobežojoša funkcija, kaut gan tirgotājam ir pieejama informācija par attiecīgo funkciju un tās ietekmi uz preces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preces patērējamās sastāvdaļas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funkcionalitātes pasliktināšanos gadījumā, ja tiek izmantotas tādas patērējamās sastāvdaļas, rezerves daļas vai citi piederumi, kurus nenodrošina preces sākotnējais ražotājs, vai ja sniedz patiesībai neatbilstošu informāciju par to, ka notiks šāda preces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anotācijā ietverto informāciju ar likumprojektā ietverto regulējumu. Vēršam uzmanību, ka, piemēram, anotācijā minēts, ka par maldinošu komercpraksi jebkuros apstākļos uzskatāms, ja komercprakses īstenotājs izvieto ilgtspējas marķējumu, kurš nav balstīts uz sertifikācijas shēmu, attiecīgi nenodrošinot, ka šis marķējums atbilst minimālajiem pārredzamības un ticamības nosacījumiem, savukārt likumprojektā norādīts, ka komercprakse jebkuros apstākļos ir maldinoša, ja komercprakses īstenotājs izmanto tādu ilgtspējas marķējumu, kas nav balstīts uz sertifikācijas shēmu vai kuru nav noteikušas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anotācijā skaidrot, kādos normatīvajos aktos paredzēta kompetence valsts pārvaldes iestādēm noteikt ilgtspējas marķējumu. Nepieciešamības gadījumā lūdzam papildināt likumprojekta 4. pantu ar atbilstošu atsauci uz attiecīgajiem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 kā arī skaidrots, kura valsts pārvaldes iestāde šobrīd piešķirt marķējumus.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digitālā pakalpojuma, digitālā satura vai komercprakses īstenotāju, ja šī norāde attiecas tikai uz kādu konkrētu preces, pakalpojuma,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pakalpojumiem,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kurā ir iestrādāta tā ilgizturību ierobežojoša funkcija, kaut gan komercprakses īstenotājam ir pieejama informācija par attiecīgo funkciju un tās ietekmi uz preces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funkcionalitātes pasliktināšanos gadījumā, ja tiek izmantotas tādas patērējamās sastāvdaļas, rezerves daļas vai citi piederumi, kurus nenodrošina to sākotnējais ražotājs, vai ja sniedz patiesībai neatbilstošu informāciju par to, ka notiks šāda funkcionalitātes pasliktināšanās.”;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2024. gada 6. martā stājās spēkā direktīva Nr. 2024/825, ko sāk piemērot no 2024. gada 26. marta. Saistībā ar minēto vēršam uzmanību, ka saskaņā ar minētās direktīvas 4. pantu dalībvalstis līdz 2026. gada 27. martam pieņem un publicē noteikumus, kas vajadzīgi, lai izpildītu šīs direktīvas prasības. Dalībvalstis par to tūlīt informē Komisiju. </w:t>
            </w:r>
            <w:r w:rsidR="00000000" w:rsidRPr="00000000" w:rsidDel="00000000">
              <w:rPr>
                <w:u w:val="single"/>
                <w:rtl w:val="0"/>
              </w:rPr>
              <w:t xml:space="preserve">Tās piemēro minētos noteikumus no 2026. gada 27. septembra</w:t>
            </w:r>
            <w:r w:rsidR="00000000" w:rsidRPr="00000000" w:rsidDel="00000000">
              <w:rPr>
                <w:rtl w:val="0"/>
              </w:rPr>
              <w:t xml:space="preserve">. Attiecīgi secināms, ka minētās direktīvas pārņemšanas termiņš ir 2026. gada 27. marts, bet dalībvalstīm, pārņemot minēto direktīvu, nacionālajos tiesību aktos ir tiesības noteikt pārejas periodu, paredzot, ka šie akti stāsies spēkā ne vēlāk kā 2026. gada 27. septembrī. Ievērojot minēto, lūdzam izvērtēt un nepieciešamības gadījumā papildināt likumprojektu ar atbilstošu spēkā stāšanās termiņu vai sniegt likumprojekta anotācijā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pārejas noteikumu, ka šā likuma 1.panta pirmās daļas 5., 6., 7., 8., 9., un 10.punkts, 9.panta pirmās daļas 5. un 6.punkts, 9.panta otrās daļas 1.punkta jaunā redakcija, 10.panta astotā daļa, kā arī 11.panta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10.1, 28., 29., 30., 31., 32., 33. un 34.punkts stājās spēkā 2026.gada 27.septembrī.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likumprojekta anotācijas 5.4. sadaļas 1. tabulu ar informāciju par direktīvas Nr. 2024/825 1. panta 1. punktā, 2. panta 1.-5. punktā, kā arī 4. pantā ietvertā regulējuma pārņemšanu nacionālajā tiesību sistēmā (tostarp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5.4.sadaļas 1.tabula papildināta ar visa Zaļā pārkārtošanās akta regulējuma pārņemšanu nacionālajos tiesību aktos (NKAL, PTAL un divi Ministru kabineta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papildinot atbilstoši Ministru kabineta 2009. gada 3. februāra noteikumu Nr. 108 "Normatīvo aktu projektu sagatavošanas noteikumi" (turpmāk - noteikumi Nr. 108) 68.3.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2008, 1.nr.; Latvijas Vēstnesis, 2012, 169.nr.; 2014, 57.nr.; 2023, 34.nr.)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marķējums, zīmols, komercprakses īstenotāja vai preces, pakalpojuma, preces ar digitāliem elementiem, digitālā pakalpojuma vai digitālā satura nosaukums saistībā ar tādu komercpaziņojumu, kas tiešā vai netiešā veidā norāda, ka precei, pakalpojumam, precei ar digitāliem elementiem, digitālajam pakalpojumam vai digitālajam saturam vai to kategorijām, zīmolam vai komercprakses īstenotājam ir pozitīva ietekme uz vidi vai, ka tiem nav ietekmes uz vidi, vai ka negatīvā ietekme uz vidi ir mazāka nekā citām precēm, pakalpojumiem, precēm ar digitāliem elementiem, digitālajiem pakalpojuma vai digitālajam saturam vai to kategorijām, zīmoliem vai komercprakses īstanotājiem, vai ka šī ietekme laika gaitā ir uzlabojusies, un šī norāde nav tieši piemērojamos Eiropas Savienības tiesību aktos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preci ar digitāliem elementiem,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prece ar digitāliem elementiem,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un neatkarība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vai preces ar digitāliem elementiem komponents, kas tiek lietots atkārtoti un kas ir jāaizstāj vai jāpapildina, lai prece vai prece ar digitāliem elementiem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termins "uzņēmums" saskaņošanas ietvaros aizstāts ar terminu "komercprakses īstenotājs". Saistībā ar minēto lūdzam izvērtēt, vai attiecīgajos gadījumos atbilstošāk nebūtu lietot terminu "saimnieciskās darbības veicējs" vai "komersants", ievērojot, ka Eiropas Parlamenta un Padomes 2024. gada 28. februāra direktīvā (ES) 2024/825, ar ko attiecībā uz patērētāju dalības veicināšanu zaļās pārkārtošanās procesā, nodrošinot viņiem labāku aizsardzību pret negodīgu praksi un viņu labāku informētību, groza Direktīvas 2005/29/EK un 2011/83/ES (turpmāk - direktīva Nr. 2024/825), termins "tirgotāji" (kas atbilst likumprojektā lietotajam terminam "komercprakses īstenotājs") tiek nodalīts no termina "uzņēmumi", kas pirmšķietami ir plašāks.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Termins "komercprakses īstenotājs" ir saglabājams Likumprojektā, ņemot vērā, ka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visā NKAL tekstā jau tiek lietots šis termins, kura nozīme ir "</w:t>
            </w:r>
            <w:r w:rsidR="00000000" w:rsidRPr="00000000" w:rsidDel="00000000">
              <w:rPr>
                <w:i w:val="1"/>
                <w:rtl w:val="0"/>
              </w:rPr>
              <w:t xml:space="preserve">jebkura fiziskā vai juridiskā persona, kas savas saimnieciskās vai profesionālās darbības ietvaros īsteno komercpraksi, kā arī jebkura cita fiziskā vai juridiskā persona, kas rīkojas komercprakses īstenotāja vārdā vai uzdevumā</w:t>
            </w:r>
            <w:r w:rsidR="00000000" w:rsidRPr="00000000" w:rsidDel="00000000">
              <w:rPr>
                <w:rtl w:val="0"/>
              </w:rPr>
              <w:t xml:space="preserve">". Attiecīgi, ja veiktu piedāvātās izmaiņas, būtu nepieciešams līdzīgi grozīt visus saistītos jēdzienus visā Likuma tekstā, kas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"tirgotājs" kopš Negodīgas komercprakses direktīvas (2005/29/ES) izdošanas 2005. gadā tiek definēts šādi : “</w:t>
            </w:r>
            <w:r w:rsidR="00000000" w:rsidRPr="00000000" w:rsidDel="00000000">
              <w:rPr>
                <w:i w:val="1"/>
                <w:rtl w:val="0"/>
              </w:rPr>
              <w:t xml:space="preserve">tirgotājs” ir jebkura fiziska vai juridiska persona, kas komercpraksē, uz ko attiecas šī direktīva, darbojas nolūkos, kas attiecas uz tā uzņēmējdarbību, amatniecību vai profesiju, un arī jebkura persona, kas darbojas tirgotāja vārdā vai uzdevumā</w:t>
            </w:r>
            <w:r w:rsidR="00000000" w:rsidRPr="00000000" w:rsidDel="00000000">
              <w:rPr>
                <w:rtl w:val="0"/>
              </w:rPr>
              <w:t xml:space="preserve">;”. Sekojoši, kad šī direktīva tika grozīta, jēdziens nemainījās. EM veica attiecīgus grozījumus Likumā (sākts 2012.g. līdz 2014.), kur kā EM ministra priekšlikums Saeimas atbildīgajā komisijā uz otro lasījumu bija iekļaut terminu “komercprakses īstenotājs”, kur termina skaidrojums ir praktiski tāds kā Direktīvā. Ņemot vērā iepriekš minēto, termins "komercprakses īstenotājs" nav maināms.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nav tieši piemērojamos Eiropas Savienības tiesību aktos vai valsts tiesību aktos jau noteikts kā obligāts. Šis apgalvojums vai paziņojums var tikt attēlots teksta, ilustrēta, grafiska vai simboliska atveidojuma formā kā marķējums, zīmols, komercprakses īstenotāja vai preces, pakalpojuma, digitālā pakalpojuma vai digitālā satura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marķējums, zīmols, komercprakses īstenotāja vai preces, pakalpojuma, preces ar digitāliem elementiem, digitālā pakalpojuma vai digitālā satura nosaukums saistībā ar tādu komercpaziņojumu, kas tiešā vai netiešā veidā norāda, ka precei, pakalpojumam, precei ar digitāliem elementiem, digitālajam pakalpojumam vai digitālajam saturam vai to kategorijām, zīmolam vai komercprakses īstenotājam ir pozitīva ietekme uz vidi vai, ka tiem nav ietekmes uz vidi, vai ka negatīvā ietekme uz vidi ir mazāka nekā citām precēm, pakalpojumiem, precēm ar digitāliem elementiem, digitālajiem pakalpojuma vai digitālajam saturam vai to kategorijām, zīmoliem vai komercprakses īstanotājiem, vai ka šī ietekme laika gaitā ir uzlabojusies, un šī norāde nav tieši piemērojamos Eiropas Savienības tiesību aktos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preci ar digitāliem elementiem,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prece ar digitāliem elementiem,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un neatkarība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vai preces ar digitāliem elementiem komponents, kas tiek lietots atkārtoti un kas ir jāaizstāj vai jāpapildina, lai prece vai prece ar digitāliem elementiem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w:t>
            </w:r>
            <w:r w:rsidR="00000000" w:rsidRPr="00000000" w:rsidDel="00000000">
              <w:rPr>
                <w:i w:val="1"/>
                <w:rtl w:val="0"/>
              </w:rPr>
              <w:t xml:space="preserve">"zīmols"</w:t>
            </w:r>
            <w:r w:rsidR="00000000" w:rsidRPr="00000000" w:rsidDel="00000000">
              <w:rPr>
                <w:rtl w:val="0"/>
              </w:rPr>
              <w:t xml:space="preserve"> normatīvajos aktos šobrīd netiek definēts, līdz ar to lūdzam izvērtēt nepieciešamību ietvert šajā vai citā attiecīgā normatīvajā aktā, piemēram Preču zīmju likumā, definējumu šim terminam.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"zīmols" ir definēts Uzņēmumu ienākuma nodokļa likumā (1.panta 25.daļa - </w:t>
            </w:r>
            <w:r w:rsidR="00000000" w:rsidRPr="00000000" w:rsidDel="00000000">
              <w:rPr>
                <w:i w:val="1"/>
                <w:rtl w:val="0"/>
              </w:rPr>
              <w:t xml:space="preserve">(25) Zīmols — nosaukums, simbols, zīme vai dizaina apvienojums, kas identificē konkrētu preci, ražotāju, pārdevēju vai pakalpojumu sniedzēju</w:t>
            </w:r>
            <w:r w:rsidR="00000000" w:rsidRPr="00000000" w:rsidDel="00000000">
              <w:rPr>
                <w:rtl w:val="0"/>
              </w:rPr>
              <w:t xml:space="preserve">). Attiecīgi termins "zīmols" tiek izmantots šā likuma izpratnē.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nav tieši piemērojamos Eiropas Savienības tiesību aktos vai valsts tiesību aktos jau noteikts kā obligāts. Šis apgalvojums vai paziņojums var tikt attēlots teksta, ilustrēta, grafiska vai simboliska atveidojuma formā kā marķējums, zīmols, komercprakses īstenotāja vai preces, pakalpojuma, digitālā pakalpojuma vai digitālā satura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marķējumi, zīmolu, uzņēmumu vai produktu nosaukumi saistībā ar tādu komercpaziņojumu, kas tiešā vai netiešā veidā norāda, ka precei, preču kategorijai, zīmolam vai tirgotājam ir pozitīva ietekme uz vidi vai, ka tiem nav ietekmes uz vidi, vai ka negatīvā ietekme uz vidi ir mazāka nekā citam precēm, preču kategorijām, zīmoliem vai tirgotājiem, vai ka šī ietekme laika gaitā ir uzlabojusies, un šī norāde nav Eiropas Savienības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procesu vai uzņēmumu, atsaucoties uz to vides vai sociālajiem raksturlielumiem, vai abiem, un šī zīme nav Eiropas Savienības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process vai uzņēmums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tirgotājiem,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tirgotāja izmantoto ilgtspējas marķējumu, kā arī nosaka citas procedūras, kā rīkoties situācijas, kad netiek ievērotas šai shēmai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tirgotāja atbilstība shēmas prasībām tiek uzraudzīta saskaņā ar objektīvu procedūru, ko veic trešā puse, kuras kompetence un neatkarība gan no tirgotāja, gan no shēmas īpašnieka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1. pantā terminu skaidrojumos ietvertās atsauces uz Eiropas Savienības tiesību aktiem un valsts tiesību aktiem aizstāt ar atsaucēm uz tieši piemērojamiem Eiropas Savienības tiesību aktiem un nacionālajiem normatīvajiem aktiem, ievērojot, ka atbilstoši noteikumiem Nr. 108 atsauces nacionālajos normatīvajos aktos pieļaujamas vienīgi uz tieši piemērojamiem Eiropas Savienības normatīvajiem aktiem (regulām un dibināšanas līgumiem). Skaidrojam, ka par tieši piemērojamiem Eiropas Savienības tiesību aktiem ir pamats uzskatīt dibināšanas līgumus, regulas un lēmumus, kas adresēti dalībvalstīm (lai tos attiecinātu uz privātpersonām, šie lēmumi pārņemami līdzīgi, kā tiek pārņemtas direktīvu prasības), savukārt direktīvas nav tieši piemērojamas un to prasības ir pārņemamas nacionālajos normatīvajos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Likumprojekta 1.pantā, norādot atsauces uz tieši piemērojamiem eiropas Savienības tiesību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komercpaziņojums jebkādā formā apgalvojuma vai paziņojuma veidā, kas tiešā vai netiešā veidā norāda, ka precei, pakalpojumam, digitālajam pakalpojumam vai digitālajam saturam vai to kategorijām, zīmolam vai komercprakses īstenotājam ir pozitīva ietekme uz vidi vai, ka tiem nav ietekmes uz vidi, vai ka negatīvā ietekme uz vidi ir mazāka nekā citiem, vai ka šī ietekme laika gaitā ir uzlabojusies, un kas nav tieši piemērojamos Eiropas Savienības tiesību aktos vai valsts tiesību aktos jau noteikts kā obligāts. Šis apgalvojums vai paziņojums var tikt attēlots teksta, ilustrēta, grafiska vai simboliska atveidojuma formā kā marķējums, zīmols, komercprakses īstenotāja vai preces, pakalpojuma, digitālā pakalpojuma vai digitālā satura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ir neatkarīga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tas ir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komponents, kas tiek lietots atkārtoti un kas ir jāaizstāj vai jāpapildina, lai prece darbotos, atbilstoši mērķim, kādam tā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piešķiršana, kas ir nepieciešami, lai sekmētu norādītā plāna īstenošanu, un šo plānu regulāri verificē neatkarīgs trešās puses eksperts, kurš konstatētos faktus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pakalpojuma, preces ar digitāliem elementiem, digitālā pakalpojuma, digitālā satura vai attiecīgā komercprakses īstenotāja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preces ar digitāliem elementiem, digitālā pakalpojuma vai digitālā satura esamību, raksturu un galvenās īpašības, piemēram, to pieejamību; ieguvumus no preces, pakalpojuma, preces ar digitāliem elementiem, digitālā pakalpojuma vai digitālā satura; ar preci, pakalpojumu, preci ar digitāliem elementiem, digitālo pakalpojumu vai digitālo saturu saistītos riskus; preces, preces ar digitāliem elementiem, digitālā pakalpojuma vai digitālā satura darbību, sastāvu, piederumus, preces, pakalpojuma, preces ar digitāliem elementiem, digitālā pakalpojuma vai digitālā satura vides vai sociālos raksturlielumus un apritīguma aspektus kā ilgizturība, remontējamība vai reciklējamība, pēcpārdošanas apkalpošanu un sūdzību izskatīšanas kārtību; ražošanas un piegādes metodi un datumu; piegādes apstākļus; preces, pakalpojuma, preces ar digitāliem elementiem, digitālā pakalpojuma vai digitālā satura nolūku, lietošanu, daudzumu, specifikācijas, ģeogrāfisko vai komerciālo izcelsmi; paredzamos preces, pakalpojuma, preces ar digitāliem elementiem, digitālā pakalpojuma vai digitālā satura lietošanas rezultātus; preces, preces ar digitāliem elementiem, digitālā pakalpojuma vai digitālā satura testēšanas vai pārbaudes rezultātus vai citas būtiskas īpašības, kas ir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izziņas 4. punktā ietverto iebildumu atkārtoti lūdzam likumprojekta 2. pantā izslēgt vārdu "būtiski". Norādām, ka lai gan izziņā norādīts par minētā vārda izslēgšanu, faktiski attiecīgā izmaiņa nav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attiecīgajā 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bet netiek norādītas objektīvas, skaidras, publiski pieejamas un pārbaudāmas apņemšanās, kas ir izklāstītas detalizētā un reālistiskā īstenošanas plānā. Šajā plānā ir ietverti laikā ierobežoti un izmērāmi mērķrādītāji un citi elementi kā resursu piešķiršana, kas ir nepieciešami, lai sekmētu plāna īstenošanu. Plānu regulāri verificē neatkarīgs trešās puses eksperts, kurš konstatētos faktus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pakalpojuma, digitālā pakalpojuma, digitālā satura vai attiecīgā komercprakses īstenotāja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digitālā pakalpojuma vai digitālā satura esamību, raksturu un galvenās īpašības, piemēram, to pieejamību un ieguvumus, ar preci, pakalpojumu, digitālo pakalpojumu vai digitālo saturu saistītos riskus, preces, digitālā pakalpojuma vai digitālā satura darbību, sastāvu, piederumus, un vides vai sociālos raksturlielumus un apritīguma aspektus kā ilgizturība, remontējamība vai reciklējamība, pēcpārdošanas apkalpošanu un sūdzību izskatīšanas kārtību, ražošanas un piegādes metodi un datumu, piegādes apstākļus, kā arī to nolūku, lietošanu, daudzumu, specifikācijas, ģeogrāfisko vai komerciālo izcelsmi, un paredzamos preces, pakalpojuma, digitālā pakalpojuma vai digitālā satura lietošanas rezultātus, preces, digitālā pakalpojuma vai digitālā satura testēšanas vai pārbaudes rezultātus vai citas būtiskas īpašības, kas ir attiecināmas;”;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preces ar digitāliem elementiem, digitālā pakalpojuma, digitālā satura vai komercprakses īstenotāju, ja šī norāde attiecas tikai uz kādu konkrētu preces, pakalpojuma, preces ar digitāliem elementiem,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precei ar digitāliem elementiem,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precēm ar digitāliem elementiem,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preci ar digitāliem elementiem, digitālo pakalpojumu vai digitālo saturu, kurā ir iestrādāta tā ilgizturību ierobežojoša funkcija, kaut gan komercprakses īstenotājam ir pieejama informācija par attiecīgo funkciju un tās ietekmi uz produkta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vai precei ar digitāliem elementiem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vai preci ar digitāliem elementiem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vai precei ar digitāliem elementiem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vai preces ar digitāliem elementiem funkcionalitātes pasliktināšanos gadījumā, ja tiek izmantotas tādas patērējamās sastāvdaļas, rezerves daļas vai citi piederumi, kurus nenodrošina preces vai preces ar digitāliem elementiem sākotnējais ražotājs, vai ja sniedz patiesībai neatbilstošu informāciju par to, ka notiks šāda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 Negodīgas komercprakses aizlieguma likuma 11. panta 30. punktā paredzētais regulējums atbilstoši direktīvai attiecināms uz precēm, nevis produktiem. Attiecīgi lūdzam atbilstoši precizēt minēto punktu vai skaidrot likumprojekta anotācijā, kādēļ minēto punktu ir pamatoti attiecināt arī uz citiem produktiem, ne vien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11.panta 30.punktā.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digitālā pakalpojuma, digitālā satura vai komercprakses īstenotāju, ja šī norāde attiecas tikai uz kādu konkrētu preces, pakalpojuma,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pakalpojumiem,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kurā ir iestrādāta tā ilgizturību ierobežojoša funkcija, kaut gan komercprakses īstenotājam ir pieejama informācija par attiecīgo funkciju un tās ietekmi uz preces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funkcionalitātes pasliktināšanos gadījumā, ja tiek izmantotas tādas patērējamās sastāvdaļas, rezerves daļas vai citi piederumi, kurus nenodrošina to sākotnējais ražotājs, vai ja sniedz patiesībai neatbilstošu informāciju par to, ka notiks šāda funkcionalitātes pasliktināšanās.”;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preces ar digitāliem elementiem, digitālā pakalpojuma, digitālā satura vai komercprakses īstenotāju, ja šī norāde attiecas tikai uz kādu konkrētu preces, pakalpojuma, preces ar digitāliem elementiem,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precei ar digitāliem elementiem,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precēm ar digitāliem elementiem,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preci ar digitāliem elementiem, digitālo pakalpojumu vai digitālo saturu, kurā ir iestrādāta tā ilgizturību ierobežojoša funkcija, kaut gan komercprakses īstenotājam ir pieejama informācija par attiecīgo funkciju un tās ietekmi uz produkta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vai precei ar digitāliem elementiem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vai preci ar digitāliem elementiem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vai precei ar digitāliem elementiem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vai preces ar digitāliem elementiem funkcionalitātes pasliktināšanos gadījumā, ja tiek izmantotas tādas patērējamās sastāvdaļas, rezerves daļas vai citi piederumi, kurus nenodrošina preces vai preces ar digitāliem elementiem sākotnējais ražotājs, vai ja sniedz patiesībai neatbilstošu informāciju par to, ka notiks šāda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likumprojektā konsekventu terminoloģiju, jo šobrīd no likumprojekta neizriet, vai ar terminu "produkti" saprotamas preces, preces ar digitāliem elementiem, digitālajie pakalpojumi un digitālais saturs. Attiecīgā gadījumā lūdzam, ja tas nepieciešams, likumprojektā atrunāt saīsinājumu "produkti", tādējādi vienlaikus arī atvieglojot likumprojekta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nacionālajā patērētāju tiesību likumdošanā jau ilgstoši tiek izmantots termins "prece", lai gan jau vēsturiski visos Direktīvu tekstos tika izmantots termins "produkti'. Pārņemot Direktīvu normas nacionālajā likumdošanā, tika izvēlēts izmantot terminu "prece", līdz ar to arī šajā Likumprojektā nav paredzēts ieviests jaunu terminu/apzīmējumu "produkts", lai nodrošinātu noteiktību un atbilstību esošajām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ietvertā terminoloģija sastāvēs no jau Likumā lietotajiem terminiem - "prece", "pakalpojums", "prece ar digitāliem elementiem", "digitālais pakalpojums" un "digitālais saturs".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digitālā pakalpojuma, digitālā satura vai komercprakses īstenotāju, ja šī norāde attiecas tikai uz kādu konkrētu preces, pakalpojuma,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pakalpojumiem,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kurā ir iestrādāta tā ilgizturību ierobežojoša funkcija, kaut gan komercprakses īstenotājam ir pieejama informācija par attiecīgo funkciju un tās ietekmi uz preces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funkcionalitātes pasliktināšanos gadījumā, ja tiek izmantotas tādas patērējamās sastāvdaļas, rezerves daļas vai citi piederumi, kurus nenodrošina to sākotnējais ražotājs, vai ja sniedz patiesībai neatbilstošu informāciju par to, ka notiks šāda funkcionalitātes pasliktināšanās.”;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1.panta pirmās daļas 5., 6., 7., 8., 9., un 10.punkts, 9.panta pirmās daļas 5. un 6.punkts, 9.panta otrās daļas 1.punkta jaunā redakcija, 10.panta astotā daļa, kā arī 11.panta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34.punkts stājās spēkā 2026.gada 27.septembrī.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viss likums, nevis atsevišķas tā normas stājas spēkā 2026. gada 27. septembrī, lūdzam precizēt atbilstoši Ministru kabineta 2009. gada 3. februāra noteikumu Nr. 108 "Normatīvo aktu projektu sagatavošanas noteikumi" 30.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stājās spēkā 2026.gada 27.septembrī."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stājās spēkā 2026.gada 27.septembrī.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Likumprojektā ietvertajam terminam "zīmols".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 punktā minēto lūdzam papildināt likumprojekta anotācijas 5.4. sadaļas 1. tabulu ar informāciju par direktīvas Nr. 2024/825 1. panta 1. punkta "b" apakšpunktā ietvertās grozītās direktīvas 2. panta pirmās daļas "o", "p", "r", "s" un "v" punkta, kā arī direktīvas Nr. 2024/825 2. panta 5. punkta (ciktāl attiecas uz dalībvalstīm) pārņemšanu nacionālajā tiesību sistēmā. Kā arī, ņemot vērā, ka šobrīd attiecīgie grozījumi Patērētāju tiesību aizsardzības likumā vēl nav stājušies spēkā, lūdzam minētajā tabulā attiecīgā gadījumā atsaukties uz minētā likuma grozījuma projektu, norādot tā identifikācijas numuru (piem., TAP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un papildināta anotācijas 5.4.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Zaļā pārkārtošanās akta 2. panta 5. punkta pārņemšanu, norādām, ka konkrētais 22.a pants nav jāpārņem nacionālajos tiesību aktos, ņemot vērā, ka ar šo pantu tiek noteikts Eiropas Komisijai līdz 2025.gada 27.septembrim ar īstenošanas aktiem izstrādāt saskaņoto paziņojumu un saskaņoto marķējumu (par ko ir ielikta atsauce Likumprojekta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7.4.sadaļas 4.punktā ir norādīts, ka Patērētāju tiesību aizsardzības centram (turpmāk – PTAC) līdzšinējā komercprakses uzraudzībā būs jānovērš un jāuzrauga papildus negodīgas komercprakses gadījumi, attiecīgi PTAC uzdevumi tiek paplašināti. Lūdzam papildināt minēto punktu, norādot, ka likumprojektā paredzēto komercprakses uzraudzību PTAC nodrošinās tam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24-TA-1401</w:t>
    </w:r>
    <w:r>
      <w:br/>
    </w:r>
    <w:r w:rsidR="00000000" w:rsidRPr="00000000" w:rsidDel="00000000">
      <w:rPr>
        <w:rtl w:val="0"/>
      </w:rPr>
      <w:t xml:space="preserve">14.12.2024. 12.53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24-TA-1401</w:t>
    </w:r>
    <w:r>
      <w:br/>
    </w:r>
    <w:r w:rsidR="00000000" w:rsidRPr="00000000" w:rsidDel="00000000">
      <w:rPr>
        <w:rtl w:val="0"/>
      </w:rPr>
      <w:t xml:space="preserve">14.12.2024. 12.53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Izziņa_24-TA-1401.docx</dc:title>
</cp:coreProperties>
</file>

<file path=docProps/custom.xml><?xml version="1.0" encoding="utf-8"?>
<Properties xmlns="http://schemas.openxmlformats.org/officeDocument/2006/custom-properties" xmlns:vt="http://schemas.openxmlformats.org/officeDocument/2006/docPropsVTypes"/>
</file>