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A8737" w14:textId="142754A6" w:rsidR="00BA1475" w:rsidRDefault="007863BD" w:rsidP="00BA1475">
      <w:pPr>
        <w:pStyle w:val="Pagedecouverture"/>
      </w:pPr>
      <w:bookmarkStart w:id="0" w:name="LW_BM_COVERPAGE"/>
      <w:r>
        <w:pict w14:anchorId="3DC985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B915A20-988E-4497-A105-476A82B51752" style="width:458pt;height:385.5pt">
            <v:imagedata r:id="rId7" o:title=""/>
          </v:shape>
        </w:pict>
      </w:r>
    </w:p>
    <w:bookmarkEnd w:id="0"/>
    <w:p w14:paraId="2AFDBC59" w14:textId="77777777" w:rsidR="00BA1475" w:rsidRDefault="00BA1475" w:rsidP="00BA1475">
      <w:pPr>
        <w:sectPr w:rsidR="00BA1475" w:rsidSect="00BA1475">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19D2930" w14:textId="77777777" w:rsidR="00BA1475" w:rsidRPr="00BA1475" w:rsidRDefault="00BA1475" w:rsidP="00BA1475">
      <w:pPr>
        <w:spacing w:after="200" w:line="276" w:lineRule="auto"/>
        <w:jc w:val="center"/>
        <w:rPr>
          <w:rFonts w:ascii="Times New Roman" w:eastAsia="Calibri" w:hAnsi="Times New Roman" w:cs="Times New Roman"/>
          <w:b/>
          <w:bCs/>
          <w:noProof/>
          <w:kern w:val="0"/>
          <w:szCs w:val="24"/>
          <w:u w:val="single"/>
          <w14:ligatures w14:val="none"/>
        </w:rPr>
      </w:pPr>
      <w:r w:rsidRPr="00BA1475">
        <w:rPr>
          <w:rFonts w:ascii="Times New Roman" w:eastAsia="Calibri" w:hAnsi="Times New Roman" w:cs="Times New Roman"/>
          <w:b/>
          <w:bCs/>
          <w:noProof/>
          <w:kern w:val="0"/>
          <w:szCs w:val="24"/>
          <w:u w:val="single"/>
          <w14:ligatures w14:val="none"/>
        </w:rPr>
        <w:lastRenderedPageBreak/>
        <w:t>ANNEX I</w:t>
      </w:r>
      <w:r w:rsidRPr="00BA1475">
        <w:rPr>
          <w:rFonts w:ascii="Times New Roman" w:eastAsia="Calibri" w:hAnsi="Times New Roman" w:cs="Times New Roman"/>
          <w:b/>
          <w:bCs/>
          <w:noProof/>
          <w:kern w:val="0"/>
          <w:szCs w:val="24"/>
          <w:u w:val="single"/>
          <w14:ligatures w14:val="none"/>
        </w:rPr>
        <w:br/>
      </w:r>
    </w:p>
    <w:p w14:paraId="5541D29B" w14:textId="77777777" w:rsidR="00BA1475" w:rsidRPr="00BA1475" w:rsidRDefault="00BA1475" w:rsidP="00BA1475">
      <w:pPr>
        <w:spacing w:after="120" w:line="276" w:lineRule="auto"/>
        <w:rPr>
          <w:rFonts w:ascii="Times New Roman" w:eastAsia="Aptos" w:hAnsi="Times New Roman" w:cs="Times New Roman"/>
          <w:noProof/>
          <w:kern w:val="0"/>
          <w:lang w:val="it-IT"/>
          <w14:ligatures w14:val="none"/>
        </w:rPr>
      </w:pPr>
      <w:r w:rsidRPr="00BA1475">
        <w:rPr>
          <w:rFonts w:ascii="Times New Roman" w:eastAsia="Aptos" w:hAnsi="Times New Roman" w:cs="Times New Roman"/>
          <w:noProof/>
          <w:kern w:val="0"/>
          <w:lang w:val="it-IT"/>
          <w14:ligatures w14:val="none"/>
        </w:rPr>
        <w:t>Valdis Dombrovskis</w:t>
      </w:r>
    </w:p>
    <w:p w14:paraId="593958AD" w14:textId="77777777" w:rsidR="00BA1475" w:rsidRPr="00BA1475" w:rsidRDefault="00BA1475" w:rsidP="00BA1475">
      <w:pPr>
        <w:spacing w:after="120" w:line="276" w:lineRule="auto"/>
        <w:rPr>
          <w:rFonts w:ascii="Times New Roman" w:eastAsia="Aptos" w:hAnsi="Times New Roman" w:cs="Times New Roman"/>
          <w:noProof/>
          <w:kern w:val="0"/>
          <w:lang w:val="it-IT"/>
          <w14:ligatures w14:val="none"/>
        </w:rPr>
      </w:pPr>
      <w:r w:rsidRPr="00BA1475">
        <w:rPr>
          <w:rFonts w:ascii="Times New Roman" w:eastAsia="Aptos" w:hAnsi="Times New Roman" w:cs="Times New Roman"/>
          <w:noProof/>
          <w:kern w:val="0"/>
          <w:lang w:val="it-IT"/>
          <w14:ligatures w14:val="none"/>
        </w:rPr>
        <w:t xml:space="preserve">Commissioner for Economy, </w:t>
      </w:r>
      <w:r w:rsidRPr="00BA1475">
        <w:rPr>
          <w:rFonts w:ascii="Times New Roman" w:eastAsia="Times New Roman" w:hAnsi="Times New Roman" w:cs="Times New Roman"/>
          <w:kern w:val="0"/>
          <w:sz w:val="24"/>
          <w:szCs w:val="24"/>
          <w:lang w:val="it-IT" w:eastAsia="en-IE"/>
          <w14:ligatures w14:val="none"/>
        </w:rPr>
        <w:t xml:space="preserve">and Productivity, </w:t>
      </w:r>
      <w:r w:rsidRPr="00BA1475">
        <w:rPr>
          <w:rFonts w:ascii="Times New Roman" w:eastAsia="Times New Roman" w:hAnsi="Times New Roman" w:cs="Times New Roman"/>
          <w:kern w:val="0"/>
          <w:sz w:val="24"/>
          <w:szCs w:val="24"/>
          <w:lang w:val="it-IT" w:eastAsia="en-IE"/>
          <w14:ligatures w14:val="none"/>
        </w:rPr>
        <w:br/>
      </w:r>
      <w:proofErr w:type="spellStart"/>
      <w:r w:rsidRPr="00BA1475">
        <w:rPr>
          <w:rFonts w:ascii="Times New Roman" w:eastAsia="Times New Roman" w:hAnsi="Times New Roman" w:cs="Times New Roman"/>
          <w:kern w:val="0"/>
          <w:sz w:val="24"/>
          <w:szCs w:val="20"/>
          <w:lang w:val="it-IT" w:eastAsia="en-IE"/>
          <w14:ligatures w14:val="none"/>
        </w:rPr>
        <w:t>Implementation</w:t>
      </w:r>
      <w:proofErr w:type="spellEnd"/>
      <w:r w:rsidRPr="00BA1475">
        <w:rPr>
          <w:rFonts w:ascii="Times New Roman" w:eastAsia="Times New Roman" w:hAnsi="Times New Roman" w:cs="Times New Roman"/>
          <w:kern w:val="0"/>
          <w:sz w:val="24"/>
          <w:szCs w:val="20"/>
          <w:lang w:val="it-IT" w:eastAsia="en-IE"/>
          <w14:ligatures w14:val="none"/>
        </w:rPr>
        <w:t xml:space="preserve"> and </w:t>
      </w:r>
      <w:proofErr w:type="spellStart"/>
      <w:r w:rsidRPr="00BA1475">
        <w:rPr>
          <w:rFonts w:ascii="Times New Roman" w:eastAsia="Times New Roman" w:hAnsi="Times New Roman" w:cs="Times New Roman"/>
          <w:kern w:val="0"/>
          <w:sz w:val="24"/>
          <w:szCs w:val="20"/>
          <w:lang w:val="it-IT" w:eastAsia="en-IE"/>
          <w14:ligatures w14:val="none"/>
        </w:rPr>
        <w:t>Simplification</w:t>
      </w:r>
      <w:proofErr w:type="spellEnd"/>
    </w:p>
    <w:p w14:paraId="080BD2EC" w14:textId="77777777" w:rsidR="00BA1475" w:rsidRPr="00BA1475" w:rsidRDefault="00BA1475" w:rsidP="00BA1475">
      <w:pPr>
        <w:spacing w:after="120" w:line="276" w:lineRule="auto"/>
        <w:rPr>
          <w:rFonts w:ascii="Times New Roman" w:eastAsia="Aptos" w:hAnsi="Times New Roman" w:cs="Times New Roman"/>
          <w:noProof/>
          <w:kern w:val="0"/>
          <w:lang w:val="it-IT"/>
          <w14:ligatures w14:val="none"/>
        </w:rPr>
      </w:pPr>
      <w:r w:rsidRPr="00BA1475">
        <w:rPr>
          <w:rFonts w:ascii="Times New Roman" w:eastAsia="Aptos" w:hAnsi="Times New Roman" w:cs="Times New Roman"/>
          <w:noProof/>
          <w:kern w:val="0"/>
          <w:lang w:val="it-IT"/>
          <w14:ligatures w14:val="none"/>
        </w:rPr>
        <w:t xml:space="preserve">European Commission </w:t>
      </w:r>
    </w:p>
    <w:p w14:paraId="48A754B1" w14:textId="77777777" w:rsidR="00BA1475" w:rsidRPr="00BA1475" w:rsidRDefault="00BA1475" w:rsidP="00BA1475">
      <w:pPr>
        <w:spacing w:after="200" w:line="276" w:lineRule="auto"/>
        <w:rPr>
          <w:rFonts w:ascii="Times New Roman" w:eastAsia="Aptos" w:hAnsi="Times New Roman" w:cs="Times New Roman"/>
          <w:noProof/>
          <w:kern w:val="0"/>
          <w:lang w:val="it-IT"/>
          <w14:ligatures w14:val="none"/>
        </w:rPr>
      </w:pPr>
    </w:p>
    <w:sdt>
      <w:sdtPr>
        <w:rPr>
          <w:rFonts w:ascii="Times New Roman" w:eastAsia="Times New Roman" w:hAnsi="Times New Roman" w:cs="Times New Roman"/>
          <w:noProof/>
          <w:color w:val="2B579A"/>
          <w:kern w:val="0"/>
          <w:sz w:val="24"/>
          <w:szCs w:val="20"/>
          <w:shd w:val="clear" w:color="auto" w:fill="E6E6E6"/>
          <w:lang w:val="en-GB" w:eastAsia="en-IE"/>
          <w14:ligatures w14:val="none"/>
        </w:rPr>
        <w:alias w:val="Subject"/>
        <w:tag w:val="ZAkyFltFFo1Kp7Xxzn5iQ7"/>
        <w:id w:val="1026065889"/>
      </w:sdtPr>
      <w:sdtEndPr>
        <w:rPr>
          <w:szCs w:val="24"/>
        </w:rPr>
      </w:sdtEndPr>
      <w:sdtContent>
        <w:p w14:paraId="5668E38A" w14:textId="77777777" w:rsidR="00BA1475" w:rsidRPr="00BA1475" w:rsidRDefault="00BA1475" w:rsidP="00BA1475">
          <w:pPr>
            <w:spacing w:after="240" w:line="276" w:lineRule="auto"/>
            <w:contextualSpacing/>
            <w:jc w:val="center"/>
            <w:rPr>
              <w:rFonts w:ascii="Times New Roman" w:eastAsia="Times New Roman" w:hAnsi="Times New Roman" w:cs="Times New Roman"/>
              <w:b/>
              <w:noProof/>
              <w:kern w:val="0"/>
              <w:sz w:val="24"/>
              <w:szCs w:val="20"/>
              <w:lang w:val="en-GB" w:eastAsia="en-IE"/>
              <w14:ligatures w14:val="none"/>
            </w:rPr>
          </w:pPr>
          <w:r w:rsidRPr="00BA1475">
            <w:rPr>
              <w:rFonts w:ascii="Times New Roman" w:eastAsia="Times New Roman" w:hAnsi="Times New Roman" w:cs="Times New Roman"/>
              <w:b/>
              <w:iCs/>
              <w:noProof/>
              <w:snapToGrid w:val="0"/>
              <w:kern w:val="0"/>
              <w:sz w:val="24"/>
              <w:szCs w:val="20"/>
              <w:lang w:val="en-GB"/>
              <w14:ligatures w14:val="none"/>
            </w:rPr>
            <w:t xml:space="preserve">Letter on the agreement to the modification of the Operational Arrangements between the European Commission and </w:t>
          </w:r>
          <w:r w:rsidRPr="00BA1475">
            <w:rPr>
              <w:rFonts w:ascii="Times New Roman" w:eastAsia="Times New Roman" w:hAnsi="Times New Roman" w:cs="Times New Roman"/>
              <w:b/>
              <w:iCs/>
              <w:noProof/>
              <w:snapToGrid w:val="0"/>
              <w:kern w:val="0"/>
              <w:sz w:val="24"/>
              <w:szCs w:val="20"/>
              <w14:ligatures w14:val="none"/>
            </w:rPr>
            <w:t>Latvia</w:t>
          </w:r>
        </w:p>
      </w:sdtContent>
    </w:sdt>
    <w:p w14:paraId="10EE0BCA" w14:textId="77777777" w:rsidR="00BA1475" w:rsidRPr="00BA1475" w:rsidRDefault="00BA1475" w:rsidP="00BA1475">
      <w:pPr>
        <w:spacing w:after="200" w:line="276" w:lineRule="auto"/>
        <w:jc w:val="both"/>
        <w:rPr>
          <w:rFonts w:ascii="Times New Roman" w:eastAsia="Aptos" w:hAnsi="Times New Roman" w:cs="Times New Roman"/>
          <w:noProof/>
          <w:kern w:val="0"/>
          <w:lang w:val="en-GB"/>
          <w14:ligatures w14:val="none"/>
        </w:rPr>
      </w:pPr>
    </w:p>
    <w:p w14:paraId="1746F204" w14:textId="77777777" w:rsidR="00BA1475" w:rsidRPr="00BA1475" w:rsidRDefault="00BA1475" w:rsidP="00BA1475">
      <w:pPr>
        <w:spacing w:after="200" w:line="276" w:lineRule="auto"/>
        <w:jc w:val="both"/>
        <w:rPr>
          <w:rFonts w:ascii="Times New Roman" w:eastAsia="Aptos" w:hAnsi="Times New Roman" w:cs="Times New Roman"/>
          <w:noProof/>
          <w:kern w:val="0"/>
          <w:sz w:val="24"/>
          <w:szCs w:val="24"/>
          <w:lang w:val="en-GB"/>
          <w14:ligatures w14:val="none"/>
        </w:rPr>
      </w:pPr>
      <w:r w:rsidRPr="00BA1475">
        <w:rPr>
          <w:rFonts w:ascii="Times New Roman" w:eastAsia="Aptos" w:hAnsi="Times New Roman" w:cs="Times New Roman"/>
          <w:noProof/>
          <w:kern w:val="0"/>
          <w:sz w:val="24"/>
          <w:szCs w:val="24"/>
          <w:lang w:val="en-GB"/>
          <w14:ligatures w14:val="none"/>
        </w:rPr>
        <w:t xml:space="preserve">Dear </w:t>
      </w:r>
      <w:bookmarkStart w:id="1" w:name="_Hlk137482158"/>
      <w:r w:rsidRPr="00BA1475">
        <w:rPr>
          <w:rFonts w:ascii="Times New Roman" w:eastAsia="Aptos" w:hAnsi="Times New Roman" w:cs="Times New Roman"/>
          <w:noProof/>
          <w:kern w:val="0"/>
          <w:sz w:val="24"/>
          <w:szCs w:val="24"/>
          <w:lang w:val="en-GB"/>
          <w14:ligatures w14:val="none"/>
        </w:rPr>
        <w:t>Commissioner Dombrovskis</w:t>
      </w:r>
      <w:bookmarkEnd w:id="1"/>
      <w:r w:rsidRPr="00BA1475">
        <w:rPr>
          <w:rFonts w:ascii="Times New Roman" w:eastAsia="Aptos" w:hAnsi="Times New Roman" w:cs="Times New Roman"/>
          <w:noProof/>
          <w:kern w:val="0"/>
          <w:sz w:val="24"/>
          <w:szCs w:val="24"/>
          <w:lang w:val="en-GB"/>
          <w14:ligatures w14:val="none"/>
        </w:rPr>
        <w:t>,</w:t>
      </w:r>
    </w:p>
    <w:p w14:paraId="17BF4EAF" w14:textId="77777777" w:rsidR="00BA1475" w:rsidRPr="00BA1475" w:rsidRDefault="00BA1475" w:rsidP="00BA1475">
      <w:pPr>
        <w:spacing w:after="200" w:line="276" w:lineRule="auto"/>
        <w:jc w:val="both"/>
        <w:rPr>
          <w:rFonts w:ascii="Times New Roman" w:eastAsia="Aptos" w:hAnsi="Times New Roman" w:cs="Times New Roman"/>
          <w:noProof/>
          <w:kern w:val="0"/>
          <w:sz w:val="24"/>
          <w:lang w:val="en-GB"/>
          <w14:ligatures w14:val="none"/>
        </w:rPr>
      </w:pPr>
      <w:r w:rsidRPr="00BA1475">
        <w:rPr>
          <w:rFonts w:ascii="Times New Roman" w:eastAsia="Aptos" w:hAnsi="Times New Roman" w:cs="Times New Roman"/>
          <w:noProof/>
          <w:kern w:val="0"/>
          <w:sz w:val="24"/>
          <w:lang w:val="en-GB"/>
          <w14:ligatures w14:val="none"/>
        </w:rPr>
        <w:t>Article 20(6) of Regulation (EU) 241/2021 of the European Parliament and of the Council of 12 February 2021, establishing the Recovery and Resilience Facility</w:t>
      </w:r>
      <w:r w:rsidRPr="00BA1475">
        <w:rPr>
          <w:rFonts w:ascii="Times New Roman" w:eastAsia="Aptos" w:hAnsi="Times New Roman" w:cs="Times New Roman"/>
          <w:noProof/>
          <w:kern w:val="0"/>
          <w:sz w:val="24"/>
          <w:vertAlign w:val="superscript"/>
          <w:lang w:val="en-GB"/>
          <w14:ligatures w14:val="none"/>
        </w:rPr>
        <w:footnoteReference w:id="1"/>
      </w:r>
      <w:r w:rsidRPr="00BA1475">
        <w:rPr>
          <w:rFonts w:ascii="Times New Roman" w:eastAsia="Aptos" w:hAnsi="Times New Roman" w:cs="Times New Roman"/>
          <w:noProof/>
          <w:kern w:val="0"/>
          <w:sz w:val="24"/>
          <w:lang w:val="en-GB"/>
          <w14:ligatures w14:val="none"/>
        </w:rPr>
        <w:t xml:space="preserve"> (the “RRF Regulation”) establishes that the Commission and Latvia should enter into Operational Arrangements to further specify the elements mentioned in the Council Implementing Decision of </w:t>
      </w:r>
      <w:r w:rsidRPr="00BA1475">
        <w:rPr>
          <w:rFonts w:ascii="Times New Roman" w:eastAsia="Aptos" w:hAnsi="Times New Roman" w:cs="Times New Roman"/>
          <w:noProof/>
          <w:kern w:val="0"/>
          <w:sz w:val="24"/>
          <w:szCs w:val="24"/>
          <w:lang w:val="en-GB"/>
          <w14:ligatures w14:val="none"/>
        </w:rPr>
        <w:t>13 July 2021</w:t>
      </w:r>
      <w:r w:rsidRPr="00BA1475">
        <w:rPr>
          <w:rFonts w:ascii="Times New Roman" w:eastAsia="Aptos" w:hAnsi="Times New Roman" w:cs="Times New Roman"/>
          <w:noProof/>
          <w:kern w:val="0"/>
          <w:sz w:val="24"/>
          <w:lang w:val="en-GB"/>
          <w14:ligatures w14:val="none"/>
        </w:rPr>
        <w:t xml:space="preserve"> on the approval of the assessment of the recovery and resilience plan for Latvia (</w:t>
      </w:r>
      <w:r w:rsidRPr="00BA1475">
        <w:rPr>
          <w:rFonts w:ascii="Times New Roman" w:eastAsia="Aptos" w:hAnsi="Times New Roman" w:cs="Times New Roman"/>
          <w:noProof/>
          <w:kern w:val="0"/>
          <w:sz w:val="24"/>
          <w:szCs w:val="24"/>
          <w:lang w:val="en-GB"/>
          <w14:ligatures w14:val="none"/>
        </w:rPr>
        <w:t xml:space="preserve"> ST 10157/21; ST 10157/21ADD 1; 15569/23; 15569/23 ADD 1</w:t>
      </w:r>
      <w:r w:rsidRPr="00BA1475">
        <w:rPr>
          <w:rFonts w:ascii="Times New Roman" w:eastAsia="Aptos" w:hAnsi="Times New Roman" w:cs="Times New Roman"/>
          <w:noProof/>
          <w:kern w:val="0"/>
          <w:sz w:val="24"/>
          <w:lang w:val="en-GB"/>
          <w14:ligatures w14:val="none"/>
        </w:rPr>
        <w:t>), (the “</w:t>
      </w:r>
      <w:r w:rsidRPr="00BA1475">
        <w:rPr>
          <w:rFonts w:ascii="Times New Roman" w:eastAsia="Aptos" w:hAnsi="Times New Roman" w:cs="Times New Roman"/>
          <w:b/>
          <w:noProof/>
          <w:kern w:val="0"/>
          <w:sz w:val="24"/>
          <w:lang w:val="en-GB"/>
          <w14:ligatures w14:val="none"/>
        </w:rPr>
        <w:t>Council Implementing Decision</w:t>
      </w:r>
      <w:r w:rsidRPr="00BA1475">
        <w:rPr>
          <w:rFonts w:ascii="Times New Roman" w:eastAsia="Aptos" w:hAnsi="Times New Roman" w:cs="Times New Roman"/>
          <w:noProof/>
          <w:kern w:val="0"/>
          <w:sz w:val="24"/>
          <w:lang w:val="en-GB"/>
          <w14:ligatures w14:val="none"/>
        </w:rPr>
        <w:t>”).</w:t>
      </w:r>
    </w:p>
    <w:p w14:paraId="213A5124" w14:textId="77777777" w:rsidR="00BA1475" w:rsidRPr="00BA1475" w:rsidRDefault="00BA1475" w:rsidP="00BA1475">
      <w:pPr>
        <w:spacing w:after="200" w:line="276" w:lineRule="auto"/>
        <w:jc w:val="both"/>
        <w:rPr>
          <w:rFonts w:ascii="Times New Roman" w:eastAsia="Aptos" w:hAnsi="Times New Roman" w:cs="Times New Roman"/>
          <w:noProof/>
          <w:kern w:val="0"/>
          <w:sz w:val="24"/>
          <w:lang w:val="en-GB"/>
          <w14:ligatures w14:val="none"/>
        </w:rPr>
      </w:pPr>
      <w:r w:rsidRPr="00BA1475">
        <w:rPr>
          <w:rFonts w:ascii="Times New Roman" w:eastAsia="Aptos" w:hAnsi="Times New Roman" w:cs="Times New Roman"/>
          <w:noProof/>
          <w:kern w:val="0"/>
          <w:sz w:val="24"/>
          <w:lang w:val="en-GB"/>
          <w14:ligatures w14:val="none"/>
        </w:rPr>
        <w:t xml:space="preserve">On </w:t>
      </w:r>
      <w:r w:rsidRPr="00BA1475">
        <w:rPr>
          <w:rFonts w:ascii="Times New Roman" w:eastAsia="Aptos" w:hAnsi="Times New Roman" w:cs="Times New Roman"/>
          <w:noProof/>
          <w:kern w:val="0"/>
          <w:sz w:val="24"/>
          <w:szCs w:val="24"/>
          <w:lang w:val="en-GB"/>
          <w14:ligatures w14:val="none"/>
        </w:rPr>
        <w:t>16 February 2022,</w:t>
      </w:r>
      <w:r w:rsidRPr="00BA1475">
        <w:rPr>
          <w:rFonts w:ascii="Times New Roman" w:eastAsia="Aptos" w:hAnsi="Times New Roman" w:cs="Times New Roman"/>
          <w:noProof/>
          <w:kern w:val="0"/>
          <w:sz w:val="24"/>
          <w:lang w:val="en-GB"/>
          <w14:ligatures w14:val="none"/>
        </w:rPr>
        <w:t xml:space="preserve"> the Operational Arrangements between the Commission and Latvia (the “Parties”) entered into force. According to Clause 4 of those Operational Arrangements, the Parties may modify the Operational Arrangements by mutual consent through an exchange of letters.</w:t>
      </w:r>
    </w:p>
    <w:p w14:paraId="55478315" w14:textId="77777777" w:rsidR="00BA1475" w:rsidRPr="00BA1475" w:rsidRDefault="00BA1475" w:rsidP="00BA1475">
      <w:pPr>
        <w:spacing w:after="200" w:line="276" w:lineRule="auto"/>
        <w:jc w:val="both"/>
        <w:rPr>
          <w:rFonts w:ascii="Times New Roman" w:eastAsia="Aptos" w:hAnsi="Times New Roman" w:cs="Times New Roman"/>
          <w:noProof/>
          <w:kern w:val="0"/>
          <w:sz w:val="24"/>
          <w:lang w:val="en-GB"/>
          <w14:ligatures w14:val="none"/>
        </w:rPr>
      </w:pPr>
      <w:r w:rsidRPr="00BA1475">
        <w:rPr>
          <w:rFonts w:ascii="Times New Roman" w:eastAsia="Aptos" w:hAnsi="Times New Roman" w:cs="Times New Roman"/>
          <w:noProof/>
          <w:kern w:val="0"/>
          <w:sz w:val="24"/>
          <w:lang w:val="en-GB"/>
          <w14:ligatures w14:val="none"/>
        </w:rPr>
        <w:t>In accordance with Article 20(1) of the RRF Regulation, on 18 December 2024, Latvia submitted to the Commission a modified recovery and resilience plan  (the “modified” RRP). Following the submission of the modified RRP by</w:t>
      </w:r>
      <w:r w:rsidRPr="00BA1475">
        <w:rPr>
          <w:rFonts w:ascii="Times New Roman" w:eastAsia="Aptos" w:hAnsi="Times New Roman" w:cs="Times New Roman"/>
          <w:noProof/>
          <w:kern w:val="0"/>
          <w:sz w:val="24"/>
          <w:shd w:val="clear" w:color="auto" w:fill="FFFFFF"/>
          <w:lang w:val="en-GB"/>
          <w14:ligatures w14:val="none"/>
        </w:rPr>
        <w:t xml:space="preserve"> </w:t>
      </w:r>
      <w:r w:rsidRPr="00BA1475">
        <w:rPr>
          <w:rFonts w:ascii="Times New Roman" w:eastAsia="Aptos" w:hAnsi="Times New Roman" w:cs="Times New Roman"/>
          <w:noProof/>
          <w:kern w:val="0"/>
          <w:sz w:val="24"/>
          <w:lang w:val="en-GB"/>
          <w14:ligatures w14:val="none"/>
        </w:rPr>
        <w:t>Latvia, the Commission proposed its positive assessment to the Council. The Council approved the positive assessment by means of the Council Implementing Decision of 1</w:t>
      </w:r>
      <w:r w:rsidRPr="00BA1475">
        <w:rPr>
          <w:rFonts w:ascii="Times New Roman" w:eastAsia="Aptos" w:hAnsi="Times New Roman" w:cs="Times New Roman"/>
          <w:noProof/>
          <w:kern w:val="0"/>
          <w:sz w:val="24"/>
          <w:szCs w:val="24"/>
          <w:lang w:val="en-GB"/>
          <w14:ligatures w14:val="none"/>
        </w:rPr>
        <w:t>8 February 2025</w:t>
      </w:r>
      <w:r w:rsidRPr="00BA1475">
        <w:rPr>
          <w:rFonts w:ascii="Times New Roman" w:eastAsia="Aptos" w:hAnsi="Times New Roman" w:cs="Times New Roman"/>
          <w:noProof/>
          <w:kern w:val="0"/>
          <w:sz w:val="24"/>
          <w:vertAlign w:val="superscript"/>
          <w:lang w:val="en-GB"/>
          <w14:ligatures w14:val="none"/>
        </w:rPr>
        <w:footnoteReference w:id="2"/>
      </w:r>
      <w:r w:rsidRPr="00BA1475">
        <w:rPr>
          <w:rFonts w:ascii="Times New Roman" w:eastAsia="Aptos" w:hAnsi="Times New Roman" w:cs="Times New Roman"/>
          <w:noProof/>
          <w:kern w:val="0"/>
          <w:sz w:val="24"/>
          <w:lang w:val="en-GB"/>
          <w14:ligatures w14:val="none"/>
        </w:rPr>
        <w:t xml:space="preserve">. Following the entry into force of this Council Implementing Decision, the Parties should amend the Operational Arrangements to further specify the elements mentioned therein. </w:t>
      </w:r>
    </w:p>
    <w:p w14:paraId="337C8E87" w14:textId="77777777" w:rsidR="00BA1475" w:rsidRPr="00BA1475" w:rsidRDefault="00BA1475" w:rsidP="00BA1475">
      <w:pPr>
        <w:spacing w:after="200" w:line="276" w:lineRule="auto"/>
        <w:jc w:val="both"/>
        <w:rPr>
          <w:rFonts w:ascii="Times New Roman" w:eastAsia="Aptos" w:hAnsi="Times New Roman" w:cs="Times New Roman"/>
          <w:noProof/>
          <w:kern w:val="0"/>
          <w:sz w:val="24"/>
          <w:szCs w:val="24"/>
          <w:lang w:val="en-GB"/>
          <w14:ligatures w14:val="none"/>
        </w:rPr>
      </w:pPr>
      <w:r w:rsidRPr="00BA1475">
        <w:rPr>
          <w:rFonts w:ascii="Times New Roman" w:eastAsia="Aptos" w:hAnsi="Times New Roman" w:cs="Times New Roman"/>
          <w:noProof/>
          <w:kern w:val="0"/>
          <w:sz w:val="24"/>
          <w:szCs w:val="24"/>
          <w:lang w:val="en-GB"/>
          <w14:ligatures w14:val="none"/>
        </w:rPr>
        <w:t xml:space="preserve">For this purpose, on 12 March 2025, Latvia and the Commission services agreed to the modifications to the Operational Arrangements as set out in the Annex to this letter, which take into account the  Council Implementing Decision of 18 February 2025. On this basis, Latvia hereby requests the Commission to formalise its agreement by replying in writing to this letter. For the purpose of identifying the changes, a courtesy version containing track changes to the modified Operational Arrangements has been attached to this letter. </w:t>
      </w:r>
    </w:p>
    <w:p w14:paraId="4C7498F9" w14:textId="77777777" w:rsidR="00BA1475" w:rsidRPr="00BA1475" w:rsidRDefault="00BA1475" w:rsidP="00BA1475">
      <w:pPr>
        <w:spacing w:before="100" w:beforeAutospacing="1" w:after="100" w:afterAutospacing="1" w:line="276" w:lineRule="auto"/>
        <w:jc w:val="both"/>
        <w:rPr>
          <w:rFonts w:ascii="Times New Roman" w:eastAsia="Aptos" w:hAnsi="Times New Roman" w:cs="Times New Roman"/>
          <w:noProof/>
          <w:color w:val="000000"/>
          <w:kern w:val="0"/>
          <w:sz w:val="24"/>
          <w:lang w:val="en-GB"/>
          <w14:ligatures w14:val="none"/>
        </w:rPr>
      </w:pPr>
      <w:r w:rsidRPr="00BA1475">
        <w:rPr>
          <w:rFonts w:ascii="Times New Roman" w:eastAsia="Aptos" w:hAnsi="Times New Roman" w:cs="Times New Roman"/>
          <w:noProof/>
          <w:color w:val="000000"/>
          <w:kern w:val="0"/>
          <w:sz w:val="24"/>
          <w:lang w:val="en-GB"/>
          <w14:ligatures w14:val="none"/>
        </w:rPr>
        <w:lastRenderedPageBreak/>
        <w:t xml:space="preserve">The modification shall enter into force on the date on which the </w:t>
      </w:r>
      <w:r w:rsidRPr="00BA1475">
        <w:rPr>
          <w:rFonts w:ascii="Times New Roman" w:eastAsia="Aptos" w:hAnsi="Times New Roman" w:cs="Times New Roman"/>
          <w:noProof/>
          <w:kern w:val="0"/>
          <w:sz w:val="24"/>
          <w:lang w:val="en-US"/>
          <w14:ligatures w14:val="none"/>
        </w:rPr>
        <w:t>European Commission communicates</w:t>
      </w:r>
      <w:r w:rsidRPr="00BA1475">
        <w:rPr>
          <w:rFonts w:ascii="Times New Roman" w:eastAsia="Aptos" w:hAnsi="Times New Roman" w:cs="Times New Roman"/>
          <w:noProof/>
          <w:color w:val="000000"/>
          <w:kern w:val="0"/>
          <w:sz w:val="24"/>
          <w:lang w:val="en-GB"/>
          <w14:ligatures w14:val="none"/>
        </w:rPr>
        <w:t xml:space="preserve"> its written agreement.</w:t>
      </w:r>
    </w:p>
    <w:p w14:paraId="301D70AF" w14:textId="77777777" w:rsidR="00BA1475" w:rsidRPr="00BA1475" w:rsidRDefault="00BA1475" w:rsidP="00BA1475">
      <w:pPr>
        <w:spacing w:after="200" w:line="276" w:lineRule="auto"/>
        <w:rPr>
          <w:rFonts w:ascii="Times New Roman" w:eastAsia="Aptos" w:hAnsi="Times New Roman" w:cs="Times New Roman"/>
          <w:noProof/>
          <w:kern w:val="0"/>
          <w:sz w:val="24"/>
          <w:lang w:val="en-GB"/>
          <w14:ligatures w14:val="none"/>
        </w:rPr>
      </w:pPr>
    </w:p>
    <w:p w14:paraId="7478B673" w14:textId="77777777" w:rsidR="00BA1475" w:rsidRPr="00BA1475" w:rsidRDefault="00BA1475" w:rsidP="00BA1475">
      <w:pPr>
        <w:spacing w:after="200" w:line="276" w:lineRule="auto"/>
        <w:rPr>
          <w:rFonts w:ascii="Times New Roman" w:eastAsia="Aptos" w:hAnsi="Times New Roman" w:cs="Times New Roman"/>
          <w:noProof/>
          <w:kern w:val="0"/>
          <w:sz w:val="24"/>
          <w:lang w:val="en-GB"/>
          <w14:ligatures w14:val="none"/>
        </w:rPr>
      </w:pPr>
      <w:r w:rsidRPr="00BA1475">
        <w:rPr>
          <w:rFonts w:ascii="Times New Roman" w:eastAsia="Aptos" w:hAnsi="Times New Roman" w:cs="Times New Roman"/>
          <w:noProof/>
          <w:kern w:val="0"/>
          <w:sz w:val="24"/>
          <w:lang w:val="en-GB"/>
          <w14:ligatures w14:val="none"/>
        </w:rPr>
        <w:t>Yours sincerely,</w:t>
      </w:r>
    </w:p>
    <w:p w14:paraId="55FC418D" w14:textId="77777777" w:rsidR="00BA1475" w:rsidRPr="00BA1475" w:rsidRDefault="00BA1475" w:rsidP="00BA1475">
      <w:pPr>
        <w:spacing w:after="200" w:line="276" w:lineRule="auto"/>
        <w:rPr>
          <w:rFonts w:ascii="Times New Roman" w:eastAsia="Aptos" w:hAnsi="Times New Roman" w:cs="Times New Roman"/>
          <w:noProof/>
          <w:kern w:val="0"/>
          <w:sz w:val="24"/>
          <w:lang w:val="en-GB"/>
          <w14:ligatures w14:val="none"/>
        </w:rPr>
      </w:pPr>
    </w:p>
    <w:p w14:paraId="496BAE17" w14:textId="77777777" w:rsidR="00BA1475" w:rsidRPr="00BA1475" w:rsidRDefault="00BA1475" w:rsidP="00BA1475">
      <w:pPr>
        <w:spacing w:after="200" w:line="276" w:lineRule="auto"/>
        <w:rPr>
          <w:rFonts w:ascii="Times New Roman" w:eastAsia="Aptos" w:hAnsi="Times New Roman" w:cs="Times New Roman"/>
          <w:noProof/>
          <w:kern w:val="0"/>
          <w:sz w:val="24"/>
          <w:szCs w:val="24"/>
          <w:lang w:val="en-GB"/>
          <w14:ligatures w14:val="none"/>
        </w:rPr>
      </w:pPr>
      <w:r w:rsidRPr="00BA1475">
        <w:rPr>
          <w:rFonts w:ascii="Times New Roman" w:eastAsia="Aptos" w:hAnsi="Times New Roman" w:cs="Times New Roman"/>
          <w:noProof/>
          <w:kern w:val="0"/>
          <w:sz w:val="24"/>
          <w:szCs w:val="24"/>
          <w:lang w:val="en-GB"/>
          <w14:ligatures w14:val="none"/>
        </w:rPr>
        <w:t>Arvils Ašeradens</w:t>
      </w:r>
    </w:p>
    <w:p w14:paraId="43028976" w14:textId="77777777" w:rsidR="00BA1475" w:rsidRPr="00BA1475" w:rsidRDefault="00BA1475" w:rsidP="00BA1475">
      <w:pPr>
        <w:spacing w:after="200" w:line="276" w:lineRule="auto"/>
        <w:rPr>
          <w:rFonts w:ascii="Times New Roman" w:eastAsia="Aptos" w:hAnsi="Times New Roman" w:cs="Times New Roman"/>
          <w:noProof/>
          <w:kern w:val="0"/>
          <w:sz w:val="24"/>
          <w:szCs w:val="24"/>
          <w:lang w:val="en-GB"/>
          <w14:ligatures w14:val="none"/>
        </w:rPr>
      </w:pPr>
      <w:r w:rsidRPr="00BA1475">
        <w:rPr>
          <w:rFonts w:ascii="Times New Roman" w:eastAsia="Aptos" w:hAnsi="Times New Roman" w:cs="Times New Roman"/>
          <w:noProof/>
          <w:kern w:val="0"/>
          <w:sz w:val="24"/>
          <w:szCs w:val="24"/>
          <w:lang w:val="en-GB"/>
          <w14:ligatures w14:val="none"/>
        </w:rPr>
        <w:t>Minister of Finance of the Republic of Latvia</w:t>
      </w:r>
    </w:p>
    <w:p w14:paraId="53605D4A" w14:textId="77777777" w:rsidR="00BA1475" w:rsidRPr="00BA1475" w:rsidRDefault="00BA1475" w:rsidP="00BA1475">
      <w:pPr>
        <w:spacing w:after="200" w:line="276" w:lineRule="auto"/>
        <w:jc w:val="center"/>
        <w:rPr>
          <w:rFonts w:ascii="Times New Roman" w:eastAsia="Calibri" w:hAnsi="Times New Roman" w:cs="Times New Roman"/>
          <w:b/>
          <w:bCs/>
          <w:noProof/>
          <w:kern w:val="0"/>
          <w:szCs w:val="24"/>
          <w:u w:val="single"/>
          <w:lang w:val="en-GB"/>
          <w14:ligatures w14:val="none"/>
        </w:rPr>
      </w:pPr>
    </w:p>
    <w:p w14:paraId="32E7CF87" w14:textId="77777777" w:rsidR="00BA1475" w:rsidRPr="00BA1475" w:rsidRDefault="00BA1475" w:rsidP="00BA1475">
      <w:pPr>
        <w:spacing w:after="200" w:line="276" w:lineRule="auto"/>
        <w:jc w:val="center"/>
        <w:rPr>
          <w:rFonts w:ascii="Times New Roman" w:eastAsia="Calibri" w:hAnsi="Times New Roman" w:cs="Times New Roman"/>
          <w:b/>
          <w:bCs/>
          <w:noProof/>
          <w:kern w:val="0"/>
          <w:szCs w:val="24"/>
          <w:u w:val="single"/>
          <w14:ligatures w14:val="none"/>
        </w:rPr>
      </w:pPr>
    </w:p>
    <w:p w14:paraId="02113A40" w14:textId="77777777" w:rsidR="00BA1475" w:rsidRPr="00BA1475" w:rsidRDefault="00BA1475" w:rsidP="00BA1475">
      <w:pPr>
        <w:spacing w:after="200" w:line="276" w:lineRule="auto"/>
        <w:jc w:val="center"/>
        <w:rPr>
          <w:rFonts w:ascii="Times New Roman" w:eastAsia="Calibri" w:hAnsi="Times New Roman" w:cs="Times New Roman"/>
          <w:b/>
          <w:bCs/>
          <w:noProof/>
          <w:kern w:val="0"/>
          <w:szCs w:val="24"/>
          <w:u w:val="single"/>
          <w14:ligatures w14:val="none"/>
        </w:rPr>
        <w:sectPr w:rsidR="00BA1475" w:rsidRPr="00BA1475" w:rsidSect="00BA1475">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pPr>
    </w:p>
    <w:p w14:paraId="69F4524F" w14:textId="77777777" w:rsidR="00BA1475" w:rsidRPr="00BA1475" w:rsidRDefault="00BA1475" w:rsidP="00BA1475">
      <w:pPr>
        <w:spacing w:after="200" w:line="276" w:lineRule="auto"/>
        <w:jc w:val="center"/>
        <w:rPr>
          <w:rFonts w:ascii="Times New Roman" w:eastAsia="Calibri" w:hAnsi="Times New Roman" w:cs="Times New Roman"/>
          <w:b/>
          <w:bCs/>
          <w:noProof/>
          <w:kern w:val="0"/>
          <w:szCs w:val="24"/>
          <w:u w:val="single"/>
          <w14:ligatures w14:val="none"/>
        </w:rPr>
      </w:pPr>
      <w:r w:rsidRPr="00BA1475">
        <w:rPr>
          <w:rFonts w:ascii="Times New Roman" w:eastAsia="Calibri" w:hAnsi="Times New Roman" w:cs="Times New Roman"/>
          <w:b/>
          <w:bCs/>
          <w:noProof/>
          <w:kern w:val="0"/>
          <w:szCs w:val="24"/>
          <w:u w:val="single"/>
          <w14:ligatures w14:val="none"/>
        </w:rPr>
        <w:lastRenderedPageBreak/>
        <w:t>ANNEX II</w:t>
      </w:r>
    </w:p>
    <w:p w14:paraId="5D068F38" w14:textId="77777777" w:rsidR="00BA1475" w:rsidRPr="00BA1475" w:rsidRDefault="00BA1475" w:rsidP="00BA1475">
      <w:pPr>
        <w:spacing w:after="200" w:line="276" w:lineRule="auto"/>
        <w:jc w:val="center"/>
        <w:rPr>
          <w:rFonts w:ascii="Times New Roman" w:eastAsia="Calibri" w:hAnsi="Times New Roman" w:cs="Arial"/>
          <w:noProof/>
          <w:kern w:val="0"/>
          <w:sz w:val="24"/>
          <w14:ligatures w14:val="none"/>
        </w:rPr>
      </w:pPr>
    </w:p>
    <w:p w14:paraId="5FB1451D" w14:textId="77777777" w:rsidR="00BA1475" w:rsidRPr="00BA1475" w:rsidRDefault="00BA1475" w:rsidP="00BA1475">
      <w:pPr>
        <w:spacing w:after="200" w:line="276" w:lineRule="auto"/>
        <w:jc w:val="center"/>
        <w:rPr>
          <w:rFonts w:ascii="Times New Roman" w:eastAsia="Calibri" w:hAnsi="Times New Roman" w:cs="Arial"/>
          <w:b/>
          <w:noProof/>
          <w:kern w:val="0"/>
          <w:sz w:val="24"/>
          <w:u w:val="single"/>
          <w:lang w:val="en-GB"/>
          <w14:ligatures w14:val="none"/>
        </w:rPr>
      </w:pPr>
      <w:bookmarkStart w:id="2" w:name="_Hlk137538745"/>
      <w:r w:rsidRPr="00BA1475">
        <w:rPr>
          <w:rFonts w:ascii="Times New Roman" w:eastAsia="Calibri" w:hAnsi="Times New Roman" w:cs="Arial"/>
          <w:b/>
          <w:noProof/>
          <w:kern w:val="0"/>
          <w:sz w:val="24"/>
          <w:u w:val="single"/>
          <w:lang w:val="en-GB"/>
          <w14:ligatures w14:val="none"/>
        </w:rPr>
        <w:t>Recovery and Resilience Facility</w:t>
      </w:r>
    </w:p>
    <w:p w14:paraId="2EB54759" w14:textId="77777777" w:rsidR="00BA1475" w:rsidRPr="00BA1475" w:rsidRDefault="00BA1475" w:rsidP="00BA1475">
      <w:pPr>
        <w:spacing w:after="200" w:line="276" w:lineRule="auto"/>
        <w:jc w:val="center"/>
        <w:rPr>
          <w:rFonts w:ascii="Times New Roman" w:eastAsia="Calibri" w:hAnsi="Times New Roman" w:cs="Arial"/>
          <w:b/>
          <w:bCs/>
          <w:noProof/>
          <w:kern w:val="0"/>
          <w:sz w:val="24"/>
          <w:szCs w:val="24"/>
          <w:u w:val="single"/>
          <w:lang w:val="en-GB"/>
          <w14:ligatures w14:val="none"/>
        </w:rPr>
      </w:pPr>
      <w:r w:rsidRPr="00BA1475">
        <w:rPr>
          <w:rFonts w:ascii="Times New Roman" w:eastAsia="Calibri" w:hAnsi="Times New Roman" w:cs="Arial"/>
          <w:b/>
          <w:bCs/>
          <w:noProof/>
          <w:kern w:val="0"/>
          <w:sz w:val="24"/>
          <w:szCs w:val="24"/>
          <w:u w:val="single"/>
          <w:lang w:val="en-GB"/>
          <w14:ligatures w14:val="none"/>
        </w:rPr>
        <w:t>Second modification to the</w:t>
      </w:r>
    </w:p>
    <w:p w14:paraId="7B7EE4B0" w14:textId="77777777" w:rsidR="00BA1475" w:rsidRPr="00BA1475" w:rsidRDefault="00BA1475" w:rsidP="00BA1475">
      <w:pPr>
        <w:spacing w:after="200" w:line="276" w:lineRule="auto"/>
        <w:jc w:val="center"/>
        <w:rPr>
          <w:rFonts w:ascii="Times New Roman" w:eastAsia="Calibri" w:hAnsi="Times New Roman" w:cs="Arial"/>
          <w:b/>
          <w:noProof/>
          <w:kern w:val="0"/>
          <w:sz w:val="24"/>
          <w:u w:val="single"/>
          <w:lang w:val="en-GB"/>
          <w14:ligatures w14:val="none"/>
        </w:rPr>
      </w:pPr>
      <w:r w:rsidRPr="00BA1475">
        <w:rPr>
          <w:rFonts w:ascii="Times New Roman" w:eastAsia="Calibri" w:hAnsi="Times New Roman" w:cs="Arial"/>
          <w:b/>
          <w:noProof/>
          <w:kern w:val="0"/>
          <w:sz w:val="24"/>
          <w:u w:val="single"/>
          <w:lang w:val="en-GB"/>
          <w14:ligatures w14:val="none"/>
        </w:rPr>
        <w:t>Operational arrangements between the European Commission and Latvia</w:t>
      </w:r>
    </w:p>
    <w:p w14:paraId="4E183F74" w14:textId="77777777" w:rsidR="00BA1475" w:rsidRPr="00BA1475" w:rsidRDefault="00BA1475" w:rsidP="00BA1475">
      <w:pPr>
        <w:spacing w:after="200" w:line="276" w:lineRule="auto"/>
        <w:rPr>
          <w:rFonts w:ascii="Times New Roman" w:eastAsia="Calibri" w:hAnsi="Times New Roman" w:cs="Arial"/>
          <w:noProof/>
          <w:kern w:val="0"/>
          <w:sz w:val="24"/>
          <w:lang w:val="en-GB"/>
          <w14:ligatures w14:val="none"/>
        </w:rPr>
      </w:pPr>
    </w:p>
    <w:p w14:paraId="13472760" w14:textId="77777777" w:rsidR="00BA1475" w:rsidRPr="00BA1475" w:rsidRDefault="00BA1475" w:rsidP="00BA1475">
      <w:pPr>
        <w:spacing w:after="200" w:line="276" w:lineRule="auto"/>
        <w:rPr>
          <w:rFonts w:ascii="Times New Roman" w:eastAsia="Calibri" w:hAnsi="Times New Roman" w:cs="Arial"/>
          <w:noProof/>
          <w:kern w:val="0"/>
          <w:sz w:val="24"/>
          <w:lang w:val="en-GB"/>
          <w14:ligatures w14:val="none"/>
        </w:rPr>
      </w:pPr>
      <w:r w:rsidRPr="00BA1475">
        <w:rPr>
          <w:rFonts w:ascii="Times New Roman" w:eastAsia="Calibri" w:hAnsi="Times New Roman" w:cs="Arial"/>
          <w:noProof/>
          <w:kern w:val="0"/>
          <w:sz w:val="24"/>
          <w:lang w:val="en-GB"/>
          <w14:ligatures w14:val="none"/>
        </w:rPr>
        <w:t xml:space="preserve">[The modification to the Operational Arrangements shall enter into force on the date of receipt of the </w:t>
      </w:r>
      <w:r w:rsidRPr="00BA1475">
        <w:rPr>
          <w:rFonts w:ascii="Times New Roman" w:eastAsia="Calibri" w:hAnsi="Times New Roman" w:cs="Arial"/>
          <w:noProof/>
          <w:kern w:val="0"/>
          <w:sz w:val="24"/>
          <w:lang w:val="en-US"/>
          <w14:ligatures w14:val="none"/>
        </w:rPr>
        <w:t xml:space="preserve">European Commission’s </w:t>
      </w:r>
      <w:r w:rsidRPr="00BA1475">
        <w:rPr>
          <w:rFonts w:ascii="Times New Roman" w:eastAsia="Calibri" w:hAnsi="Times New Roman" w:cs="Arial"/>
          <w:noProof/>
          <w:color w:val="000000"/>
          <w:kern w:val="0"/>
          <w:sz w:val="24"/>
          <w:lang w:val="en-GB"/>
          <w14:ligatures w14:val="none"/>
        </w:rPr>
        <w:t>agreement in writing.]</w:t>
      </w:r>
    </w:p>
    <w:p w14:paraId="2BBE465F" w14:textId="77777777" w:rsidR="00BA1475" w:rsidRPr="00BA1475" w:rsidRDefault="00BA1475" w:rsidP="00BA1475">
      <w:pPr>
        <w:spacing w:after="200" w:line="276" w:lineRule="auto"/>
        <w:rPr>
          <w:rFonts w:ascii="Times New Roman" w:eastAsia="Calibri" w:hAnsi="Times New Roman" w:cs="Arial"/>
          <w:noProof/>
          <w:kern w:val="0"/>
          <w:sz w:val="24"/>
          <w:lang w:val="en-GB"/>
          <w14:ligatures w14:val="none"/>
        </w:rPr>
      </w:pPr>
    </w:p>
    <w:p w14:paraId="3D9E82B4"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r w:rsidRPr="00BA1475">
        <w:rPr>
          <w:rFonts w:ascii="Times New Roman" w:eastAsia="Calibri" w:hAnsi="Times New Roman" w:cs="Arial"/>
          <w:noProof/>
          <w:kern w:val="0"/>
          <w:sz w:val="24"/>
          <w14:ligatures w14:val="none"/>
        </w:rPr>
        <w:t>This modification to the Operational Arrangements is made by and between</w:t>
      </w:r>
    </w:p>
    <w:p w14:paraId="05090537"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p>
    <w:p w14:paraId="4619CFF1"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r w:rsidRPr="00BA1475">
        <w:rPr>
          <w:rFonts w:ascii="Times New Roman" w:eastAsia="Calibri" w:hAnsi="Times New Roman" w:cs="Arial"/>
          <w:noProof/>
          <w:kern w:val="0"/>
          <w:sz w:val="24"/>
          <w14:ligatures w14:val="none"/>
        </w:rPr>
        <w:t>the European Union, represented by the European Commission,</w:t>
      </w:r>
    </w:p>
    <w:p w14:paraId="674B3CE5"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r w:rsidRPr="00BA1475">
        <w:rPr>
          <w:rFonts w:ascii="Times New Roman" w:eastAsia="Calibri" w:hAnsi="Times New Roman" w:cs="Arial"/>
          <w:noProof/>
          <w:kern w:val="0"/>
          <w:sz w:val="24"/>
          <w14:ligatures w14:val="none"/>
        </w:rPr>
        <w:t>hereinafter referred to as “</w:t>
      </w:r>
      <w:r w:rsidRPr="00BA1475">
        <w:rPr>
          <w:rFonts w:ascii="Times New Roman" w:eastAsia="Calibri" w:hAnsi="Times New Roman" w:cs="Arial"/>
          <w:b/>
          <w:noProof/>
          <w:kern w:val="0"/>
          <w:sz w:val="24"/>
          <w14:ligatures w14:val="none"/>
        </w:rPr>
        <w:t>the Commission</w:t>
      </w:r>
      <w:r w:rsidRPr="00BA1475">
        <w:rPr>
          <w:rFonts w:ascii="Times New Roman" w:eastAsia="Calibri" w:hAnsi="Times New Roman" w:cs="Arial"/>
          <w:noProof/>
          <w:kern w:val="0"/>
          <w:sz w:val="24"/>
          <w14:ligatures w14:val="none"/>
        </w:rPr>
        <w:t>”</w:t>
      </w:r>
    </w:p>
    <w:p w14:paraId="4C6C100E"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p>
    <w:p w14:paraId="68B0D462"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r w:rsidRPr="00BA1475">
        <w:rPr>
          <w:rFonts w:ascii="Times New Roman" w:eastAsia="Calibri" w:hAnsi="Times New Roman" w:cs="Arial"/>
          <w:noProof/>
          <w:kern w:val="0"/>
          <w:sz w:val="24"/>
          <w14:ligatures w14:val="none"/>
        </w:rPr>
        <w:t>and</w:t>
      </w:r>
    </w:p>
    <w:p w14:paraId="62D091A3"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p>
    <w:p w14:paraId="766FF27A"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r w:rsidRPr="00BA1475">
        <w:rPr>
          <w:rFonts w:ascii="Times New Roman" w:eastAsia="Calibri" w:hAnsi="Times New Roman" w:cs="Times New Roman"/>
          <w:b/>
          <w:bCs/>
          <w:noProof/>
          <w:kern w:val="0"/>
          <w:sz w:val="24"/>
          <w:szCs w:val="24"/>
          <w14:ligatures w14:val="none"/>
        </w:rPr>
        <w:t>Republic of Latvia</w:t>
      </w:r>
      <w:r w:rsidRPr="00BA1475">
        <w:rPr>
          <w:rFonts w:ascii="Times New Roman" w:eastAsia="Calibri" w:hAnsi="Times New Roman" w:cs="Times New Roman"/>
          <w:noProof/>
          <w:kern w:val="0"/>
          <w:sz w:val="24"/>
          <w:szCs w:val="24"/>
          <w14:ligatures w14:val="none"/>
        </w:rPr>
        <w:t>,</w:t>
      </w:r>
      <w:r w:rsidRPr="00BA1475">
        <w:rPr>
          <w:rFonts w:ascii="Times New Roman" w:eastAsia="Calibri" w:hAnsi="Times New Roman" w:cs="Arial"/>
          <w:noProof/>
          <w:kern w:val="0"/>
          <w:sz w:val="24"/>
          <w14:ligatures w14:val="none"/>
        </w:rPr>
        <w:t xml:space="preserve"> represented by the Minister of </w:t>
      </w:r>
      <w:r w:rsidRPr="00BA1475">
        <w:rPr>
          <w:rFonts w:ascii="Times New Roman" w:eastAsia="Calibri" w:hAnsi="Times New Roman" w:cs="Times New Roman"/>
          <w:noProof/>
          <w:kern w:val="0"/>
          <w:sz w:val="24"/>
          <w:szCs w:val="24"/>
          <w14:ligatures w14:val="none"/>
        </w:rPr>
        <w:t>Finance,</w:t>
      </w:r>
    </w:p>
    <w:p w14:paraId="3FB63179"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r w:rsidRPr="00BA1475">
        <w:rPr>
          <w:rFonts w:ascii="Times New Roman" w:eastAsia="Calibri" w:hAnsi="Times New Roman" w:cs="Arial"/>
          <w:noProof/>
          <w:kern w:val="0"/>
          <w:sz w:val="24"/>
          <w14:ligatures w14:val="none"/>
        </w:rPr>
        <w:t>Hereinafter referred to as “</w:t>
      </w:r>
      <w:r w:rsidRPr="00BA1475">
        <w:rPr>
          <w:rFonts w:ascii="Times New Roman" w:eastAsia="Calibri" w:hAnsi="Times New Roman" w:cs="Arial"/>
          <w:b/>
          <w:noProof/>
          <w:kern w:val="0"/>
          <w:sz w:val="24"/>
          <w14:ligatures w14:val="none"/>
        </w:rPr>
        <w:t>the Member State</w:t>
      </w:r>
      <w:r w:rsidRPr="00BA1475">
        <w:rPr>
          <w:rFonts w:ascii="Times New Roman" w:eastAsia="Calibri" w:hAnsi="Times New Roman" w:cs="Arial"/>
          <w:noProof/>
          <w:kern w:val="0"/>
          <w:sz w:val="24"/>
          <w14:ligatures w14:val="none"/>
        </w:rPr>
        <w:t>”,</w:t>
      </w:r>
    </w:p>
    <w:p w14:paraId="4B94D23D"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p>
    <w:p w14:paraId="27523B7D"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r w:rsidRPr="00BA1475">
        <w:rPr>
          <w:rFonts w:ascii="Times New Roman" w:eastAsia="Calibri" w:hAnsi="Times New Roman" w:cs="Arial"/>
          <w:noProof/>
          <w:kern w:val="0"/>
          <w:sz w:val="24"/>
          <w14:ligatures w14:val="none"/>
        </w:rPr>
        <w:t>hereinafter jointly referred to as the “Parties” and each of them a “Party”</w:t>
      </w:r>
    </w:p>
    <w:p w14:paraId="18C0EF46"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p>
    <w:p w14:paraId="3CA80122"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r w:rsidRPr="00BA1475">
        <w:rPr>
          <w:rFonts w:ascii="Times New Roman" w:eastAsia="Calibri" w:hAnsi="Times New Roman" w:cs="Arial"/>
          <w:noProof/>
          <w:kern w:val="0"/>
          <w:sz w:val="24"/>
          <w14:ligatures w14:val="none"/>
        </w:rPr>
        <w:t>The Parties have agreed the following:</w:t>
      </w:r>
    </w:p>
    <w:p w14:paraId="144051BE"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p>
    <w:p w14:paraId="028C9814" w14:textId="77777777" w:rsidR="00BA1475" w:rsidRPr="00BA1475" w:rsidRDefault="00BA1475" w:rsidP="00BA1475">
      <w:pPr>
        <w:spacing w:after="200" w:line="276" w:lineRule="auto"/>
        <w:rPr>
          <w:rFonts w:ascii="Times New Roman" w:eastAsia="Calibri" w:hAnsi="Times New Roman" w:cs="Arial"/>
          <w:noProof/>
          <w:kern w:val="0"/>
          <w:sz w:val="24"/>
          <w14:ligatures w14:val="none"/>
        </w:rPr>
      </w:pPr>
      <w:r w:rsidRPr="00BA1475">
        <w:rPr>
          <w:rFonts w:ascii="Times New Roman" w:eastAsia="Calibri" w:hAnsi="Times New Roman" w:cs="Arial"/>
          <w:noProof/>
          <w:kern w:val="0"/>
          <w:sz w:val="24"/>
          <w14:ligatures w14:val="none"/>
        </w:rPr>
        <w:t xml:space="preserve">The Operational Arrangements of </w:t>
      </w:r>
      <w:r w:rsidRPr="00BA1475">
        <w:rPr>
          <w:rFonts w:ascii="Times New Roman" w:eastAsia="Calibri" w:hAnsi="Times New Roman" w:cs="Times New Roman"/>
          <w:noProof/>
          <w:kern w:val="0"/>
          <w:sz w:val="24"/>
          <w:szCs w:val="24"/>
          <w14:ligatures w14:val="none"/>
        </w:rPr>
        <w:t>16 February 2022</w:t>
      </w:r>
      <w:r w:rsidRPr="00BA1475">
        <w:rPr>
          <w:rFonts w:ascii="Times New Roman" w:eastAsia="Calibri" w:hAnsi="Times New Roman" w:cs="Arial"/>
          <w:noProof/>
          <w:kern w:val="0"/>
          <w:sz w:val="24"/>
          <w14:ligatures w14:val="none"/>
        </w:rPr>
        <w:t xml:space="preserve"> between the European Commission and Latvia are modified as follows:</w:t>
      </w:r>
    </w:p>
    <w:p w14:paraId="66B2F7A1" w14:textId="77777777" w:rsidR="00BA1475" w:rsidRPr="00BA1475" w:rsidRDefault="00BA1475" w:rsidP="00BA1475">
      <w:pPr>
        <w:keepNext/>
        <w:keepLines/>
        <w:numPr>
          <w:ilvl w:val="0"/>
          <w:numId w:val="56"/>
        </w:numPr>
        <w:spacing w:after="200" w:line="276" w:lineRule="auto"/>
        <w:contextualSpacing/>
        <w:jc w:val="both"/>
        <w:rPr>
          <w:rFonts w:ascii="Times New Roman" w:eastAsia="Calibri" w:hAnsi="Times New Roman" w:cs="Times New Roman"/>
          <w:noProof/>
          <w:kern w:val="0"/>
          <w:sz w:val="24"/>
          <w:szCs w:val="24"/>
          <w14:ligatures w14:val="none"/>
        </w:rPr>
      </w:pPr>
      <w:bookmarkStart w:id="3" w:name="_Hlk137978789"/>
      <w:r w:rsidRPr="00BA1475">
        <w:rPr>
          <w:rFonts w:ascii="Times New Roman" w:eastAsia="Calibri" w:hAnsi="Times New Roman" w:cs="Arial"/>
          <w:noProof/>
          <w:kern w:val="0"/>
          <w:sz w:val="24"/>
          <w14:ligatures w14:val="none"/>
        </w:rPr>
        <w:lastRenderedPageBreak/>
        <w:t>In Section 3: Timeline for payment requests</w:t>
      </w:r>
    </w:p>
    <w:bookmarkEnd w:id="3"/>
    <w:p w14:paraId="7AD2B673" w14:textId="77777777" w:rsidR="00BA1475" w:rsidRPr="00BA1475" w:rsidRDefault="00BA1475" w:rsidP="00BA1475">
      <w:pPr>
        <w:keepNext/>
        <w:keepLines/>
        <w:spacing w:after="200" w:line="276" w:lineRule="auto"/>
        <w:ind w:left="720"/>
        <w:jc w:val="both"/>
        <w:rPr>
          <w:rFonts w:ascii="Times New Roman" w:eastAsia="Calibri" w:hAnsi="Times New Roman" w:cs="Times New Roman"/>
          <w:kern w:val="0"/>
          <w:sz w:val="24"/>
          <w:szCs w:val="24"/>
          <w:lang w:val="en-GB"/>
          <w14:ligatures w14:val="none"/>
        </w:rPr>
      </w:pPr>
      <w:r w:rsidRPr="00BA1475">
        <w:rPr>
          <w:rFonts w:ascii="Times New Roman" w:eastAsia="Calibri" w:hAnsi="Times New Roman" w:cs="Times New Roman"/>
          <w:kern w:val="0"/>
          <w:sz w:val="24"/>
          <w:szCs w:val="24"/>
          <w:lang w:val="en-GB"/>
          <w14:ligatures w14:val="none"/>
        </w:rPr>
        <w:t xml:space="preserve">The </w:t>
      </w:r>
      <w:bookmarkStart w:id="4" w:name="_Hlk137979083"/>
      <w:r w:rsidRPr="00BA1475">
        <w:rPr>
          <w:rFonts w:ascii="Times New Roman" w:eastAsia="Calibri" w:hAnsi="Times New Roman" w:cs="Times New Roman"/>
          <w:kern w:val="0"/>
          <w:sz w:val="24"/>
          <w:szCs w:val="24"/>
          <w:lang w:val="en-GB"/>
          <w14:ligatures w14:val="none"/>
        </w:rPr>
        <w:t xml:space="preserve">table for Financial Contribution </w:t>
      </w:r>
      <w:bookmarkEnd w:id="4"/>
      <w:r w:rsidRPr="00BA1475">
        <w:rPr>
          <w:rFonts w:ascii="Times New Roman" w:eastAsia="Calibri" w:hAnsi="Times New Roman" w:cs="Times New Roman"/>
          <w:kern w:val="0"/>
          <w:sz w:val="24"/>
          <w:szCs w:val="24"/>
          <w:lang w:val="en-GB"/>
          <w14:ligatures w14:val="none"/>
        </w:rPr>
        <w:t>is replaced by the following:</w:t>
      </w:r>
    </w:p>
    <w:tbl>
      <w:tblPr>
        <w:tblStyle w:val="TableGrid"/>
        <w:tblW w:w="8930" w:type="dxa"/>
        <w:tblInd w:w="534" w:type="dxa"/>
        <w:tblLook w:val="04A0" w:firstRow="1" w:lastRow="0" w:firstColumn="1" w:lastColumn="0" w:noHBand="0" w:noVBand="1"/>
      </w:tblPr>
      <w:tblGrid>
        <w:gridCol w:w="4564"/>
        <w:gridCol w:w="3090"/>
        <w:gridCol w:w="1276"/>
      </w:tblGrid>
      <w:tr w:rsidR="00BA1475" w:rsidRPr="00BA1475" w14:paraId="39BFFC86" w14:textId="77777777" w:rsidTr="004E5602">
        <w:tc>
          <w:tcPr>
            <w:tcW w:w="4564" w:type="dxa"/>
          </w:tcPr>
          <w:p w14:paraId="00AE5E41" w14:textId="77777777" w:rsidR="00BA1475" w:rsidRPr="00BA1475" w:rsidRDefault="00BA1475" w:rsidP="00BA1475">
            <w:pPr>
              <w:keepNext/>
              <w:keepLines/>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Payment Request for the First Instalment</w:t>
            </w:r>
          </w:p>
        </w:tc>
        <w:tc>
          <w:tcPr>
            <w:tcW w:w="3090" w:type="dxa"/>
          </w:tcPr>
          <w:p w14:paraId="3C629C7C" w14:textId="77777777" w:rsidR="00BA1475" w:rsidRPr="00BA1475" w:rsidRDefault="00BA1475" w:rsidP="00BA1475">
            <w:pPr>
              <w:keepNext/>
              <w:keepLines/>
              <w:jc w:val="right"/>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EUR 231 000 000,00</w:t>
            </w:r>
          </w:p>
        </w:tc>
        <w:tc>
          <w:tcPr>
            <w:tcW w:w="1276" w:type="dxa"/>
          </w:tcPr>
          <w:p w14:paraId="2E1A15B8" w14:textId="77777777" w:rsidR="00BA1475" w:rsidRPr="00BA1475" w:rsidRDefault="00BA1475" w:rsidP="00BA1475">
            <w:pPr>
              <w:keepNext/>
              <w:keepLines/>
              <w:jc w:val="right"/>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Q2 2022</w:t>
            </w:r>
          </w:p>
        </w:tc>
      </w:tr>
      <w:tr w:rsidR="00BA1475" w:rsidRPr="00BA1475" w14:paraId="13203C26" w14:textId="77777777" w:rsidTr="004E5602">
        <w:tc>
          <w:tcPr>
            <w:tcW w:w="4564" w:type="dxa"/>
          </w:tcPr>
          <w:p w14:paraId="154781DD" w14:textId="77777777" w:rsidR="00BA1475" w:rsidRPr="00BA1475" w:rsidRDefault="00BA1475" w:rsidP="00BA1475">
            <w:pPr>
              <w:keepNext/>
              <w:keepLines/>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Payment Request for the Second Instalment</w:t>
            </w:r>
          </w:p>
        </w:tc>
        <w:tc>
          <w:tcPr>
            <w:tcW w:w="3090" w:type="dxa"/>
          </w:tcPr>
          <w:p w14:paraId="734DC550" w14:textId="77777777" w:rsidR="00BA1475" w:rsidRPr="00BA1475" w:rsidRDefault="00BA1475" w:rsidP="00BA1475">
            <w:pPr>
              <w:keepNext/>
              <w:keepLines/>
              <w:jc w:val="right"/>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 xml:space="preserve">EUR </w:t>
            </w:r>
            <w:r w:rsidRPr="00BA1475">
              <w:rPr>
                <w:rFonts w:ascii="Times New Roman" w:eastAsia="Calibri" w:hAnsi="Times New Roman" w:cs="Times New Roman"/>
                <w:i/>
                <w:iCs/>
                <w:noProof/>
                <w:sz w:val="24"/>
                <w:szCs w:val="24"/>
                <w14:ligatures w14:val="none"/>
              </w:rPr>
              <w:t>388</w:t>
            </w:r>
            <w:r w:rsidRPr="00BA1475">
              <w:rPr>
                <w:rFonts w:ascii="Times New Roman" w:eastAsia="Calibri" w:hAnsi="Times New Roman" w:cs="Arial"/>
                <w:i/>
                <w:iCs/>
                <w:noProof/>
                <w:sz w:val="24"/>
                <w14:ligatures w14:val="none"/>
              </w:rPr>
              <w:t xml:space="preserve"> 000 000,00</w:t>
            </w:r>
          </w:p>
        </w:tc>
        <w:tc>
          <w:tcPr>
            <w:tcW w:w="1276" w:type="dxa"/>
          </w:tcPr>
          <w:p w14:paraId="09977997" w14:textId="77777777" w:rsidR="00BA1475" w:rsidRPr="00BA1475" w:rsidRDefault="00BA1475" w:rsidP="00BA1475">
            <w:pPr>
              <w:keepNext/>
              <w:keepLines/>
              <w:jc w:val="right"/>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Q2 2023</w:t>
            </w:r>
          </w:p>
        </w:tc>
      </w:tr>
      <w:tr w:rsidR="00BA1475" w:rsidRPr="00BA1475" w14:paraId="79BD4F25" w14:textId="77777777" w:rsidTr="004E5602">
        <w:tc>
          <w:tcPr>
            <w:tcW w:w="4564" w:type="dxa"/>
          </w:tcPr>
          <w:p w14:paraId="56B02A50" w14:textId="77777777" w:rsidR="00BA1475" w:rsidRPr="00BA1475" w:rsidRDefault="00BA1475" w:rsidP="00BA1475">
            <w:pPr>
              <w:keepNext/>
              <w:keepLines/>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Payment Request for the Third Instalment</w:t>
            </w:r>
          </w:p>
        </w:tc>
        <w:tc>
          <w:tcPr>
            <w:tcW w:w="3090" w:type="dxa"/>
          </w:tcPr>
          <w:p w14:paraId="3F5414DB" w14:textId="77777777" w:rsidR="00BA1475" w:rsidRPr="00BA1475" w:rsidRDefault="00BA1475" w:rsidP="00BA1475">
            <w:pPr>
              <w:keepNext/>
              <w:keepLines/>
              <w:jc w:val="right"/>
              <w:rPr>
                <w:rFonts w:ascii="Times New Roman" w:eastAsia="Calibri" w:hAnsi="Times New Roman" w:cs="Arial"/>
                <w:i/>
                <w:iCs/>
                <w:noProof/>
                <w:sz w:val="24"/>
                <w:szCs w:val="24"/>
                <w14:ligatures w14:val="none"/>
              </w:rPr>
            </w:pPr>
            <w:r w:rsidRPr="00BA1475">
              <w:rPr>
                <w:rFonts w:ascii="Times New Roman" w:eastAsia="Calibri" w:hAnsi="Times New Roman" w:cs="Arial"/>
                <w:i/>
                <w:iCs/>
                <w:noProof/>
                <w:sz w:val="24"/>
                <w:szCs w:val="24"/>
                <w14:ligatures w14:val="none"/>
              </w:rPr>
              <w:t xml:space="preserve">EUR </w:t>
            </w:r>
            <w:r w:rsidRPr="00BA1475">
              <w:rPr>
                <w:rFonts w:ascii="Times New Roman" w:eastAsia="Calibri" w:hAnsi="Times New Roman" w:cs="Times New Roman"/>
                <w:i/>
                <w:iCs/>
                <w:noProof/>
                <w:sz w:val="24"/>
                <w:szCs w:val="24"/>
                <w14:ligatures w14:val="none"/>
              </w:rPr>
              <w:t>339 038 937</w:t>
            </w:r>
            <w:r w:rsidRPr="00BA1475">
              <w:rPr>
                <w:rFonts w:ascii="Times New Roman" w:eastAsia="Calibri" w:hAnsi="Times New Roman" w:cs="Arial"/>
                <w:i/>
                <w:iCs/>
                <w:noProof/>
                <w:sz w:val="24"/>
                <w:szCs w:val="24"/>
                <w14:ligatures w14:val="none"/>
              </w:rPr>
              <w:t>,00</w:t>
            </w:r>
          </w:p>
        </w:tc>
        <w:tc>
          <w:tcPr>
            <w:tcW w:w="1276" w:type="dxa"/>
          </w:tcPr>
          <w:p w14:paraId="17B0EE94" w14:textId="77777777" w:rsidR="00BA1475" w:rsidRPr="00BA1475" w:rsidRDefault="00BA1475" w:rsidP="00BA1475">
            <w:pPr>
              <w:keepNext/>
              <w:keepLines/>
              <w:jc w:val="right"/>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Q2 2024</w:t>
            </w:r>
          </w:p>
        </w:tc>
      </w:tr>
      <w:tr w:rsidR="00BA1475" w:rsidRPr="00BA1475" w14:paraId="19775231" w14:textId="77777777" w:rsidTr="004E5602">
        <w:tc>
          <w:tcPr>
            <w:tcW w:w="4564" w:type="dxa"/>
          </w:tcPr>
          <w:p w14:paraId="6E924529" w14:textId="77777777" w:rsidR="00BA1475" w:rsidRPr="00BA1475" w:rsidRDefault="00BA1475" w:rsidP="00BA1475">
            <w:pPr>
              <w:keepNext/>
              <w:keepLines/>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Payment Request for the Fourth Instalment</w:t>
            </w:r>
          </w:p>
        </w:tc>
        <w:tc>
          <w:tcPr>
            <w:tcW w:w="3090" w:type="dxa"/>
          </w:tcPr>
          <w:p w14:paraId="7C742682" w14:textId="77777777" w:rsidR="00BA1475" w:rsidRPr="00BA1475" w:rsidRDefault="00BA1475" w:rsidP="00BA1475">
            <w:pPr>
              <w:keepNext/>
              <w:keepLines/>
              <w:jc w:val="right"/>
              <w:rPr>
                <w:rFonts w:ascii="Times New Roman" w:eastAsia="Calibri" w:hAnsi="Times New Roman" w:cs="Arial"/>
                <w:i/>
                <w:iCs/>
                <w:noProof/>
                <w:sz w:val="24"/>
                <w:szCs w:val="24"/>
                <w14:ligatures w14:val="none"/>
              </w:rPr>
            </w:pPr>
            <w:r w:rsidRPr="00BA1475">
              <w:rPr>
                <w:rFonts w:ascii="Times New Roman" w:eastAsia="Calibri" w:hAnsi="Times New Roman" w:cs="Arial"/>
                <w:i/>
                <w:iCs/>
                <w:noProof/>
                <w:sz w:val="24"/>
                <w:szCs w:val="24"/>
                <w14:ligatures w14:val="none"/>
              </w:rPr>
              <w:t xml:space="preserve">EUR </w:t>
            </w:r>
            <w:r w:rsidRPr="00BA1475">
              <w:rPr>
                <w:rFonts w:ascii="Times New Roman" w:eastAsia="Calibri" w:hAnsi="Times New Roman" w:cs="Times New Roman"/>
                <w:i/>
                <w:iCs/>
                <w:noProof/>
                <w:sz w:val="24"/>
                <w:szCs w:val="24"/>
                <w14:ligatures w14:val="none"/>
              </w:rPr>
              <w:t>349 129 913</w:t>
            </w:r>
            <w:r w:rsidRPr="00BA1475">
              <w:rPr>
                <w:rFonts w:ascii="Times New Roman" w:eastAsia="Calibri" w:hAnsi="Times New Roman" w:cs="Arial"/>
                <w:i/>
                <w:iCs/>
                <w:noProof/>
                <w:sz w:val="24"/>
                <w:szCs w:val="24"/>
                <w14:ligatures w14:val="none"/>
              </w:rPr>
              <w:t>,00</w:t>
            </w:r>
          </w:p>
        </w:tc>
        <w:tc>
          <w:tcPr>
            <w:tcW w:w="1276" w:type="dxa"/>
          </w:tcPr>
          <w:p w14:paraId="0EF649BB" w14:textId="77777777" w:rsidR="00BA1475" w:rsidRPr="00BA1475" w:rsidRDefault="00BA1475" w:rsidP="00BA1475">
            <w:pPr>
              <w:keepNext/>
              <w:keepLines/>
              <w:jc w:val="right"/>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Q2 2025</w:t>
            </w:r>
          </w:p>
        </w:tc>
      </w:tr>
      <w:tr w:rsidR="00BA1475" w:rsidRPr="00BA1475" w14:paraId="14489AD7" w14:textId="77777777" w:rsidTr="004E5602">
        <w:trPr>
          <w:trHeight w:val="300"/>
        </w:trPr>
        <w:tc>
          <w:tcPr>
            <w:tcW w:w="4564" w:type="dxa"/>
          </w:tcPr>
          <w:p w14:paraId="1198F1AD" w14:textId="77777777" w:rsidR="00BA1475" w:rsidRPr="00BA1475" w:rsidRDefault="00BA1475" w:rsidP="00BA1475">
            <w:pPr>
              <w:keepNext/>
              <w:keepLines/>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Payment Request for the Fifth Instalment</w:t>
            </w:r>
          </w:p>
        </w:tc>
        <w:tc>
          <w:tcPr>
            <w:tcW w:w="3090" w:type="dxa"/>
          </w:tcPr>
          <w:p w14:paraId="337C4574" w14:textId="77777777" w:rsidR="00BA1475" w:rsidRPr="00BA1475" w:rsidRDefault="00BA1475" w:rsidP="00BA1475">
            <w:pPr>
              <w:keepNext/>
              <w:keepLines/>
              <w:jc w:val="right"/>
              <w:rPr>
                <w:rFonts w:ascii="Times New Roman" w:eastAsia="Calibri" w:hAnsi="Times New Roman" w:cs="Arial"/>
                <w:i/>
                <w:iCs/>
                <w:noProof/>
                <w:sz w:val="24"/>
                <w:szCs w:val="24"/>
                <w14:ligatures w14:val="none"/>
              </w:rPr>
            </w:pPr>
            <w:r w:rsidRPr="00BA1475">
              <w:rPr>
                <w:rFonts w:ascii="Times New Roman" w:eastAsia="Calibri" w:hAnsi="Times New Roman" w:cs="Arial"/>
                <w:i/>
                <w:iCs/>
                <w:noProof/>
                <w:sz w:val="24"/>
                <w:szCs w:val="24"/>
                <w14:ligatures w14:val="none"/>
              </w:rPr>
              <w:t xml:space="preserve">EUR </w:t>
            </w:r>
            <w:r w:rsidRPr="00BA1475">
              <w:rPr>
                <w:rFonts w:ascii="Times New Roman" w:eastAsia="Calibri" w:hAnsi="Times New Roman" w:cs="Times New Roman"/>
                <w:i/>
                <w:iCs/>
                <w:noProof/>
                <w:sz w:val="24"/>
                <w:szCs w:val="24"/>
                <w14:ligatures w14:val="none"/>
              </w:rPr>
              <w:t>274 831 150</w:t>
            </w:r>
            <w:r w:rsidRPr="00BA1475">
              <w:rPr>
                <w:rFonts w:ascii="Times New Roman" w:eastAsia="Calibri" w:hAnsi="Times New Roman" w:cs="Arial"/>
                <w:i/>
                <w:iCs/>
                <w:noProof/>
                <w:sz w:val="24"/>
                <w:szCs w:val="24"/>
                <w14:ligatures w14:val="none"/>
              </w:rPr>
              <w:t>,00</w:t>
            </w:r>
          </w:p>
        </w:tc>
        <w:tc>
          <w:tcPr>
            <w:tcW w:w="1276" w:type="dxa"/>
          </w:tcPr>
          <w:p w14:paraId="4181312E" w14:textId="77777777" w:rsidR="00BA1475" w:rsidRPr="00BA1475" w:rsidRDefault="00BA1475" w:rsidP="00BA1475">
            <w:pPr>
              <w:keepNext/>
              <w:keepLines/>
              <w:jc w:val="right"/>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Q2 2026</w:t>
            </w:r>
          </w:p>
        </w:tc>
      </w:tr>
      <w:tr w:rsidR="00BA1475" w:rsidRPr="00BA1475" w14:paraId="17FF9717" w14:textId="77777777" w:rsidTr="004E5602">
        <w:tc>
          <w:tcPr>
            <w:tcW w:w="4564" w:type="dxa"/>
          </w:tcPr>
          <w:p w14:paraId="4068D783" w14:textId="77777777" w:rsidR="00BA1475" w:rsidRPr="00BA1475" w:rsidRDefault="00BA1475" w:rsidP="00BA1475">
            <w:pPr>
              <w:keepNext/>
              <w:keepLines/>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Payment Request for the Sixth Instalment</w:t>
            </w:r>
          </w:p>
        </w:tc>
        <w:tc>
          <w:tcPr>
            <w:tcW w:w="3090" w:type="dxa"/>
          </w:tcPr>
          <w:p w14:paraId="11209948" w14:textId="77777777" w:rsidR="00BA1475" w:rsidRPr="00BA1475" w:rsidRDefault="00BA1475" w:rsidP="00BA1475">
            <w:pPr>
              <w:keepNext/>
              <w:keepLines/>
              <w:jc w:val="right"/>
              <w:rPr>
                <w:rFonts w:ascii="Times New Roman" w:eastAsia="Calibri" w:hAnsi="Times New Roman" w:cs="Arial"/>
                <w:i/>
                <w:iCs/>
                <w:noProof/>
                <w:sz w:val="24"/>
                <w:szCs w:val="24"/>
                <w14:ligatures w14:val="none"/>
              </w:rPr>
            </w:pPr>
            <w:r w:rsidRPr="00BA1475">
              <w:rPr>
                <w:rFonts w:ascii="Times New Roman" w:eastAsia="Calibri" w:hAnsi="Times New Roman" w:cs="Arial"/>
                <w:i/>
                <w:iCs/>
                <w:noProof/>
                <w:sz w:val="24"/>
                <w:szCs w:val="24"/>
                <w14:ligatures w14:val="none"/>
              </w:rPr>
              <w:t xml:space="preserve">EUR </w:t>
            </w:r>
            <w:r w:rsidRPr="00BA1475">
              <w:rPr>
                <w:rFonts w:ascii="Times New Roman" w:eastAsia="Times New Roman" w:hAnsi="Times New Roman" w:cs="Times New Roman"/>
                <w:i/>
                <w:iCs/>
                <w:noProof/>
                <w:sz w:val="24"/>
                <w:szCs w:val="24"/>
                <w14:ligatures w14:val="none"/>
              </w:rPr>
              <w:t>387 244 522</w:t>
            </w:r>
            <w:r w:rsidRPr="00BA1475">
              <w:rPr>
                <w:rFonts w:ascii="Times New Roman" w:eastAsia="Calibri" w:hAnsi="Times New Roman" w:cs="Arial"/>
                <w:i/>
                <w:iCs/>
                <w:noProof/>
                <w:sz w:val="24"/>
                <w:szCs w:val="24"/>
                <w14:ligatures w14:val="none"/>
              </w:rPr>
              <w:t>,00</w:t>
            </w:r>
          </w:p>
        </w:tc>
        <w:tc>
          <w:tcPr>
            <w:tcW w:w="1276" w:type="dxa"/>
          </w:tcPr>
          <w:p w14:paraId="2AA506B8" w14:textId="77777777" w:rsidR="00BA1475" w:rsidRPr="00BA1475" w:rsidRDefault="00BA1475" w:rsidP="00BA1475">
            <w:pPr>
              <w:keepNext/>
              <w:keepLines/>
              <w:jc w:val="right"/>
              <w:rPr>
                <w:rFonts w:ascii="Times New Roman" w:eastAsia="Calibri" w:hAnsi="Times New Roman" w:cs="Arial"/>
                <w:i/>
                <w:iCs/>
                <w:noProof/>
                <w:sz w:val="24"/>
                <w14:ligatures w14:val="none"/>
              </w:rPr>
            </w:pPr>
            <w:r w:rsidRPr="00BA1475">
              <w:rPr>
                <w:rFonts w:ascii="Times New Roman" w:eastAsia="Calibri" w:hAnsi="Times New Roman" w:cs="Arial"/>
                <w:i/>
                <w:iCs/>
                <w:noProof/>
                <w:sz w:val="24"/>
                <w14:ligatures w14:val="none"/>
              </w:rPr>
              <w:t>Q3 2026</w:t>
            </w:r>
          </w:p>
        </w:tc>
      </w:tr>
    </w:tbl>
    <w:p w14:paraId="43540374" w14:textId="77777777" w:rsidR="00BA1475" w:rsidRPr="00BA1475" w:rsidRDefault="00BA1475" w:rsidP="00BA1475">
      <w:pPr>
        <w:keepNext/>
        <w:keepLines/>
        <w:spacing w:after="200" w:line="276" w:lineRule="auto"/>
        <w:ind w:firstLine="720"/>
        <w:rPr>
          <w:rFonts w:ascii="Times New Roman" w:eastAsia="Calibri" w:hAnsi="Times New Roman" w:cs="Times New Roman"/>
          <w:noProof/>
          <w:kern w:val="0"/>
          <w:sz w:val="24"/>
          <w:szCs w:val="24"/>
          <w:lang w:val="en-GB"/>
          <w14:ligatures w14:val="none"/>
        </w:rPr>
      </w:pPr>
    </w:p>
    <w:p w14:paraId="09155887" w14:textId="77777777" w:rsidR="00BA1475" w:rsidRPr="00BA1475" w:rsidRDefault="00BA1475" w:rsidP="00BA1475">
      <w:pPr>
        <w:keepNext/>
        <w:keepLines/>
        <w:numPr>
          <w:ilvl w:val="0"/>
          <w:numId w:val="56"/>
        </w:numPr>
        <w:spacing w:after="200" w:line="276" w:lineRule="auto"/>
        <w:jc w:val="both"/>
        <w:rPr>
          <w:rFonts w:ascii="Times New Roman" w:eastAsia="Times New Roman" w:hAnsi="Times New Roman" w:cs="Times New Roman"/>
          <w:noProof/>
          <w:kern w:val="0"/>
          <w:sz w:val="24"/>
          <w:szCs w:val="24"/>
          <w14:ligatures w14:val="none"/>
        </w:rPr>
      </w:pPr>
      <w:r w:rsidRPr="00BA1475">
        <w:rPr>
          <w:rFonts w:ascii="Times New Roman" w:eastAsia="Times New Roman" w:hAnsi="Times New Roman" w:cs="Times New Roman"/>
          <w:noProof/>
          <w:kern w:val="0"/>
          <w:sz w:val="24"/>
          <w:szCs w:val="24"/>
          <w14:ligatures w14:val="none"/>
        </w:rPr>
        <w:t>Annex I: Milestones, Targets and Related Indicators is replaced by the following Annex I.</w:t>
      </w:r>
    </w:p>
    <w:p w14:paraId="12F1EF4A" w14:textId="77777777" w:rsidR="00BA1475" w:rsidRPr="00BA1475" w:rsidRDefault="00BA1475" w:rsidP="00BA1475">
      <w:pPr>
        <w:keepNext/>
        <w:keepLines/>
        <w:numPr>
          <w:ilvl w:val="0"/>
          <w:numId w:val="56"/>
        </w:numPr>
        <w:spacing w:after="200" w:line="276" w:lineRule="auto"/>
        <w:jc w:val="both"/>
        <w:rPr>
          <w:rFonts w:ascii="Times New Roman" w:eastAsia="Times New Roman" w:hAnsi="Times New Roman" w:cs="Times New Roman"/>
          <w:noProof/>
          <w:kern w:val="0"/>
          <w:sz w:val="24"/>
          <w:szCs w:val="24"/>
          <w14:ligatures w14:val="none"/>
        </w:rPr>
      </w:pPr>
      <w:r w:rsidRPr="00BA1475" w:rsidDel="091395C5">
        <w:rPr>
          <w:rFonts w:ascii="Times New Roman" w:eastAsia="Times New Roman" w:hAnsi="Times New Roman" w:cs="Times New Roman"/>
          <w:noProof/>
          <w:kern w:val="0"/>
          <w:sz w:val="24"/>
          <w:szCs w:val="24"/>
          <w14:ligatures w14:val="none"/>
        </w:rPr>
        <w:t xml:space="preserve">Annex II: Arrangements and Timetable for Monitoring is </w:t>
      </w:r>
      <w:r w:rsidRPr="00BA1475">
        <w:rPr>
          <w:rFonts w:ascii="Times New Roman" w:eastAsia="Times New Roman" w:hAnsi="Times New Roman" w:cs="Times New Roman"/>
          <w:noProof/>
          <w:kern w:val="0"/>
          <w:sz w:val="24"/>
          <w:szCs w:val="24"/>
          <w14:ligatures w14:val="none"/>
        </w:rPr>
        <w:t>deleted</w:t>
      </w:r>
      <w:r w:rsidRPr="00BA1475" w:rsidDel="091395C5">
        <w:rPr>
          <w:rFonts w:ascii="Times New Roman" w:eastAsia="Times New Roman" w:hAnsi="Times New Roman" w:cs="Times New Roman"/>
          <w:noProof/>
          <w:kern w:val="0"/>
          <w:sz w:val="24"/>
          <w:szCs w:val="24"/>
          <w14:ligatures w14:val="none"/>
        </w:rPr>
        <w:t>.</w:t>
      </w:r>
    </w:p>
    <w:bookmarkEnd w:id="2"/>
    <w:p w14:paraId="66759EDB" w14:textId="77777777" w:rsidR="00BA1475" w:rsidRPr="00BA1475" w:rsidRDefault="00BA1475" w:rsidP="00BA1475">
      <w:pPr>
        <w:spacing w:after="0" w:line="240" w:lineRule="auto"/>
        <w:jc w:val="both"/>
        <w:rPr>
          <w:rFonts w:ascii="Times New Roman" w:eastAsia="Calibri" w:hAnsi="Times New Roman" w:cs="Times New Roman"/>
          <w:noProof/>
          <w:kern w:val="0"/>
          <w:sz w:val="24"/>
          <w:szCs w:val="24"/>
          <w:lang w:val="en-GB"/>
          <w14:ligatures w14:val="none"/>
        </w:rPr>
      </w:pPr>
    </w:p>
    <w:p w14:paraId="495C2182" w14:textId="77777777" w:rsidR="00BA1475" w:rsidRPr="00BA1475" w:rsidRDefault="00BA1475" w:rsidP="00BA1475">
      <w:pPr>
        <w:spacing w:after="200" w:line="276" w:lineRule="auto"/>
        <w:rPr>
          <w:rFonts w:ascii="Times New Roman" w:eastAsia="Calibri" w:hAnsi="Times New Roman" w:cs="Times New Roman"/>
          <w:noProof/>
          <w:kern w:val="0"/>
          <w14:ligatures w14:val="none"/>
        </w:rPr>
        <w:sectPr w:rsidR="00BA1475" w:rsidRPr="00BA1475" w:rsidSect="00BA1475">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20"/>
          <w:docGrid w:linePitch="360"/>
        </w:sectPr>
      </w:pPr>
    </w:p>
    <w:p w14:paraId="6E7E4BEB" w14:textId="77777777" w:rsidR="00BA1475" w:rsidRPr="00BA1475" w:rsidRDefault="00BA1475" w:rsidP="00BA1475">
      <w:pPr>
        <w:spacing w:line="276" w:lineRule="auto"/>
        <w:jc w:val="center"/>
        <w:rPr>
          <w:rFonts w:ascii="Times New Roman" w:eastAsia="Calibri" w:hAnsi="Times New Roman" w:cs="Times New Roman"/>
          <w:noProof/>
          <w:kern w:val="0"/>
          <w:sz w:val="24"/>
          <w:szCs w:val="24"/>
          <w:lang w:val="en-GB"/>
          <w14:ligatures w14:val="none"/>
        </w:rPr>
      </w:pPr>
      <w:r w:rsidRPr="00BA1475">
        <w:rPr>
          <w:rFonts w:ascii="Times New Roman" w:eastAsia="Calibri" w:hAnsi="Times New Roman" w:cs="Times New Roman"/>
          <w:noProof/>
          <w:kern w:val="0"/>
          <w:sz w:val="24"/>
          <w:szCs w:val="24"/>
          <w:lang w:val="en-GB"/>
          <w14:ligatures w14:val="none"/>
        </w:rPr>
        <w:lastRenderedPageBreak/>
        <w:t>Annex I</w:t>
      </w:r>
    </w:p>
    <w:p w14:paraId="7E337273" w14:textId="77777777" w:rsidR="00BA1475" w:rsidRPr="00BA1475" w:rsidRDefault="00BA1475" w:rsidP="00BA1475">
      <w:pPr>
        <w:spacing w:line="276" w:lineRule="auto"/>
        <w:jc w:val="center"/>
        <w:rPr>
          <w:rFonts w:ascii="Times New Roman" w:eastAsia="Calibri" w:hAnsi="Times New Roman" w:cs="Times New Roman"/>
          <w:noProof/>
          <w:kern w:val="0"/>
          <w:sz w:val="24"/>
          <w:szCs w:val="24"/>
          <w:lang w:val="en-GB"/>
          <w14:ligatures w14:val="none"/>
        </w:rPr>
      </w:pPr>
      <w:r w:rsidRPr="00BA1475">
        <w:rPr>
          <w:rFonts w:ascii="Times New Roman" w:eastAsia="Calibri" w:hAnsi="Times New Roman" w:cs="Times New Roman"/>
          <w:noProof/>
          <w:kern w:val="0"/>
          <w:sz w:val="24"/>
          <w:szCs w:val="24"/>
          <w:lang w:val="en-GB"/>
          <w14:ligatures w14:val="none"/>
        </w:rPr>
        <w:t xml:space="preserve">Milestones, Targets and Related Indicators </w:t>
      </w:r>
    </w:p>
    <w:p w14:paraId="16BA9E31" w14:textId="77777777" w:rsidR="00BA1475" w:rsidRPr="00BA1475" w:rsidRDefault="00BA1475" w:rsidP="00BA1475">
      <w:pPr>
        <w:keepNext/>
        <w:keepLines/>
        <w:spacing w:before="40" w:after="120"/>
        <w:ind w:left="851"/>
        <w:outlineLvl w:val="1"/>
        <w:rPr>
          <w:rFonts w:ascii="Arial Narrow" w:eastAsia="MS Gothic" w:hAnsi="Arial Narrow" w:cs="Times New Roman"/>
          <w:b/>
          <w:bCs/>
          <w:noProof/>
          <w:kern w:val="0"/>
          <w:sz w:val="24"/>
          <w:szCs w:val="26"/>
          <w:lang w:val="en-GB"/>
          <w14:ligatures w14:val="none"/>
        </w:rPr>
      </w:pPr>
      <w:r w:rsidRPr="00BA1475">
        <w:rPr>
          <w:rFonts w:ascii="Arial Narrow" w:eastAsia="MS Gothic" w:hAnsi="Arial Narrow" w:cs="Times New Roman"/>
          <w:b/>
          <w:bCs/>
          <w:noProof/>
          <w:kern w:val="0"/>
          <w:sz w:val="24"/>
          <w:szCs w:val="26"/>
          <w:lang w:val="en-GB"/>
          <w14:ligatures w14:val="none"/>
        </w:rPr>
        <w:t>A. COMPONENT 1: CLIMATE CHANGE AND ENVIRONMENTAL SUSTAINABILITY</w:t>
      </w:r>
    </w:p>
    <w:tbl>
      <w:tblPr>
        <w:tblW w:w="1613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1135"/>
        <w:gridCol w:w="851"/>
        <w:gridCol w:w="1275"/>
        <w:gridCol w:w="1276"/>
        <w:gridCol w:w="851"/>
        <w:gridCol w:w="708"/>
        <w:gridCol w:w="993"/>
        <w:gridCol w:w="425"/>
        <w:gridCol w:w="567"/>
        <w:gridCol w:w="1276"/>
        <w:gridCol w:w="1275"/>
        <w:gridCol w:w="2410"/>
        <w:gridCol w:w="2693"/>
      </w:tblGrid>
      <w:tr w:rsidR="00FA2B88" w:rsidRPr="00BA1475" w14:paraId="518BB88C" w14:textId="77777777" w:rsidTr="009C5ECA">
        <w:trPr>
          <w:trHeight w:val="595"/>
          <w:tblHeader/>
        </w:trPr>
        <w:tc>
          <w:tcPr>
            <w:tcW w:w="396" w:type="dxa"/>
            <w:vMerge w:val="restart"/>
            <w:shd w:val="clear" w:color="auto" w:fill="B6DDE8"/>
            <w:vAlign w:val="center"/>
          </w:tcPr>
          <w:p w14:paraId="10536D62" w14:textId="77777777" w:rsidR="00BA1475" w:rsidRPr="00BA1475" w:rsidRDefault="00BA1475" w:rsidP="00BA1475">
            <w:pPr>
              <w:spacing w:after="0" w:line="240" w:lineRule="auto"/>
              <w:jc w:val="center"/>
              <w:rPr>
                <w:rFonts w:ascii="Arial Narrow" w:eastAsia="MS Mincho" w:hAnsi="Arial Narrow" w:cs="Times New Roman"/>
                <w:noProof/>
                <w:kern w:val="0"/>
                <w:sz w:val="14"/>
                <w:szCs w:val="14"/>
                <w:lang w:val="en-US"/>
                <w14:ligatures w14:val="none"/>
              </w:rPr>
            </w:pPr>
            <w:r w:rsidRPr="00BA1475">
              <w:rPr>
                <w:rFonts w:ascii="Arial Narrow" w:eastAsia="Times New Roman" w:hAnsi="Arial Narrow" w:cs="Times New Roman"/>
                <w:b/>
                <w:noProof/>
                <w:kern w:val="0"/>
                <w:sz w:val="14"/>
                <w:szCs w:val="14"/>
                <w:lang w:val="en-GB"/>
                <w14:ligatures w14:val="none"/>
              </w:rPr>
              <w:t>#</w:t>
            </w:r>
            <w:r w:rsidRPr="00BA1475">
              <w:rPr>
                <w:rFonts w:ascii="Arial Narrow" w:eastAsia="Times New Roman" w:hAnsi="Arial Narrow" w:cs="Times New Roman"/>
                <w:noProof/>
                <w:kern w:val="0"/>
                <w:sz w:val="14"/>
                <w:szCs w:val="14"/>
                <w:lang w:val="en-GB"/>
                <w14:ligatures w14:val="none"/>
              </w:rPr>
              <w:t xml:space="preserve"> </w:t>
            </w:r>
          </w:p>
        </w:tc>
        <w:tc>
          <w:tcPr>
            <w:tcW w:w="1135" w:type="dxa"/>
            <w:vMerge w:val="restart"/>
            <w:shd w:val="clear" w:color="auto" w:fill="B6DDE8"/>
            <w:vAlign w:val="center"/>
          </w:tcPr>
          <w:p w14:paraId="6B980930"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Related Measure (Reform or Investment)</w:t>
            </w:r>
            <w:r w:rsidRPr="00BA1475">
              <w:rPr>
                <w:rFonts w:ascii="Arial Narrow" w:eastAsia="Times New Roman" w:hAnsi="Arial Narrow" w:cs="Times New Roman"/>
                <w:noProof/>
                <w:kern w:val="0"/>
                <w:sz w:val="14"/>
                <w:szCs w:val="14"/>
                <w14:ligatures w14:val="none"/>
              </w:rPr>
              <w:t xml:space="preserve"> </w:t>
            </w:r>
          </w:p>
        </w:tc>
        <w:tc>
          <w:tcPr>
            <w:tcW w:w="851" w:type="dxa"/>
            <w:vMerge w:val="restart"/>
            <w:shd w:val="clear" w:color="auto" w:fill="B6DDE8"/>
            <w:vAlign w:val="center"/>
          </w:tcPr>
          <w:p w14:paraId="42A5664E" w14:textId="77777777" w:rsidR="00BA1475" w:rsidRPr="00BA1475" w:rsidRDefault="00BA1475" w:rsidP="00BA1475">
            <w:pPr>
              <w:spacing w:after="0" w:line="240" w:lineRule="auto"/>
              <w:jc w:val="center"/>
              <w:rPr>
                <w:rFonts w:ascii="Arial Narrow" w:eastAsia="MS Mincho" w:hAnsi="Arial Narrow" w:cs="Times New Roman"/>
                <w:noProof/>
                <w:kern w:val="0"/>
                <w:sz w:val="14"/>
                <w:szCs w:val="14"/>
                <w:lang w:val="en-US"/>
                <w14:ligatures w14:val="none"/>
              </w:rPr>
            </w:pPr>
            <w:r w:rsidRPr="00BA1475">
              <w:rPr>
                <w:rFonts w:ascii="Arial Narrow" w:eastAsia="Times New Roman" w:hAnsi="Arial Narrow" w:cs="Times New Roman"/>
                <w:b/>
                <w:noProof/>
                <w:kern w:val="0"/>
                <w:sz w:val="14"/>
                <w:szCs w:val="14"/>
                <w:lang w:val="en-GB"/>
                <w14:ligatures w14:val="none"/>
              </w:rPr>
              <w:t>M/T</w:t>
            </w:r>
            <w:r w:rsidRPr="00BA1475">
              <w:rPr>
                <w:rFonts w:ascii="Arial Narrow" w:eastAsia="Times New Roman" w:hAnsi="Arial Narrow" w:cs="Times New Roman"/>
                <w:noProof/>
                <w:kern w:val="0"/>
                <w:sz w:val="14"/>
                <w:szCs w:val="14"/>
                <w:lang w:val="en-GB"/>
                <w14:ligatures w14:val="none"/>
              </w:rPr>
              <w:t xml:space="preserve"> </w:t>
            </w:r>
          </w:p>
        </w:tc>
        <w:tc>
          <w:tcPr>
            <w:tcW w:w="1275" w:type="dxa"/>
            <w:vMerge w:val="restart"/>
            <w:shd w:val="clear" w:color="auto" w:fill="B6DDE8"/>
            <w:vAlign w:val="center"/>
          </w:tcPr>
          <w:p w14:paraId="5E529F84" w14:textId="77777777" w:rsidR="00BA1475" w:rsidRPr="00BA1475" w:rsidRDefault="00BA1475" w:rsidP="00BA1475">
            <w:pPr>
              <w:spacing w:after="0" w:line="240" w:lineRule="auto"/>
              <w:jc w:val="center"/>
              <w:rPr>
                <w:rFonts w:ascii="Arial Narrow" w:eastAsia="MS Mincho" w:hAnsi="Arial Narrow" w:cs="Times New Roman"/>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Name</w:t>
            </w:r>
            <w:r w:rsidRPr="00BA1475">
              <w:rPr>
                <w:rFonts w:ascii="Arial Narrow" w:eastAsia="Times New Roman" w:hAnsi="Arial Narrow" w:cs="Times New Roman"/>
                <w:noProof/>
                <w:kern w:val="0"/>
                <w:sz w:val="14"/>
                <w:szCs w:val="14"/>
                <w:lang w:val="en-GB"/>
                <w14:ligatures w14:val="none"/>
              </w:rPr>
              <w:t xml:space="preserve"> </w:t>
            </w:r>
          </w:p>
        </w:tc>
        <w:tc>
          <w:tcPr>
            <w:tcW w:w="1276" w:type="dxa"/>
            <w:vMerge w:val="restart"/>
            <w:shd w:val="clear" w:color="auto" w:fill="B6DDE8"/>
            <w:vAlign w:val="center"/>
          </w:tcPr>
          <w:p w14:paraId="22BE7B59"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 xml:space="preserve">Qualitative indicators </w:t>
            </w:r>
            <w:r w:rsidRPr="00BA1475">
              <w:rPr>
                <w:rFonts w:ascii="Arial Narrow" w:eastAsia="Calibri" w:hAnsi="Arial Narrow" w:cs="Times New Roman"/>
                <w:noProof/>
                <w:kern w:val="0"/>
                <w:sz w:val="14"/>
                <w:szCs w:val="14"/>
                <w:lang w:val="en-GB"/>
                <w14:ligatures w14:val="none"/>
              </w:rPr>
              <w:br/>
            </w:r>
            <w:r w:rsidRPr="00BA1475">
              <w:rPr>
                <w:rFonts w:ascii="Arial Narrow" w:eastAsia="Times New Roman" w:hAnsi="Arial Narrow" w:cs="Times New Roman"/>
                <w:b/>
                <w:noProof/>
                <w:kern w:val="0"/>
                <w:sz w:val="14"/>
                <w:szCs w:val="14"/>
                <w:lang w:val="en-GB"/>
                <w14:ligatures w14:val="none"/>
              </w:rPr>
              <w:t>(for milestones)</w:t>
            </w:r>
            <w:r w:rsidRPr="00BA1475">
              <w:rPr>
                <w:rFonts w:ascii="Arial Narrow" w:eastAsia="Times New Roman" w:hAnsi="Arial Narrow" w:cs="Times New Roman"/>
                <w:noProof/>
                <w:kern w:val="0"/>
                <w:sz w:val="14"/>
                <w:szCs w:val="14"/>
                <w:lang w:val="en-GB"/>
                <w14:ligatures w14:val="none"/>
              </w:rPr>
              <w:t xml:space="preserve"> </w:t>
            </w:r>
          </w:p>
        </w:tc>
        <w:tc>
          <w:tcPr>
            <w:tcW w:w="2552" w:type="dxa"/>
            <w:gridSpan w:val="3"/>
            <w:shd w:val="clear" w:color="auto" w:fill="B6DDE8"/>
            <w:vAlign w:val="center"/>
          </w:tcPr>
          <w:p w14:paraId="008ECA7F"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 xml:space="preserve">Quantitative indicators </w:t>
            </w:r>
            <w:r w:rsidRPr="00BA1475">
              <w:rPr>
                <w:rFonts w:ascii="Arial Narrow" w:eastAsia="Calibri" w:hAnsi="Arial Narrow" w:cs="Times New Roman"/>
                <w:noProof/>
                <w:kern w:val="0"/>
                <w:sz w:val="14"/>
                <w:szCs w:val="14"/>
                <w:lang w:val="en-GB"/>
                <w14:ligatures w14:val="none"/>
              </w:rPr>
              <w:br/>
            </w:r>
            <w:r w:rsidRPr="00BA1475">
              <w:rPr>
                <w:rFonts w:ascii="Arial Narrow" w:eastAsia="Times New Roman" w:hAnsi="Arial Narrow" w:cs="Times New Roman"/>
                <w:b/>
                <w:noProof/>
                <w:kern w:val="0"/>
                <w:sz w:val="14"/>
                <w:szCs w:val="14"/>
                <w:lang w:val="en-GB"/>
                <w14:ligatures w14:val="none"/>
              </w:rPr>
              <w:t>(for targets)</w:t>
            </w:r>
            <w:r w:rsidRPr="00BA1475">
              <w:rPr>
                <w:rFonts w:ascii="Arial Narrow" w:eastAsia="Times New Roman" w:hAnsi="Arial Narrow" w:cs="Times New Roman"/>
                <w:noProof/>
                <w:kern w:val="0"/>
                <w:sz w:val="14"/>
                <w:szCs w:val="14"/>
                <w:lang w:val="en-GB"/>
                <w14:ligatures w14:val="none"/>
              </w:rPr>
              <w:t xml:space="preserve"> </w:t>
            </w:r>
          </w:p>
        </w:tc>
        <w:tc>
          <w:tcPr>
            <w:tcW w:w="992" w:type="dxa"/>
            <w:gridSpan w:val="2"/>
            <w:shd w:val="clear" w:color="auto" w:fill="B6DDE8"/>
            <w:vAlign w:val="center"/>
          </w:tcPr>
          <w:p w14:paraId="00FB105B"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Times New Roman" w:hAnsi="Arial Narrow" w:cs="Times New Roman"/>
                <w:b/>
                <w:bCs/>
                <w:noProof/>
                <w:kern w:val="0"/>
                <w:sz w:val="14"/>
                <w:szCs w:val="14"/>
                <w:lang w:val="en-GB" w:eastAsia="en-GB"/>
                <w14:ligatures w14:val="none"/>
              </w:rPr>
              <w:t>Indicative timeline for completion</w:t>
            </w:r>
          </w:p>
        </w:tc>
        <w:tc>
          <w:tcPr>
            <w:tcW w:w="1276" w:type="dxa"/>
            <w:vMerge w:val="restart"/>
            <w:shd w:val="clear" w:color="auto" w:fill="B6DDE8"/>
            <w:vAlign w:val="center"/>
          </w:tcPr>
          <w:p w14:paraId="3AAF1899"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Calibri" w:hAnsi="Arial Narrow" w:cs="Calibri"/>
                <w:b/>
                <w:noProof/>
                <w:kern w:val="0"/>
                <w:sz w:val="14"/>
                <w:szCs w:val="14"/>
                <w:lang w:val="en-GB"/>
                <w14:ligatures w14:val="none"/>
              </w:rPr>
              <w:t>Responsibility for reporting and implementation</w:t>
            </w:r>
          </w:p>
        </w:tc>
        <w:tc>
          <w:tcPr>
            <w:tcW w:w="1275" w:type="dxa"/>
            <w:vMerge w:val="restart"/>
            <w:shd w:val="clear" w:color="auto" w:fill="B6DDE8"/>
            <w:vAlign w:val="center"/>
          </w:tcPr>
          <w:p w14:paraId="6A4F8AFE"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Calibri" w:hAnsi="Arial Narrow" w:cs="Calibri"/>
                <w:b/>
                <w:noProof/>
                <w:kern w:val="0"/>
                <w:sz w:val="14"/>
                <w:szCs w:val="14"/>
                <w:lang w:val="en-GB"/>
                <w14:ligatures w14:val="none"/>
              </w:rPr>
              <w:t>Further specification (if necessary)</w:t>
            </w:r>
          </w:p>
        </w:tc>
        <w:tc>
          <w:tcPr>
            <w:tcW w:w="2410" w:type="dxa"/>
            <w:vMerge w:val="restart"/>
            <w:shd w:val="clear" w:color="auto" w:fill="B6DDE8"/>
            <w:vAlign w:val="center"/>
          </w:tcPr>
          <w:p w14:paraId="089428F7"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eastAsia="en-IE"/>
                <w14:ligatures w14:val="none"/>
              </w:rPr>
            </w:pPr>
            <w:r w:rsidRPr="00BA1475">
              <w:rPr>
                <w:rFonts w:ascii="Arial Narrow" w:eastAsia="Calibri" w:hAnsi="Arial Narrow" w:cs="Calibri"/>
                <w:b/>
                <w:noProof/>
                <w:kern w:val="0"/>
                <w:sz w:val="14"/>
                <w:szCs w:val="14"/>
                <w:lang w:val="en-GB"/>
                <w14:ligatures w14:val="none"/>
              </w:rPr>
              <w:t>Verification mechanism</w:t>
            </w:r>
          </w:p>
        </w:tc>
        <w:tc>
          <w:tcPr>
            <w:tcW w:w="2693" w:type="dxa"/>
            <w:vMerge w:val="restart"/>
            <w:shd w:val="clear" w:color="auto" w:fill="B6DDE8"/>
            <w:vAlign w:val="center"/>
          </w:tcPr>
          <w:p w14:paraId="36F4346B"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eastAsia="en-IE"/>
                <w14:ligatures w14:val="none"/>
              </w:rPr>
            </w:pPr>
            <w:r w:rsidRPr="00BA1475">
              <w:rPr>
                <w:rFonts w:ascii="Arial Narrow" w:eastAsia="Times New Roman" w:hAnsi="Arial Narrow" w:cs="Times New Roman"/>
                <w:b/>
                <w:noProof/>
                <w:kern w:val="0"/>
                <w:sz w:val="14"/>
                <w:szCs w:val="14"/>
                <w:lang w:val="en-GB"/>
                <w14:ligatures w14:val="none"/>
              </w:rPr>
              <w:t>Description of each milestone and target</w:t>
            </w:r>
          </w:p>
        </w:tc>
      </w:tr>
      <w:tr w:rsidR="00FA2B88" w:rsidRPr="00BA1475" w14:paraId="07163DBB" w14:textId="77777777" w:rsidTr="009C5ECA">
        <w:trPr>
          <w:trHeight w:val="278"/>
          <w:tblHeader/>
        </w:trPr>
        <w:tc>
          <w:tcPr>
            <w:tcW w:w="396" w:type="dxa"/>
            <w:vMerge/>
            <w:vAlign w:val="center"/>
          </w:tcPr>
          <w:p w14:paraId="7833BE3A" w14:textId="77777777" w:rsidR="00BA1475" w:rsidRPr="00BA1475" w:rsidRDefault="00BA1475" w:rsidP="00BA1475">
            <w:pPr>
              <w:spacing w:after="0" w:line="240" w:lineRule="auto"/>
              <w:jc w:val="center"/>
              <w:rPr>
                <w:rFonts w:ascii="Arial Narrow" w:eastAsia="MS Mincho" w:hAnsi="Arial Narrow" w:cs="Times New Roman"/>
                <w:noProof/>
                <w:kern w:val="0"/>
                <w:sz w:val="16"/>
                <w:szCs w:val="16"/>
                <w:lang w:val="en-US"/>
                <w14:ligatures w14:val="none"/>
              </w:rPr>
            </w:pPr>
          </w:p>
        </w:tc>
        <w:tc>
          <w:tcPr>
            <w:tcW w:w="1135" w:type="dxa"/>
            <w:vMerge/>
            <w:vAlign w:val="center"/>
          </w:tcPr>
          <w:p w14:paraId="7415C26F"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14:ligatures w14:val="none"/>
              </w:rPr>
            </w:pPr>
          </w:p>
        </w:tc>
        <w:tc>
          <w:tcPr>
            <w:tcW w:w="851" w:type="dxa"/>
            <w:vMerge/>
            <w:vAlign w:val="center"/>
          </w:tcPr>
          <w:p w14:paraId="01D116D6" w14:textId="77777777" w:rsidR="00BA1475" w:rsidRPr="00BA1475" w:rsidRDefault="00BA1475" w:rsidP="00BA1475">
            <w:pPr>
              <w:spacing w:after="0" w:line="240" w:lineRule="auto"/>
              <w:jc w:val="center"/>
              <w:rPr>
                <w:rFonts w:ascii="Arial Narrow" w:eastAsia="MS Mincho" w:hAnsi="Arial Narrow" w:cs="Times New Roman"/>
                <w:noProof/>
                <w:kern w:val="0"/>
                <w:sz w:val="16"/>
                <w:szCs w:val="16"/>
                <w:lang w:val="en-US"/>
                <w14:ligatures w14:val="none"/>
              </w:rPr>
            </w:pPr>
          </w:p>
        </w:tc>
        <w:tc>
          <w:tcPr>
            <w:tcW w:w="1275" w:type="dxa"/>
            <w:vMerge/>
            <w:vAlign w:val="center"/>
          </w:tcPr>
          <w:p w14:paraId="4D65C29E" w14:textId="77777777" w:rsidR="00BA1475" w:rsidRPr="00BA1475" w:rsidRDefault="00BA1475" w:rsidP="00BA1475">
            <w:pPr>
              <w:spacing w:after="0" w:line="240" w:lineRule="auto"/>
              <w:jc w:val="center"/>
              <w:rPr>
                <w:rFonts w:ascii="Arial Narrow" w:eastAsia="MS Mincho" w:hAnsi="Arial Narrow" w:cs="Times New Roman"/>
                <w:noProof/>
                <w:kern w:val="0"/>
                <w:sz w:val="16"/>
                <w:szCs w:val="16"/>
                <w:lang w:val="en-GB"/>
                <w14:ligatures w14:val="none"/>
              </w:rPr>
            </w:pPr>
          </w:p>
        </w:tc>
        <w:tc>
          <w:tcPr>
            <w:tcW w:w="1276" w:type="dxa"/>
            <w:vMerge/>
            <w:vAlign w:val="center"/>
          </w:tcPr>
          <w:p w14:paraId="53E80E0D"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14:ligatures w14:val="none"/>
              </w:rPr>
            </w:pPr>
          </w:p>
        </w:tc>
        <w:tc>
          <w:tcPr>
            <w:tcW w:w="851" w:type="dxa"/>
            <w:shd w:val="clear" w:color="auto" w:fill="B6DDE8"/>
            <w:vAlign w:val="center"/>
          </w:tcPr>
          <w:p w14:paraId="086FF3B9"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Times New Roman" w:hAnsi="Arial Narrow" w:cs="Times New Roman"/>
                <w:b/>
                <w:bCs/>
                <w:noProof/>
                <w:kern w:val="0"/>
                <w:sz w:val="14"/>
                <w:szCs w:val="14"/>
                <w:lang w:val="en-GB" w:eastAsia="en-GB"/>
                <w14:ligatures w14:val="none"/>
              </w:rPr>
              <w:t xml:space="preserve">Unit </w:t>
            </w:r>
          </w:p>
        </w:tc>
        <w:tc>
          <w:tcPr>
            <w:tcW w:w="708" w:type="dxa"/>
            <w:shd w:val="clear" w:color="auto" w:fill="B6DDE8"/>
            <w:vAlign w:val="center"/>
          </w:tcPr>
          <w:p w14:paraId="49E5C25E"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Times New Roman" w:hAnsi="Arial Narrow" w:cs="Times New Roman"/>
                <w:b/>
                <w:bCs/>
                <w:noProof/>
                <w:kern w:val="0"/>
                <w:sz w:val="14"/>
                <w:szCs w:val="14"/>
                <w:lang w:val="en-GB" w:eastAsia="en-GB"/>
                <w14:ligatures w14:val="none"/>
              </w:rPr>
              <w:t>Baseline</w:t>
            </w:r>
          </w:p>
        </w:tc>
        <w:tc>
          <w:tcPr>
            <w:tcW w:w="993" w:type="dxa"/>
            <w:shd w:val="clear" w:color="auto" w:fill="B6DDE8"/>
            <w:vAlign w:val="center"/>
          </w:tcPr>
          <w:p w14:paraId="0E5E78E7"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Times New Roman" w:hAnsi="Arial Narrow" w:cs="Times New Roman"/>
                <w:b/>
                <w:bCs/>
                <w:noProof/>
                <w:kern w:val="0"/>
                <w:sz w:val="14"/>
                <w:szCs w:val="14"/>
                <w:lang w:val="en-GB" w:eastAsia="en-GB"/>
                <w14:ligatures w14:val="none"/>
              </w:rPr>
              <w:t>Goal</w:t>
            </w:r>
          </w:p>
        </w:tc>
        <w:tc>
          <w:tcPr>
            <w:tcW w:w="425" w:type="dxa"/>
            <w:shd w:val="clear" w:color="auto" w:fill="B6DDE8"/>
            <w:vAlign w:val="center"/>
          </w:tcPr>
          <w:p w14:paraId="5950E6D8"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Times New Roman" w:hAnsi="Arial Narrow" w:cs="Times New Roman"/>
                <w:b/>
                <w:bCs/>
                <w:noProof/>
                <w:kern w:val="0"/>
                <w:sz w:val="14"/>
                <w:szCs w:val="14"/>
                <w:lang w:val="en-GB" w:eastAsia="en-GB"/>
                <w14:ligatures w14:val="none"/>
              </w:rPr>
              <w:t>Q</w:t>
            </w:r>
          </w:p>
        </w:tc>
        <w:tc>
          <w:tcPr>
            <w:tcW w:w="567" w:type="dxa"/>
            <w:shd w:val="clear" w:color="auto" w:fill="B6DDE8"/>
            <w:vAlign w:val="center"/>
          </w:tcPr>
          <w:p w14:paraId="0FB4DDC3"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Times New Roman" w:hAnsi="Arial Narrow" w:cs="Times New Roman"/>
                <w:b/>
                <w:bCs/>
                <w:noProof/>
                <w:kern w:val="0"/>
                <w:sz w:val="14"/>
                <w:szCs w:val="14"/>
                <w:lang w:val="en-GB" w:eastAsia="en-GB"/>
                <w14:ligatures w14:val="none"/>
              </w:rPr>
              <w:t>Year</w:t>
            </w:r>
          </w:p>
        </w:tc>
        <w:tc>
          <w:tcPr>
            <w:tcW w:w="1276" w:type="dxa"/>
            <w:vMerge/>
            <w:vAlign w:val="center"/>
          </w:tcPr>
          <w:p w14:paraId="28AC4DE5"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14:ligatures w14:val="none"/>
              </w:rPr>
            </w:pPr>
          </w:p>
        </w:tc>
        <w:tc>
          <w:tcPr>
            <w:tcW w:w="1275" w:type="dxa"/>
            <w:vMerge/>
            <w:vAlign w:val="center"/>
          </w:tcPr>
          <w:p w14:paraId="75350BAD"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14:ligatures w14:val="none"/>
              </w:rPr>
            </w:pPr>
          </w:p>
        </w:tc>
        <w:tc>
          <w:tcPr>
            <w:tcW w:w="2410" w:type="dxa"/>
            <w:vMerge/>
            <w:vAlign w:val="center"/>
          </w:tcPr>
          <w:p w14:paraId="0F0DE29D" w14:textId="77777777" w:rsidR="00BA1475" w:rsidRPr="00BA1475" w:rsidRDefault="00BA1475" w:rsidP="00BA1475">
            <w:pPr>
              <w:spacing w:after="0" w:line="240" w:lineRule="auto"/>
              <w:rPr>
                <w:rFonts w:ascii="Arial Narrow" w:eastAsia="Times New Roman" w:hAnsi="Arial Narrow" w:cs="Times New Roman"/>
                <w:b/>
                <w:noProof/>
                <w:kern w:val="0"/>
                <w:sz w:val="16"/>
                <w:szCs w:val="16"/>
                <w:lang w:val="en-GB" w:eastAsia="en-IE"/>
                <w14:ligatures w14:val="none"/>
              </w:rPr>
            </w:pPr>
          </w:p>
        </w:tc>
        <w:tc>
          <w:tcPr>
            <w:tcW w:w="2693" w:type="dxa"/>
            <w:vMerge/>
            <w:vAlign w:val="center"/>
          </w:tcPr>
          <w:p w14:paraId="22BB50C4" w14:textId="77777777" w:rsidR="00BA1475" w:rsidRPr="00BA1475" w:rsidRDefault="00BA1475" w:rsidP="00BA1475">
            <w:pPr>
              <w:spacing w:after="0" w:line="240" w:lineRule="auto"/>
              <w:rPr>
                <w:rFonts w:ascii="Arial Narrow" w:eastAsia="Times New Roman" w:hAnsi="Arial Narrow" w:cs="Times New Roman"/>
                <w:b/>
                <w:noProof/>
                <w:kern w:val="0"/>
                <w:sz w:val="16"/>
                <w:szCs w:val="16"/>
                <w:lang w:val="en-GB" w:eastAsia="en-IE"/>
                <w14:ligatures w14:val="none"/>
              </w:rPr>
            </w:pPr>
          </w:p>
        </w:tc>
      </w:tr>
      <w:tr w:rsidR="00FA2B88" w:rsidRPr="00BA1475" w14:paraId="108FCEF4"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7B4AF031"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1</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04ED9006"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en-US"/>
                <w14:ligatures w14:val="none"/>
              </w:rPr>
            </w:pPr>
            <w:r w:rsidRPr="00BA1475">
              <w:rPr>
                <w:rFonts w:ascii="Arial Narrow" w:eastAsia="MS Mincho" w:hAnsi="Arial Narrow" w:cs="Times New Roman"/>
                <w:b/>
                <w:bCs/>
                <w:noProof/>
                <w:kern w:val="0"/>
                <w:sz w:val="16"/>
                <w:szCs w:val="16"/>
                <w:lang w:val="en-US"/>
                <w14:ligatures w14:val="none"/>
              </w:rPr>
              <w:t>1.1.1.r. Greening the Riga Metropolitan Range Transport System</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8BAF259"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6F014B4"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Coordinated approach for passenger transport planning, ordering and organisation of the Riga metropolitan area</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357051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A coordinated approach has been implemented for passenger transport planning, ordering and organisation of the Riga metropolitan area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6B636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ED13FA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83F6AF"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D9B6B92"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Q4</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E7A8B45"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2023</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E3D97A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Transport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BEED2D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141BED75" w14:textId="77777777" w:rsidR="00BA1475" w:rsidRPr="00BA1475" w:rsidRDefault="00BA1475" w:rsidP="00BA1475">
            <w:pPr>
              <w:spacing w:after="0" w:line="240" w:lineRule="auto"/>
              <w:rPr>
                <w:rFonts w:ascii="Arial Narrow" w:eastAsia="MS Mincho" w:hAnsi="Arial Narrow" w:cs="Arial"/>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 xml:space="preserve">A summary document duly justifying how the milestone (including all the constitutive elements) was satisfactorily fulfilled, with appropriate links to the underlying evidence. </w:t>
            </w:r>
          </w:p>
          <w:p w14:paraId="0E716983" w14:textId="77777777" w:rsidR="00BA1475" w:rsidRPr="00BA1475" w:rsidRDefault="00BA1475" w:rsidP="00BA1475">
            <w:pPr>
              <w:spacing w:after="0" w:line="240" w:lineRule="auto"/>
              <w:rPr>
                <w:rFonts w:ascii="Arial Narrow" w:eastAsia="MS Mincho" w:hAnsi="Arial Narrow" w:cs="Arial"/>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 xml:space="preserve">This document shall include as an annex the following documentary evidence: </w:t>
            </w:r>
          </w:p>
          <w:p w14:paraId="2FE98F6C" w14:textId="77777777" w:rsidR="00BA1475" w:rsidRPr="00BA1475" w:rsidRDefault="00BA1475" w:rsidP="00BA1475">
            <w:pPr>
              <w:spacing w:after="0" w:line="240" w:lineRule="auto"/>
              <w:contextualSpacing/>
              <w:rPr>
                <w:rFonts w:ascii="Arial Narrow" w:eastAsia="MS Mincho" w:hAnsi="Arial Narrow" w:cs="Arial"/>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a) minutes of the working group for the coordination of Riga </w:t>
            </w:r>
            <w:r w:rsidRPr="00BA1475">
              <w:rPr>
                <w:rFonts w:ascii="Arial Narrow" w:eastAsia="Calibri" w:hAnsi="Arial Narrow" w:cs="Calibri"/>
                <w:noProof/>
                <w:kern w:val="0"/>
                <w:sz w:val="16"/>
                <w:szCs w:val="16"/>
                <w:lang w:val="en-GB"/>
                <w14:ligatures w14:val="none"/>
              </w:rPr>
              <w:t>metropolitan</w:t>
            </w:r>
            <w:r w:rsidRPr="00BA1475">
              <w:rPr>
                <w:rFonts w:ascii="Arial Narrow" w:eastAsia="MS Mincho" w:hAnsi="Arial Narrow" w:cs="Times New Roman"/>
                <w:noProof/>
                <w:kern w:val="0"/>
                <w:sz w:val="16"/>
                <w:szCs w:val="16"/>
                <w:lang w:val="en-US"/>
                <w14:ligatures w14:val="none"/>
              </w:rPr>
              <w:t xml:space="preserve"> area public transport planning as well as all other strategic documents it has produced; </w:t>
            </w:r>
          </w:p>
          <w:p w14:paraId="2E2FEAFE" w14:textId="77777777" w:rsidR="00BA1475" w:rsidRPr="00BA1475" w:rsidRDefault="00BA1475" w:rsidP="00BA1475">
            <w:pPr>
              <w:spacing w:after="0" w:line="240" w:lineRule="auto"/>
              <w:contextualSpacing/>
              <w:rPr>
                <w:rFonts w:ascii="Arial Narrow" w:eastAsia="MS Mincho" w:hAnsi="Arial Narrow" w:cs="Arial"/>
                <w:noProof/>
                <w:kern w:val="0"/>
                <w:sz w:val="16"/>
                <w:szCs w:val="16"/>
                <w:lang w:val="en-GB"/>
                <w14:ligatures w14:val="none"/>
              </w:rPr>
            </w:pPr>
            <w:r w:rsidRPr="00BA1475">
              <w:rPr>
                <w:rFonts w:ascii="Arial Narrow" w:eastAsia="MS Mincho" w:hAnsi="Arial Narrow" w:cs="Times New Roman"/>
                <w:noProof/>
                <w:kern w:val="0"/>
                <w:sz w:val="16"/>
                <w:szCs w:val="16"/>
                <w:lang w:val="en-US"/>
                <w14:ligatures w14:val="none"/>
              </w:rPr>
              <w:t>b) a copy of and a link to the public transport plan accompanied by a summary document duly justifying how the milestone (including all the constitutive elements) was satisfactorily fulfilled, with appropriate links to the underlying evidence).</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F56D40F"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Completion of the necessary steps to implement coordinated approach. This includes among others:</w:t>
            </w:r>
          </w:p>
          <w:p w14:paraId="41122FB9"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setting up a working group for the coordination of Riga metropolitan area public transport planning;</w:t>
            </w:r>
          </w:p>
          <w:p w14:paraId="71BD91D0"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The Riga metropolitan area public transport plan has been adopted in line with the development of passenger transport by rail in Latvia.</w:t>
            </w:r>
          </w:p>
        </w:tc>
      </w:tr>
      <w:tr w:rsidR="00FA2B88" w:rsidRPr="00BA1475" w14:paraId="57C90ECE"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780319D0"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2A024317"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en-US"/>
                <w14:ligatures w14:val="none"/>
              </w:rPr>
            </w:pPr>
            <w:r w:rsidRPr="00BA1475">
              <w:rPr>
                <w:rFonts w:ascii="Arial Narrow" w:eastAsia="MS Mincho" w:hAnsi="Arial Narrow" w:cs="Times New Roman"/>
                <w:b/>
                <w:bCs/>
                <w:noProof/>
                <w:kern w:val="0"/>
                <w:sz w:val="16"/>
                <w:szCs w:val="16"/>
                <w:lang w:val="en-US"/>
                <w14:ligatures w14:val="none"/>
              </w:rPr>
              <w:t>1.1.1.r. Greening the Riga Metropolitan Range Transport System</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3D48D04"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C32AD1D"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Reform of public transport RMA</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F28297F"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Entry into service of a unified multimodal public transport route network for the Riga metropolitan area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2CCBFA3"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3E0832C"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714CFE1"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5477D19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Q4</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3B100ED"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2025</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87D40D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Transport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82E440A" w14:textId="77777777" w:rsidR="00BA1475" w:rsidRPr="00BA1475" w:rsidRDefault="00BA1475" w:rsidP="00BA1475">
            <w:pPr>
              <w:spacing w:after="200" w:line="276" w:lineRule="auto"/>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31F500B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milestone </w:t>
            </w:r>
            <w:r w:rsidRPr="00BA1475">
              <w:rPr>
                <w:rFonts w:ascii="Arial Narrow" w:eastAsia="MS Mincho" w:hAnsi="Arial Narrow" w:cs="Times New Roman"/>
                <w:noProof/>
                <w:kern w:val="0"/>
                <w:sz w:val="16"/>
                <w:szCs w:val="16"/>
                <w:lang w:val="en-GB"/>
                <w14:ligatures w14:val="none"/>
              </w:rPr>
              <w:t>(including all the constitutive elements)</w:t>
            </w:r>
            <w:r w:rsidRPr="00BA1475">
              <w:rPr>
                <w:rFonts w:ascii="Arial Narrow" w:eastAsia="Calibri" w:hAnsi="Arial Narrow" w:cs="Calibri"/>
                <w:noProof/>
                <w:kern w:val="0"/>
                <w:sz w:val="16"/>
                <w:szCs w:val="16"/>
                <w:lang w:val="en-GB"/>
                <w14:ligatures w14:val="none"/>
              </w:rPr>
              <w:t xml:space="preserve"> was satisfactorily fulfilled, with appropriate links to the underlying evidence.</w:t>
            </w:r>
          </w:p>
          <w:p w14:paraId="1F2A029E"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r w:rsidRPr="00BA1475">
              <w:rPr>
                <w:rFonts w:ascii="Arial Narrow" w:eastAsia="Calibri" w:hAnsi="Arial Narrow" w:cs="Arial"/>
                <w:noProof/>
                <w:kern w:val="0"/>
                <w:sz w:val="16"/>
                <w:szCs w:val="16"/>
                <w:lang w:val="en-GB"/>
                <w14:ligatures w14:val="none"/>
              </w:rPr>
              <w:t xml:space="preserve"> </w:t>
            </w:r>
          </w:p>
          <w:p w14:paraId="29B32477"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the single and harmonised timetable</w:t>
            </w:r>
            <w:r w:rsidRPr="00BA1475">
              <w:rPr>
                <w:rFonts w:ascii="Arial Narrow" w:eastAsia="MS Mincho" w:hAnsi="Arial Narrow" w:cs="Times New Roman"/>
                <w:noProof/>
                <w:kern w:val="0"/>
                <w:sz w:val="16"/>
                <w:szCs w:val="16"/>
                <w:lang w:val="en-US"/>
                <w14:ligatures w14:val="none"/>
              </w:rPr>
              <w:t xml:space="preserve"> of the Riga metropolitan area transport approved by the authorities responsible for commissioning public transport;</w:t>
            </w:r>
          </w:p>
          <w:p w14:paraId="588AC47E"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a document </w:t>
            </w:r>
            <w:r w:rsidRPr="00BA1475">
              <w:rPr>
                <w:rFonts w:ascii="Arial Narrow" w:eastAsia="Calibri" w:hAnsi="Arial Narrow" w:cs="Calibri"/>
                <w:noProof/>
                <w:kern w:val="0"/>
                <w:sz w:val="16"/>
                <w:szCs w:val="16"/>
                <w:lang w:val="en-US"/>
                <w14:ligatures w14:val="none"/>
              </w:rPr>
              <w:t xml:space="preserve">such as a user guide / passenger guide </w:t>
            </w:r>
            <w:r w:rsidRPr="00BA1475">
              <w:rPr>
                <w:rFonts w:ascii="Arial Narrow" w:eastAsia="Calibri" w:hAnsi="Arial Narrow" w:cs="Calibri"/>
                <w:noProof/>
                <w:kern w:val="0"/>
                <w:sz w:val="16"/>
                <w:szCs w:val="16"/>
                <w:lang w:val="en-GB"/>
                <w14:ligatures w14:val="none"/>
              </w:rPr>
              <w:t>setting out the single price and discount policy;</w:t>
            </w:r>
          </w:p>
          <w:p w14:paraId="5EA0F8C1"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c) a </w:t>
            </w:r>
            <w:r w:rsidRPr="00BA1475">
              <w:rPr>
                <w:rFonts w:ascii="Arial Narrow" w:eastAsia="Calibri" w:hAnsi="Arial Narrow" w:cs="Calibri"/>
                <w:noProof/>
                <w:kern w:val="0"/>
                <w:sz w:val="16"/>
                <w:szCs w:val="16"/>
                <w:lang w:val="en-GB"/>
                <w14:ligatures w14:val="none"/>
              </w:rPr>
              <w:t>sample</w:t>
            </w:r>
            <w:r w:rsidRPr="00BA1475">
              <w:rPr>
                <w:rFonts w:ascii="Arial Narrow" w:eastAsia="Calibri" w:hAnsi="Arial Narrow" w:cs="Calibri"/>
                <w:noProof/>
                <w:kern w:val="0"/>
                <w:sz w:val="16"/>
                <w:szCs w:val="16"/>
                <w:lang w:val="en-US"/>
                <w14:ligatures w14:val="none"/>
              </w:rPr>
              <w:t xml:space="preserve"> of a single ticket for integrated public transport system Riga metropolitan area.</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6073DBED"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Entry into service of a multimodal public transport route network for the Riga metropolitan area with a single and harmonised timetable, single price and discount policy and single ticket for integrated public transport system Riga metropolitan area</w:t>
            </w:r>
          </w:p>
        </w:tc>
      </w:tr>
      <w:tr w:rsidR="00FA2B88" w:rsidRPr="00BA1475" w14:paraId="16F0BFCD" w14:textId="77777777" w:rsidTr="009C5ECA">
        <w:trPr>
          <w:trHeight w:val="5019"/>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5749CA67"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lastRenderedPageBreak/>
              <w:t>3</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44E6BBE4"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fr-FR"/>
                <w14:ligatures w14:val="none"/>
              </w:rPr>
            </w:pPr>
            <w:r w:rsidRPr="00BA1475">
              <w:rPr>
                <w:rFonts w:ascii="Arial Narrow" w:eastAsia="MS Mincho" w:hAnsi="Arial Narrow" w:cs="Times New Roman"/>
                <w:b/>
                <w:bCs/>
                <w:noProof/>
                <w:kern w:val="0"/>
                <w:sz w:val="16"/>
                <w:szCs w:val="16"/>
                <w:lang w:val="fr-FR"/>
                <w14:ligatures w14:val="none"/>
              </w:rPr>
              <w:t>1.1.1.i. Improving Riga Metropolitan transport infrastructure</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2C2F7F0"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CAE916B"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Length of electric rail lines created and existing railway upgraded for passenger transport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00DB0E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84871A6"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Km</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E3CBE13"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B54E565"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100</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2F155B2"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F7146D5"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7B749E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Transport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D9BCCE9"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2D10C8E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(including all the constitutive elements) was satisfactorily fulfilled, with appropriate links to the underlying evidence. </w:t>
            </w:r>
          </w:p>
          <w:p w14:paraId="77F74F7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a list of all projects financed under the measure including:</w:t>
            </w:r>
          </w:p>
          <w:p w14:paraId="65B00EAC"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their contribution in terms of length of electric rail lines created and/or upgraded; </w:t>
            </w:r>
          </w:p>
          <w:p w14:paraId="2E2FCE4D"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description of the project; and </w:t>
            </w:r>
          </w:p>
          <w:p w14:paraId="7B0A3670"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 the category of the projects as provided by the target i.e.: </w:t>
            </w:r>
          </w:p>
          <w:p w14:paraId="51D7580E" w14:textId="77777777" w:rsidR="00BA1475" w:rsidRPr="00BA1475" w:rsidRDefault="00BA1475" w:rsidP="00BA1475">
            <w:pPr>
              <w:numPr>
                <w:ilvl w:val="0"/>
                <w:numId w:val="18"/>
              </w:numPr>
              <w:spacing w:after="0" w:line="240" w:lineRule="auto"/>
              <w:ind w:left="466" w:hanging="184"/>
              <w:contextualSpacing/>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 xml:space="preserve">electrification (change of contact network for transition to 25 kV electrification system, increase of total length of electrified lines), </w:t>
            </w:r>
          </w:p>
          <w:p w14:paraId="4D59E42E" w14:textId="77777777" w:rsidR="00BA1475" w:rsidRPr="00BA1475" w:rsidRDefault="00BA1475" w:rsidP="00BA1475">
            <w:pPr>
              <w:numPr>
                <w:ilvl w:val="0"/>
                <w:numId w:val="18"/>
              </w:numPr>
              <w:spacing w:after="0" w:line="240" w:lineRule="auto"/>
              <w:ind w:left="466" w:hanging="184"/>
              <w:contextualSpacing/>
              <w:rPr>
                <w:rFonts w:ascii="Arial Narrow" w:eastAsia="Calibri" w:hAnsi="Arial Narrow" w:cs="Calibri"/>
                <w:noProof/>
                <w:kern w:val="0"/>
                <w:sz w:val="16"/>
                <w:szCs w:val="16"/>
                <w:lang w:val="en-US"/>
                <w14:ligatures w14:val="none"/>
              </w:rPr>
            </w:pPr>
            <w:r w:rsidRPr="00BA1475">
              <w:rPr>
                <w:rFonts w:ascii="Arial Narrow" w:eastAsia="MS Mincho" w:hAnsi="Arial Narrow" w:cs="Times New Roman"/>
                <w:noProof/>
                <w:kern w:val="0"/>
                <w:sz w:val="16"/>
                <w:szCs w:val="16"/>
                <w:lang w:val="en-GB"/>
                <w14:ligatures w14:val="none"/>
              </w:rPr>
              <w:t>related activities (</w:t>
            </w:r>
            <w:r w:rsidRPr="00BA1475">
              <w:rPr>
                <w:rFonts w:ascii="Arial Narrow" w:eastAsia="Arial Narrow" w:hAnsi="Arial Narrow" w:cs="Arial Narrow"/>
                <w:noProof/>
                <w:kern w:val="0"/>
                <w:sz w:val="16"/>
                <w:szCs w:val="16"/>
                <w:lang w:val="en-GB"/>
                <w14:ligatures w14:val="none"/>
              </w:rPr>
              <w:t>reconstruction of the existing train traffic management systems and signaling systems (SCB), reconstruction of overpasses and bridges (inc. prevention of oversized engineering structures), construction of SCADA and telecommunication lines and systems, reconstruction or replacement of cables and cable junctions in medium voltage and high voltage lines, etc.)</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C93A36A"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Electrification (change of contact network for transition to 25 kV electrification system, increase of total length of electrified lines) and related activities (construction of electric track sections, adaptation of signaling systems).</w:t>
            </w:r>
          </w:p>
        </w:tc>
      </w:tr>
      <w:tr w:rsidR="00FA2B88" w:rsidRPr="00BA1475" w14:paraId="244C4122"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2CFAC7FB"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4</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2BD6BDFA"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fr-FR"/>
                <w14:ligatures w14:val="none"/>
              </w:rPr>
            </w:pPr>
            <w:r w:rsidRPr="00BA1475">
              <w:rPr>
                <w:rFonts w:ascii="Arial Narrow" w:eastAsia="MS Mincho" w:hAnsi="Arial Narrow" w:cs="Times New Roman"/>
                <w:b/>
                <w:bCs/>
                <w:noProof/>
                <w:kern w:val="0"/>
                <w:sz w:val="16"/>
                <w:szCs w:val="16"/>
                <w:lang w:val="fr-FR"/>
                <w14:ligatures w14:val="none"/>
              </w:rPr>
              <w:t>1.1.1.i. Improving Riga Metropolitan transport infrastructure</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842F8D5"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C50FB7D"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Signature of contracts for upgrading Riga Central Railway Station</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9CCCAC4"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Signed contracts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08BB1D2"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A319F6D"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6CBE0624"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50FE8259"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EDB6021"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2025</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103BCF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Transport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775F813"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23BAB34A" w14:textId="77777777" w:rsidR="00BA1475" w:rsidRPr="00BA1475" w:rsidRDefault="00BA1475" w:rsidP="00BA1475">
            <w:pPr>
              <w:spacing w:after="0" w:line="240" w:lineRule="auto"/>
              <w:rPr>
                <w:rFonts w:ascii="Arial Narrow" w:eastAsia="MS Mincho" w:hAnsi="Arial Narrow" w:cs="Arial"/>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 xml:space="preserve">A summary document duly justifying how the target (including all the constitutive elements) was </w:t>
            </w:r>
            <w:r w:rsidRPr="00BA1475">
              <w:rPr>
                <w:rFonts w:ascii="Arial Narrow" w:eastAsia="MS Mincho" w:hAnsi="Arial Narrow" w:cs="Arial"/>
                <w:noProof/>
                <w:kern w:val="0"/>
                <w:sz w:val="16"/>
                <w:szCs w:val="16"/>
                <w:lang w:val="en-GB"/>
                <w14:ligatures w14:val="none"/>
              </w:rPr>
              <w:t xml:space="preserve">satisfactorily fulfilled, with appropriate links to the underlying evidence. </w:t>
            </w:r>
          </w:p>
          <w:p w14:paraId="4C7CF52D" w14:textId="77777777" w:rsidR="00BA1475" w:rsidRPr="00BA1475" w:rsidRDefault="00BA1475" w:rsidP="00BA1475">
            <w:pPr>
              <w:spacing w:after="0" w:line="240" w:lineRule="auto"/>
              <w:rPr>
                <w:rFonts w:ascii="Arial Narrow" w:eastAsia="Arial Narrow" w:hAnsi="Arial Narrow" w:cs="Arial Narrow"/>
                <w:noProof/>
                <w:kern w:val="0"/>
                <w:sz w:val="16"/>
                <w:szCs w:val="16"/>
                <w:lang w:val="en-GB"/>
                <w14:ligatures w14:val="none"/>
              </w:rPr>
            </w:pPr>
            <w:r w:rsidRPr="00BA1475">
              <w:rPr>
                <w:rFonts w:ascii="Arial Narrow" w:eastAsia="MS Mincho" w:hAnsi="Arial Narrow" w:cs="Arial"/>
                <w:noProof/>
                <w:kern w:val="0"/>
                <w:sz w:val="16"/>
                <w:szCs w:val="16"/>
                <w:lang w:val="en-GB"/>
                <w14:ligatures w14:val="none"/>
              </w:rPr>
              <w:t xml:space="preserve">This document shall include as an annex the contracts signed between the contractor(s) and the contracting authority(ies) for the </w:t>
            </w:r>
            <w:r w:rsidRPr="00BA1475">
              <w:rPr>
                <w:rFonts w:ascii="Arial Narrow" w:eastAsia="MS Mincho" w:hAnsi="Arial Narrow" w:cs="Times New Roman"/>
                <w:noProof/>
                <w:kern w:val="0"/>
                <w:sz w:val="16"/>
                <w:szCs w:val="16"/>
                <w:lang w:val="en-GB"/>
                <w14:ligatures w14:val="none"/>
              </w:rPr>
              <w:t xml:space="preserve">construction works and for the supervision of construction works </w:t>
            </w:r>
            <w:r w:rsidRPr="00BA1475">
              <w:rPr>
                <w:rFonts w:ascii="Arial Narrow" w:eastAsia="MS Mincho" w:hAnsi="Arial Narrow" w:cs="Arial"/>
                <w:noProof/>
                <w:kern w:val="0"/>
                <w:sz w:val="16"/>
                <w:szCs w:val="16"/>
                <w:lang w:val="en-GB"/>
                <w14:ligatures w14:val="none"/>
              </w:rPr>
              <w:t>as referred to in the description of the milestone.</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18391D8"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GB"/>
                <w14:ligatures w14:val="none"/>
              </w:rPr>
              <w:t>Signature of contracts for construction works and for supervision of construction works in the southern part of Riga Central Railway Station. The construction works in the southern part of the Riga Central Railway Station include roof laying, the construction of the façade, platform canopy roof, finishing works, passenger access infrastructure, mechanical, electrical and plumbing works.</w:t>
            </w:r>
          </w:p>
          <w:p w14:paraId="5F7EF365"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p>
        </w:tc>
      </w:tr>
      <w:tr w:rsidR="00FA2B88" w:rsidRPr="00BA1475" w14:paraId="47B0748E"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1C6B8E3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lastRenderedPageBreak/>
              <w:t>4a</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653BBE27"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fr-BE"/>
                <w14:ligatures w14:val="none"/>
              </w:rPr>
            </w:pPr>
            <w:r w:rsidRPr="00BA1475">
              <w:rPr>
                <w:rFonts w:ascii="Arial Narrow" w:eastAsia="MS Mincho" w:hAnsi="Arial Narrow" w:cs="Times New Roman"/>
                <w:b/>
                <w:bCs/>
                <w:noProof/>
                <w:kern w:val="0"/>
                <w:sz w:val="16"/>
                <w:szCs w:val="16"/>
                <w:lang w:val="fr-BE"/>
                <w14:ligatures w14:val="none"/>
              </w:rPr>
              <w:t>1.1.1.i. Improving Riga Metropolitan transport infrastructure</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FFAC6C5"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2A83CED"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GB"/>
                <w14:ligatures w14:val="none"/>
              </w:rPr>
              <w:t>Upgraded Riga Central Railway Station</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B35FCE7"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GB"/>
                <w14:ligatures w14:val="none"/>
              </w:rPr>
              <w:t>Completed construction works in Riga Central Station</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1341B96"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7131207" w14:textId="77777777" w:rsidR="00BA1475" w:rsidRPr="00BA1475" w:rsidDel="00111C97"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1A7436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8D27EDF"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E59F56D"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C290F5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Transport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E3EF375"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100EA61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milestone (including all the constitutive elements) was satisfactorily fulfilled with appropriate links to the underlying evidence. </w:t>
            </w:r>
          </w:p>
          <w:p w14:paraId="1D065C3B" w14:textId="77777777" w:rsidR="00BA1475" w:rsidRPr="00BA1475" w:rsidRDefault="00BA1475" w:rsidP="00BA1475">
            <w:pPr>
              <w:spacing w:after="0" w:line="240" w:lineRule="auto"/>
              <w:rPr>
                <w:rFonts w:ascii="Arial Narrow" w:eastAsia="Arial Narrow" w:hAnsi="Arial Narrow" w:cs="Arial Narrow"/>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copy of certificate(s) of completion of the construction works referred to in the description of the milestone signed by the contractor(s) and the contracting authority(ies), demonstrating that the works have been completed</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80D0CC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GB"/>
                <w14:ligatures w14:val="none"/>
              </w:rPr>
              <w:t>Completed construction works in the southern part of Riga Central Railway Station: roof, façade, platform canopy roof, finishing works, passenger access, mechanical, electrical and plumbing works.</w:t>
            </w:r>
          </w:p>
        </w:tc>
      </w:tr>
      <w:tr w:rsidR="00FA2B88" w:rsidRPr="00BA1475" w14:paraId="7A99951C"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577436E3"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fr-BE"/>
                <w14:ligatures w14:val="none"/>
              </w:rPr>
            </w:pPr>
            <w:r w:rsidRPr="00BA1475">
              <w:rPr>
                <w:rFonts w:ascii="Arial Narrow" w:eastAsia="MS Mincho" w:hAnsi="Arial Narrow" w:cs="Times New Roman"/>
                <w:noProof/>
                <w:kern w:val="0"/>
                <w:sz w:val="16"/>
                <w:szCs w:val="16"/>
                <w:lang w:val="en-US"/>
                <w14:ligatures w14:val="none"/>
              </w:rPr>
              <w:t>5</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206A915C"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fr-FR"/>
                <w14:ligatures w14:val="none"/>
              </w:rPr>
            </w:pPr>
            <w:r w:rsidRPr="00BA1475">
              <w:rPr>
                <w:rFonts w:ascii="Arial Narrow" w:eastAsia="Times New Roman" w:hAnsi="Arial Narrow" w:cs="Times New Roman"/>
                <w:b/>
                <w:bCs/>
                <w:noProof/>
                <w:kern w:val="0"/>
                <w:sz w:val="16"/>
                <w:szCs w:val="16"/>
                <w:lang w:val="fr-FR"/>
                <w14:ligatures w14:val="none"/>
              </w:rPr>
              <w:t xml:space="preserve">1.1.1.i. </w:t>
            </w:r>
            <w:r w:rsidRPr="00BA1475">
              <w:rPr>
                <w:rFonts w:ascii="Arial Narrow" w:eastAsia="MS Mincho" w:hAnsi="Arial Narrow" w:cs="Times New Roman"/>
                <w:b/>
                <w:bCs/>
                <w:noProof/>
                <w:kern w:val="0"/>
                <w:sz w:val="16"/>
                <w:szCs w:val="16"/>
                <w:lang w:val="fr-FR"/>
                <w14:ligatures w14:val="none"/>
              </w:rPr>
              <w:t>Improving Riga Metropolitan transport infrastructure</w:t>
            </w:r>
            <w:r w:rsidRPr="00BA1475">
              <w:rPr>
                <w:rFonts w:ascii="Arial Narrow" w:eastAsia="Times New Roman" w:hAnsi="Arial Narrow" w:cs="Times New Roman"/>
                <w:b/>
                <w:bCs/>
                <w:noProof/>
                <w:kern w:val="0"/>
                <w:sz w:val="16"/>
                <w:szCs w:val="16"/>
                <w:lang w:val="fr-FR"/>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35749AB"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6B1F765"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Calibri" w:hAnsi="Arial Narrow" w:cs="Arial"/>
                <w:noProof/>
                <w:kern w:val="0"/>
                <w:sz w:val="16"/>
                <w14:ligatures w14:val="none"/>
              </w:rPr>
              <w:t>Number of electric transport investments (electric buses and charging stations)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46CA219"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6939311"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Number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67DC1ED"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1857744"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24</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683D4132"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0FAFEAC"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808C85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Transport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3FB038E"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5FC436C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(including all the constitutive elements) was satisfactorily fulfilled, with appropriate links to the underlying evidence. </w:t>
            </w:r>
          </w:p>
          <w:p w14:paraId="0576421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w:t>
            </w:r>
          </w:p>
          <w:p w14:paraId="24D339DD"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certificate of delivery of 17 electric buses;</w:t>
            </w:r>
          </w:p>
          <w:p w14:paraId="565F9944"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b) certificate of completed construction of 7 charging stations for buses.</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2C87B89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The following zero-emission transport investments shall be completed:</w:t>
            </w:r>
          </w:p>
          <w:p w14:paraId="6DC07DF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 Delivery of 17 electric buses</w:t>
            </w:r>
          </w:p>
          <w:p w14:paraId="0CAD977F"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 Construction of 7 charging stations for buses</w:t>
            </w:r>
          </w:p>
        </w:tc>
      </w:tr>
      <w:tr w:rsidR="00FA2B88" w:rsidRPr="00BA1475" w14:paraId="36C4744D"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70FA594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5a</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4F40717B"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fr-FR"/>
                <w14:ligatures w14:val="none"/>
              </w:rPr>
            </w:pPr>
            <w:r w:rsidRPr="00BA1475">
              <w:rPr>
                <w:rFonts w:ascii="Arial Narrow" w:eastAsia="Times New Roman" w:hAnsi="Arial Narrow" w:cs="Times New Roman"/>
                <w:b/>
                <w:bCs/>
                <w:noProof/>
                <w:kern w:val="0"/>
                <w:sz w:val="16"/>
                <w:szCs w:val="16"/>
                <w:lang w:val="fr-FR"/>
                <w14:ligatures w14:val="none"/>
              </w:rPr>
              <w:t xml:space="preserve">1.1.1.i. </w:t>
            </w:r>
            <w:r w:rsidRPr="00BA1475">
              <w:rPr>
                <w:rFonts w:ascii="Arial Narrow" w:eastAsia="MS Mincho" w:hAnsi="Arial Narrow" w:cs="Times New Roman"/>
                <w:b/>
                <w:bCs/>
                <w:noProof/>
                <w:kern w:val="0"/>
                <w:sz w:val="16"/>
                <w:szCs w:val="16"/>
                <w:lang w:val="fr-FR"/>
                <w14:ligatures w14:val="none"/>
              </w:rPr>
              <w:t>Improving Riga Metropolitan transport infrastructure</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64E506D"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5705026"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14:ligatures w14:val="none"/>
              </w:rPr>
            </w:pPr>
            <w:r w:rsidRPr="009F1544">
              <w:rPr>
                <w:rFonts w:ascii="Arial Narrow" w:eastAsia="Times New Roman" w:hAnsi="Arial Narrow" w:cs="Times New Roman"/>
                <w:noProof/>
                <w:kern w:val="0"/>
                <w:sz w:val="14"/>
                <w:szCs w:val="14"/>
                <w14:ligatures w14:val="none"/>
              </w:rPr>
              <w:t>Public transport infrastructure projects completed</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0BF80AC"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Completed projects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DB8092C"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N/A</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844A9C9"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D3264D3"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152E690"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4642271"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08A13E7" w14:textId="77777777" w:rsidR="00BA1475" w:rsidRPr="00BA1475" w:rsidRDefault="00BA1475" w:rsidP="00BA1475">
            <w:pPr>
              <w:spacing w:after="0" w:line="240" w:lineRule="auto"/>
              <w:rPr>
                <w:rFonts w:ascii="Arial Narrow" w:eastAsia="Calibri" w:hAnsi="Arial Narrow" w:cs="Arial"/>
                <w:kern w:val="0"/>
                <w:sz w:val="16"/>
                <w:u w:val="single"/>
                <w:lang w:val="en-GB"/>
                <w14:ligatures w14:val="none"/>
              </w:rPr>
            </w:pPr>
            <w:r w:rsidRPr="00BA1475">
              <w:rPr>
                <w:rFonts w:ascii="Arial Narrow" w:eastAsia="Calibri" w:hAnsi="Arial Narrow" w:cs="Calibri"/>
                <w:noProof/>
                <w:kern w:val="0"/>
                <w:sz w:val="16"/>
                <w:szCs w:val="16"/>
                <w:lang w:val="en-GB"/>
                <w14:ligatures w14:val="none"/>
              </w:rPr>
              <w:t>Ministry of Transport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C2A705E"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73258BC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milestone (including all the constitutive elements) was satisfactorily fulfilled with appropriate links to the underlying evidence. </w:t>
            </w:r>
          </w:p>
          <w:p w14:paraId="026F618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certificates of completion of the projects referred to in the milestone description.</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5FC450B" w14:textId="77777777" w:rsidR="00BA1475" w:rsidRPr="00BA1475" w:rsidRDefault="00BA1475" w:rsidP="00BA1475">
            <w:pPr>
              <w:spacing w:after="0" w:line="240" w:lineRule="auto"/>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The following transport infrastructure shall be completed:</w:t>
            </w:r>
          </w:p>
          <w:p w14:paraId="39F16CCC" w14:textId="77777777" w:rsidR="00BA1475" w:rsidRPr="00BA1475" w:rsidRDefault="00BA1475" w:rsidP="00BA1475">
            <w:pPr>
              <w:spacing w:after="0" w:line="240" w:lineRule="auto"/>
              <w:rPr>
                <w:rFonts w:ascii="Arial Narrow" w:eastAsia="Times New Roman" w:hAnsi="Arial Narrow" w:cs="Times New Roman"/>
                <w:noProof/>
                <w:kern w:val="0"/>
                <w:sz w:val="16"/>
                <w:szCs w:val="16"/>
                <w14:ligatures w14:val="none"/>
              </w:rPr>
            </w:pPr>
          </w:p>
          <w:p w14:paraId="7DE7A89C" w14:textId="77777777" w:rsidR="00BA1475" w:rsidRPr="00BA1475" w:rsidRDefault="00BA1475" w:rsidP="00BA1475">
            <w:pPr>
              <w:spacing w:after="0" w:line="240" w:lineRule="auto"/>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 xml:space="preserve">- One public transport hub (bus/electric bus, tram and trolleybus) </w:t>
            </w:r>
          </w:p>
          <w:p w14:paraId="3B3C69C6" w14:textId="77777777" w:rsidR="00BA1475" w:rsidRPr="00BA1475" w:rsidRDefault="00BA1475" w:rsidP="00BA1475">
            <w:pPr>
              <w:spacing w:after="0" w:line="240" w:lineRule="auto"/>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 Eight mobility points</w:t>
            </w:r>
          </w:p>
          <w:p w14:paraId="17B2A993" w14:textId="77777777" w:rsidR="00BA1475" w:rsidRPr="00BA1475" w:rsidRDefault="00BA1475" w:rsidP="00BA1475">
            <w:pPr>
              <w:spacing w:after="0" w:line="240" w:lineRule="auto"/>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 Extension of tram line by 2.2 km</w:t>
            </w:r>
          </w:p>
          <w:p w14:paraId="3C201B4F" w14:textId="77777777" w:rsidR="00BA1475" w:rsidRPr="00BA1475" w:rsidRDefault="00BA1475" w:rsidP="00BA1475">
            <w:pPr>
              <w:spacing w:after="0" w:line="240" w:lineRule="auto"/>
              <w:rPr>
                <w:rFonts w:ascii="Arial Narrow" w:eastAsia="Times New Roman" w:hAnsi="Arial Narrow" w:cs="Times New Roman"/>
                <w:noProof/>
                <w:kern w:val="0"/>
                <w:sz w:val="16"/>
                <w:szCs w:val="16"/>
                <w14:ligatures w14:val="none"/>
              </w:rPr>
            </w:pPr>
            <w:r w:rsidRPr="00BA1475">
              <w:rPr>
                <w:rFonts w:ascii="Arial Narrow" w:eastAsia="Times New Roman" w:hAnsi="Arial Narrow" w:cs="Times New Roman"/>
                <w:noProof/>
                <w:kern w:val="0"/>
                <w:sz w:val="16"/>
                <w:szCs w:val="16"/>
                <w14:ligatures w14:val="none"/>
              </w:rPr>
              <w:t>- Extension of trolleybus line by 0.3 km</w:t>
            </w:r>
          </w:p>
        </w:tc>
      </w:tr>
      <w:tr w:rsidR="00FA2B88" w:rsidRPr="00BA1475" w14:paraId="472062F9"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29AE7635"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6</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24F986A1"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fr-FR"/>
                <w14:ligatures w14:val="none"/>
              </w:rPr>
            </w:pPr>
            <w:r w:rsidRPr="00BA1475">
              <w:rPr>
                <w:rFonts w:ascii="Arial Narrow" w:eastAsia="Times New Roman" w:hAnsi="Arial Narrow" w:cs="Times New Roman"/>
                <w:b/>
                <w:bCs/>
                <w:noProof/>
                <w:kern w:val="0"/>
                <w:sz w:val="16"/>
                <w:szCs w:val="16"/>
                <w:lang w:val="fr-FR"/>
                <w14:ligatures w14:val="none"/>
              </w:rPr>
              <w:t xml:space="preserve">1.1.1.i. </w:t>
            </w:r>
            <w:r w:rsidRPr="00BA1475">
              <w:rPr>
                <w:rFonts w:ascii="Arial Narrow" w:eastAsia="MS Mincho" w:hAnsi="Arial Narrow" w:cs="Times New Roman"/>
                <w:b/>
                <w:bCs/>
                <w:noProof/>
                <w:kern w:val="0"/>
                <w:sz w:val="16"/>
                <w:szCs w:val="16"/>
                <w:lang w:val="fr-FR"/>
                <w14:ligatures w14:val="none"/>
              </w:rPr>
              <w:t>Improving Riga Metropolitan transport infrastructure</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3AE8AE2"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A12C304" w14:textId="77777777" w:rsidR="00BA1475" w:rsidRPr="009F1544" w:rsidRDefault="00BA1475" w:rsidP="00BA1475">
            <w:pPr>
              <w:spacing w:after="0" w:line="240" w:lineRule="auto"/>
              <w:jc w:val="both"/>
              <w:rPr>
                <w:rFonts w:ascii="Arial Narrow" w:eastAsia="Times New Roman" w:hAnsi="Arial Narrow" w:cs="Times New Roman"/>
                <w:noProof/>
                <w:kern w:val="0"/>
                <w:sz w:val="14"/>
                <w:szCs w:val="14"/>
                <w:lang w:val="en-US"/>
                <w14:ligatures w14:val="none"/>
              </w:rPr>
            </w:pPr>
            <w:r w:rsidRPr="009F1544">
              <w:rPr>
                <w:rFonts w:ascii="Arial Narrow" w:eastAsia="Times New Roman" w:hAnsi="Arial Narrow" w:cs="Times New Roman"/>
                <w:noProof/>
                <w:kern w:val="0"/>
                <w:sz w:val="14"/>
                <w:szCs w:val="14"/>
                <w:lang w:val="en-US"/>
                <w14:ligatures w14:val="none"/>
              </w:rPr>
              <w:t>Length of newly built or renovated cycle infrastructure in the city of Riga and Pieriga (part of Riga Metropolitan Area)</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CD02BCC"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92D058E"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Km</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F3AE742"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1C6C489"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52</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16EBBBF"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0257184"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780BAC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Transport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08A5EBA" w14:textId="77777777" w:rsidR="00BA1475" w:rsidRPr="00BA1475" w:rsidRDefault="00BA1475" w:rsidP="00BA1475">
            <w:pPr>
              <w:spacing w:after="0" w:line="240" w:lineRule="auto"/>
              <w:jc w:val="both"/>
              <w:rPr>
                <w:rFonts w:ascii="Arial Narrow" w:eastAsia="Times New Roman"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7760D7E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(including all the constitutive elements) was satisfactorily fulfilled, with appropriate links to the underlying evidence. </w:t>
            </w:r>
          </w:p>
          <w:p w14:paraId="59481DB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w:t>
            </w:r>
          </w:p>
          <w:p w14:paraId="3EAA1E66"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w:t>
            </w:r>
            <w:r w:rsidRPr="00BA1475">
              <w:rPr>
                <w:rFonts w:ascii="Arial Narrow" w:eastAsia="MS Mincho" w:hAnsi="Arial Narrow" w:cs="Times New Roman"/>
                <w:noProof/>
                <w:kern w:val="0"/>
                <w:sz w:val="16"/>
                <w:szCs w:val="16"/>
                <w:lang w:val="en-GB"/>
                <w14:ligatures w14:val="none"/>
              </w:rPr>
              <w:t xml:space="preserve">a list of all </w:t>
            </w:r>
            <w:r w:rsidRPr="00BA1475">
              <w:rPr>
                <w:rFonts w:ascii="Arial Narrow" w:eastAsia="Calibri" w:hAnsi="Arial Narrow" w:cs="Calibri"/>
                <w:noProof/>
                <w:kern w:val="0"/>
                <w:sz w:val="16"/>
                <w:szCs w:val="16"/>
                <w:lang w:val="en-GB"/>
                <w14:ligatures w14:val="none"/>
              </w:rPr>
              <w:t>projects</w:t>
            </w:r>
            <w:r w:rsidRPr="00BA1475">
              <w:rPr>
                <w:rFonts w:ascii="Arial Narrow" w:eastAsia="MS Mincho" w:hAnsi="Arial Narrow" w:cs="Times New Roman"/>
                <w:noProof/>
                <w:kern w:val="0"/>
                <w:sz w:val="16"/>
                <w:szCs w:val="16"/>
                <w:lang w:val="en-GB"/>
                <w14:ligatures w14:val="none"/>
              </w:rPr>
              <w:t>, their length in km and nature (renovation or new construction);</w:t>
            </w:r>
          </w:p>
          <w:p w14:paraId="1F5D0C1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certificate of entry into operation of newly built or renovated cycle infrastructure. </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4FA6A54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US"/>
                <w14:ligatures w14:val="none"/>
              </w:rPr>
            </w:pPr>
            <w:r w:rsidRPr="00BA1475">
              <w:rPr>
                <w:rFonts w:ascii="Arial Narrow" w:eastAsia="Times New Roman" w:hAnsi="Arial Narrow" w:cs="Times New Roman"/>
                <w:noProof/>
                <w:kern w:val="0"/>
                <w:sz w:val="16"/>
                <w:szCs w:val="16"/>
                <w:lang w:val="en-US"/>
                <w14:ligatures w14:val="none"/>
              </w:rPr>
              <w:t>Entry into operation of newly built or renovated cycle infrastructure.</w:t>
            </w:r>
          </w:p>
        </w:tc>
      </w:tr>
      <w:tr w:rsidR="00FA2B88" w:rsidRPr="00BA1475" w14:paraId="346693AA"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4081C8CB"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lastRenderedPageBreak/>
              <w:t>7</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4E00E185"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en-US"/>
                <w14:ligatures w14:val="none"/>
              </w:rPr>
            </w:pPr>
            <w:r w:rsidRPr="00BA1475">
              <w:rPr>
                <w:rFonts w:ascii="Arial Narrow" w:eastAsia="MS Mincho" w:hAnsi="Arial Narrow" w:cs="Times New Roman"/>
                <w:b/>
                <w:bCs/>
                <w:noProof/>
                <w:kern w:val="0"/>
                <w:sz w:val="16"/>
                <w:szCs w:val="16"/>
                <w:lang w:val="en-US"/>
                <w14:ligatures w14:val="none"/>
              </w:rPr>
              <w:t>1.2.1.1.i. Improving the energy efficiency of multi-apartment buildings and transition to renewable energy technologies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2D899FD"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A983D41"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Entry into force of support programme for improving energy efficiency in residential buildings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D729EE2"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Entry into force of support programme for improving energy efficiency in residential buildings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1462DC1"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C55FCEF"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9D54307"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5793418"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35D03A50"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2022</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059CE6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04F255F"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575987F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support programme regulation and a link to the publication in the Official Journal, including a reference to the provision indicating the entry into force, accompanied by a summary document duly justifying how the milestone (including </w:t>
            </w:r>
            <w:r w:rsidRPr="00BA1475">
              <w:rPr>
                <w:rFonts w:ascii="Arial Narrow" w:eastAsia="MS Mincho" w:hAnsi="Arial Narrow" w:cs="Times New Roman"/>
                <w:noProof/>
                <w:kern w:val="0"/>
                <w:sz w:val="16"/>
                <w:szCs w:val="16"/>
                <w:lang w:val="en-GB"/>
                <w14:ligatures w14:val="none"/>
              </w:rPr>
              <w:t>requirements of applicable intervention field 025 bis</w:t>
            </w:r>
            <w:r w:rsidRPr="00BA1475">
              <w:rPr>
                <w:rFonts w:ascii="Arial Narrow" w:eastAsia="Calibri" w:hAnsi="Arial Narrow" w:cs="Calibri"/>
                <w:noProof/>
                <w:kern w:val="0"/>
                <w:sz w:val="16"/>
                <w:szCs w:val="16"/>
                <w:lang w:val="en-GB"/>
                <w14:ligatures w14:val="none"/>
              </w:rPr>
              <w:t>) was satisfactorily fulfilled, with appropriate links to the underlying evidence.</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20C15856"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Entry into force of support programme for improving energy efficiency in residential buildings with eligibility criteria to reflect requirements of applicable intervention field “025 bis – energy efficiency renovation of existing housing, demonstration projects and support measures meeting energy efficiency criteria” of Annex VI of the RRF Regulation.</w:t>
            </w:r>
          </w:p>
        </w:tc>
      </w:tr>
      <w:tr w:rsidR="00FA2B88" w:rsidRPr="00BA1475" w14:paraId="6D1A2A94"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5E3BB1FB"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8</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3327C021"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en-US"/>
                <w14:ligatures w14:val="none"/>
              </w:rPr>
            </w:pPr>
            <w:r w:rsidRPr="00BA1475">
              <w:rPr>
                <w:rFonts w:ascii="Arial Narrow" w:eastAsia="MS Mincho" w:hAnsi="Arial Narrow" w:cs="Times New Roman"/>
                <w:b/>
                <w:bCs/>
                <w:noProof/>
                <w:kern w:val="0"/>
                <w:sz w:val="16"/>
                <w:szCs w:val="16"/>
                <w:lang w:val="en-US"/>
                <w14:ligatures w14:val="none"/>
              </w:rPr>
              <w:t>1.2.1.1.i. Improving the energy efficiency of multi-apartment buildings and transition to renewable energy technologies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7027294"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3F26145"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Approved projects representing at least EUR 40 097 400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48A752D"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BE0269"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EUR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A6F3F6C"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8E104CD"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40 097 400</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B81FBFA"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4AC4E96"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14F7CC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1729F2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35518D1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 including: a list of approved projects and their amounts.</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49E7BF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Approved projects by Altum representing at least EUR 40 097 400.</w:t>
            </w:r>
          </w:p>
          <w:p w14:paraId="1F0710BF"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Approval is undertaken by the development finance institution Altum.</w:t>
            </w:r>
          </w:p>
        </w:tc>
      </w:tr>
      <w:tr w:rsidR="00FA2B88" w:rsidRPr="00BA1475" w14:paraId="002E8550"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1FE05CA4"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9</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7D4EB034"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en-GB"/>
                <w14:ligatures w14:val="none"/>
              </w:rPr>
            </w:pPr>
            <w:r w:rsidRPr="00BA1475">
              <w:rPr>
                <w:rFonts w:ascii="Arial Narrow" w:eastAsia="MS Mincho" w:hAnsi="Arial Narrow" w:cs="Times New Roman"/>
                <w:b/>
                <w:bCs/>
                <w:noProof/>
                <w:kern w:val="0"/>
                <w:sz w:val="16"/>
                <w:szCs w:val="16"/>
                <w:lang w:val="en-GB"/>
                <w14:ligatures w14:val="none"/>
              </w:rPr>
              <w:t>1.2.1.1.i. Improving the energy efficiency of multi-apartment buildings and transition to renewable energy technologies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ECAB6AC"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1CEC105"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Reduction of primary energy consumption in multi-apartment buildings with improved energy efficiency</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3CFC32C"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47F271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MWh/</w:t>
            </w:r>
            <w:r w:rsidRPr="00BA1475">
              <w:rPr>
                <w:rFonts w:ascii="Arial Narrow" w:eastAsia="MS Mincho" w:hAnsi="Arial Narrow" w:cs="Times New Roman"/>
                <w:noProof/>
                <w:kern w:val="0"/>
                <w:sz w:val="16"/>
                <w:szCs w:val="16"/>
                <w:lang w:val="en-GB"/>
                <w14:ligatures w14:val="none"/>
              </w:rPr>
              <w:br/>
              <w:t>Year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D0C1286"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32F5EBE"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14 423</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B52847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7B113E9"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F55B87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in cooperation with Joint Stock Company “Development Finance Institution Altum”</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691CF5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GB"/>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52CC4C5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0298A84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w:t>
            </w:r>
            <w:r w:rsidRPr="00BA1475" w:rsidDel="6A34F999">
              <w:rPr>
                <w:rFonts w:ascii="Arial Narrow" w:eastAsia="Calibri" w:hAnsi="Arial Narrow" w:cs="Calibri"/>
                <w:noProof/>
                <w:kern w:val="0"/>
                <w:sz w:val="16"/>
                <w:szCs w:val="16"/>
                <w:lang w:val="en-GB"/>
                <w14:ligatures w14:val="none"/>
              </w:rPr>
              <w:t>:</w:t>
            </w:r>
          </w:p>
          <w:p w14:paraId="357B7D83" w14:textId="77777777" w:rsidR="00BA1475" w:rsidRPr="00BA1475" w:rsidRDefault="00BA1475" w:rsidP="00BA1475">
            <w:pPr>
              <w:spacing w:after="0" w:line="240" w:lineRule="auto"/>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a) aggregated energy performance certificates before and after the renovation action; </w:t>
            </w:r>
          </w:p>
          <w:p w14:paraId="5D8AD166"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b) the list of dwellings renovated and, for each dwelling, the renovation actions completed, the registration numbers of the energy performance certificates before and after the renovation action, and expected energy saving achieved.</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3190197C"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Reduction of primary energy consumption in multi-apartment buildings benefitting from improved energy efficiency renovations under the measure.</w:t>
            </w:r>
          </w:p>
        </w:tc>
      </w:tr>
      <w:tr w:rsidR="00FA2B88" w:rsidRPr="00BA1475" w14:paraId="1A1E0E3F" w14:textId="77777777" w:rsidTr="009C5ECA">
        <w:trPr>
          <w:trHeight w:val="625"/>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13BD0AAF"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10</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564F8D07" w14:textId="77777777" w:rsidR="00BA1475" w:rsidRPr="00BA1475" w:rsidRDefault="00BA1475" w:rsidP="00BA1475">
            <w:pPr>
              <w:spacing w:after="0" w:line="240" w:lineRule="auto"/>
              <w:contextualSpacing/>
              <w:rPr>
                <w:rFonts w:ascii="Arial Narrow" w:eastAsia="Calibri" w:hAnsi="Arial Narrow" w:cs="Calibri"/>
                <w:b/>
                <w:bCs/>
                <w:noProof/>
                <w:kern w:val="0"/>
                <w:sz w:val="16"/>
                <w:szCs w:val="16"/>
                <w:lang w:val="en-US"/>
                <w14:ligatures w14:val="none"/>
              </w:rPr>
            </w:pPr>
            <w:r w:rsidRPr="00BA1475">
              <w:rPr>
                <w:rFonts w:ascii="Arial Narrow" w:eastAsia="Calibri" w:hAnsi="Arial Narrow" w:cs="Calibri"/>
                <w:b/>
                <w:bCs/>
                <w:noProof/>
                <w:kern w:val="0"/>
                <w:sz w:val="16"/>
                <w:szCs w:val="16"/>
                <w:lang w:val="en-US"/>
                <w14:ligatures w14:val="none"/>
              </w:rPr>
              <w:t>1.2.1.2.i. Increasing energy efficiency in business  in the form of a combined financial instrument</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4E22941"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3557B41"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9F1544">
              <w:rPr>
                <w:rFonts w:ascii="Arial Narrow" w:eastAsia="Calibri" w:hAnsi="Arial Narrow" w:cs="Calibri"/>
                <w:noProof/>
                <w:kern w:val="0"/>
                <w:sz w:val="14"/>
                <w:szCs w:val="14"/>
                <w:lang w:val="en-US"/>
                <w14:ligatures w14:val="none"/>
              </w:rPr>
              <w:t xml:space="preserve">Entry into force of the Support Programme for </w:t>
            </w:r>
            <w:r w:rsidRPr="009F1544">
              <w:rPr>
                <w:rFonts w:ascii="Arial Narrow" w:eastAsia="Calibri" w:hAnsi="Arial Narrow" w:cs="Calibri"/>
                <w:noProof/>
                <w:kern w:val="0"/>
                <w:sz w:val="12"/>
                <w:szCs w:val="12"/>
                <w:lang w:val="en-US"/>
                <w14:ligatures w14:val="none"/>
              </w:rPr>
              <w:t>Entrepreneuria</w:t>
            </w:r>
            <w:r w:rsidRPr="009F1544">
              <w:rPr>
                <w:rFonts w:ascii="Arial Narrow" w:eastAsia="Calibri" w:hAnsi="Arial Narrow" w:cs="Calibri"/>
                <w:noProof/>
                <w:kern w:val="0"/>
                <w:sz w:val="14"/>
                <w:szCs w:val="14"/>
                <w:lang w:val="en-US"/>
                <w14:ligatures w14:val="none"/>
              </w:rPr>
              <w:t>l Energy Efficiency</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16641E1"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Entry into force of Regulation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AFA49B3"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N/A</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6EEA46B2"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CA6FF72"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1DA277BB"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CD80710"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2022</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693F19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Altum</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4A8F72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111EEC0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6A50FC5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w:t>
            </w:r>
          </w:p>
          <w:p w14:paraId="3FED79DC"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a) a copy of the regulation of the Cabinet of Ministers and the link to </w:t>
            </w:r>
            <w:r w:rsidRPr="00BA1475">
              <w:rPr>
                <w:rFonts w:ascii="Arial Narrow" w:eastAsia="Calibri" w:hAnsi="Arial Narrow" w:cs="Calibri"/>
                <w:noProof/>
                <w:kern w:val="0"/>
                <w:sz w:val="16"/>
                <w:szCs w:val="16"/>
                <w:lang w:val="en-US"/>
                <w14:ligatures w14:val="none"/>
              </w:rPr>
              <w:lastRenderedPageBreak/>
              <w:t>the publication in the Official Journal including a reference to the provision indicating the entry into force;</w:t>
            </w:r>
          </w:p>
          <w:p w14:paraId="1468C81D"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b) explanation how the following eligibility criteria are established:</w:t>
            </w:r>
          </w:p>
          <w:p w14:paraId="12D1B630" w14:textId="77777777" w:rsidR="00BA1475" w:rsidRPr="00BA1475" w:rsidRDefault="00BA1475" w:rsidP="00BA1475">
            <w:pPr>
              <w:numPr>
                <w:ilvl w:val="0"/>
                <w:numId w:val="17"/>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the </w:t>
            </w:r>
            <w:r w:rsidRPr="00BA1475">
              <w:rPr>
                <w:rFonts w:ascii="Arial Narrow" w:eastAsia="MS Mincho" w:hAnsi="Arial Narrow" w:cs="Times New Roman"/>
                <w:noProof/>
                <w:kern w:val="0"/>
                <w:sz w:val="16"/>
                <w:szCs w:val="16"/>
                <w:lang w:val="en-GB"/>
                <w14:ligatures w14:val="none"/>
              </w:rPr>
              <w:t>requirements of applicable intervention field 024.ter of Annex VI to the RRF Regulation</w:t>
            </w:r>
            <w:r w:rsidRPr="00BA1475">
              <w:rPr>
                <w:rFonts w:ascii="Arial Narrow" w:eastAsia="Calibri" w:hAnsi="Arial Narrow" w:cs="Calibri"/>
                <w:noProof/>
                <w:kern w:val="0"/>
                <w:sz w:val="16"/>
                <w:szCs w:val="16"/>
                <w:lang w:val="en-GB"/>
                <w14:ligatures w14:val="none"/>
              </w:rPr>
              <w:t>;</w:t>
            </w:r>
          </w:p>
          <w:p w14:paraId="12470504" w14:textId="77777777" w:rsidR="00BA1475" w:rsidRPr="00BA1475" w:rsidRDefault="00BA1475" w:rsidP="00BA1475">
            <w:pPr>
              <w:numPr>
                <w:ilvl w:val="0"/>
                <w:numId w:val="17"/>
              </w:numPr>
              <w:spacing w:after="0" w:line="240" w:lineRule="auto"/>
              <w:contextualSpacing/>
              <w:rPr>
                <w:rFonts w:ascii="Arial Narrow" w:eastAsia="Calibri"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the existence of a minimum threshold for energy savings per euro of public funding invested as an eligibility criterion for the project;</w:t>
            </w:r>
          </w:p>
          <w:p w14:paraId="4998190F" w14:textId="77777777" w:rsidR="00BA1475" w:rsidRPr="00BA1475" w:rsidRDefault="00BA1475" w:rsidP="00BA1475">
            <w:pPr>
              <w:numPr>
                <w:ilvl w:val="0"/>
                <w:numId w:val="17"/>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compliance with the DNSH principles in line with the DNSH Technical Guidance (2021/C58/01) and with relevant EU and national legislation;</w:t>
            </w:r>
          </w:p>
          <w:p w14:paraId="6B062D89" w14:textId="77777777" w:rsidR="00BA1475" w:rsidRPr="00BA1475" w:rsidRDefault="00BA1475" w:rsidP="00BA1475">
            <w:pPr>
              <w:numPr>
                <w:ilvl w:val="0"/>
                <w:numId w:val="17"/>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use of </w:t>
            </w:r>
            <w:r w:rsidRPr="00BA1475">
              <w:rPr>
                <w:rFonts w:ascii="Arial Narrow" w:eastAsia="MS Mincho" w:hAnsi="Arial Narrow" w:cs="Times New Roman"/>
                <w:noProof/>
                <w:kern w:val="0"/>
                <w:sz w:val="16"/>
                <w:szCs w:val="16"/>
                <w:lang w:val="en-GB"/>
                <w14:ligatures w14:val="none"/>
              </w:rPr>
              <w:t>competitive tendering for projects with the highest expected energy savings per one euro invested.</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670DDFD9" w14:textId="77777777" w:rsidR="00BA1475" w:rsidRPr="00BA1475" w:rsidRDefault="00BA1475" w:rsidP="00BA1475">
            <w:pPr>
              <w:spacing w:after="0" w:line="240" w:lineRule="auto"/>
              <w:contextualSpacing/>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lastRenderedPageBreak/>
              <w:t>Entry into force of Regulation approved by the Cabinet of Ministers supporting the implementation of programmes to improve energy efficiency of businesses.</w:t>
            </w:r>
          </w:p>
          <w:p w14:paraId="1A516412" w14:textId="77777777" w:rsidR="00BA1475" w:rsidRPr="00BA1475" w:rsidRDefault="00BA1475" w:rsidP="00BA1475">
            <w:pPr>
              <w:spacing w:after="0" w:line="240" w:lineRule="auto"/>
              <w:contextualSpacing/>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 xml:space="preserve">The support programmes shall be implemented in the form of a combined financial instrument, which is a repayable loan and a capital discount. </w:t>
            </w:r>
          </w:p>
          <w:p w14:paraId="3F78D105" w14:textId="77777777" w:rsidR="00BA1475" w:rsidRPr="00BA1475" w:rsidRDefault="00BA1475" w:rsidP="00BA1475">
            <w:pPr>
              <w:spacing w:after="0" w:line="240" w:lineRule="auto"/>
              <w:contextualSpacing/>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 xml:space="preserve">As eligibility criteria to reflect requirements </w:t>
            </w:r>
            <w:r w:rsidRPr="00BA1475">
              <w:rPr>
                <w:rFonts w:ascii="Arial Narrow" w:eastAsia="MS Mincho" w:hAnsi="Arial Narrow" w:cs="Times New Roman"/>
                <w:noProof/>
                <w:kern w:val="0"/>
                <w:sz w:val="16"/>
                <w:szCs w:val="16"/>
                <w:lang w:val="en-GB"/>
                <w14:ligatures w14:val="none"/>
              </w:rPr>
              <w:lastRenderedPageBreak/>
              <w:t>of applicable intervention field “024.ter – Energy efficiency and demonstration projects in SMEs or large enterprises and support measures meeting energy efficiency criteria [3]” of Annex VI of the RRF Regulation the aid conditions shall set a minimum primary energy saving of 30 % for energy efficiency projects in buildings and for equipment, a minimum of 30 % of average primary energy savings in the project portfolio of the RRF measure (with at least 25 % for energy efficiency equipment).</w:t>
            </w:r>
          </w:p>
          <w:p w14:paraId="18F7756D" w14:textId="77777777" w:rsidR="00BA1475" w:rsidRPr="00BA1475" w:rsidRDefault="00BA1475" w:rsidP="00BA1475">
            <w:pPr>
              <w:spacing w:after="0" w:line="240" w:lineRule="auto"/>
              <w:contextualSpacing/>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In order to ensure that results are achieved, the conditions shall include a minimum threshold for energy savings per euro of public funding invested as an eligibility criterion for the project.</w:t>
            </w:r>
          </w:p>
          <w:p w14:paraId="68608A72" w14:textId="77777777" w:rsidR="00BA1475" w:rsidRPr="00BA1475" w:rsidRDefault="00BA1475" w:rsidP="00BA1475">
            <w:pPr>
              <w:spacing w:after="0" w:line="240" w:lineRule="auto"/>
              <w:contextualSpacing/>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The conditions shall include eligibility criteria to ensure compliance with the DNSH principles in line with the DNSH Guidelines (2021/C58/01) and with relevant EU and national legislation.</w:t>
            </w:r>
          </w:p>
          <w:p w14:paraId="5AAC2BED" w14:textId="77777777" w:rsidR="00BA1475" w:rsidRPr="00BA1475" w:rsidRDefault="00BA1475" w:rsidP="00BA1475">
            <w:pPr>
              <w:spacing w:after="0" w:line="240" w:lineRule="auto"/>
              <w:contextualSpacing/>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Support shall be provided through competitive tendering for projects with the highest expected energy savings per one euro invested.</w:t>
            </w:r>
          </w:p>
        </w:tc>
      </w:tr>
      <w:tr w:rsidR="00FA2B88" w:rsidRPr="00BA1475" w14:paraId="14B7D70B"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0E1556FD"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lastRenderedPageBreak/>
              <w:t>11</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63B6E20D" w14:textId="77777777" w:rsidR="00BA1475" w:rsidRPr="00BA1475" w:rsidRDefault="00BA1475" w:rsidP="00BA1475">
            <w:pPr>
              <w:spacing w:after="0" w:line="240" w:lineRule="auto"/>
              <w:rPr>
                <w:rFonts w:ascii="Arial Narrow" w:eastAsia="Calibri" w:hAnsi="Arial Narrow" w:cs="Calibri"/>
                <w:b/>
                <w:bCs/>
                <w:noProof/>
                <w:kern w:val="0"/>
                <w:sz w:val="16"/>
                <w:szCs w:val="16"/>
                <w:lang w:val="en-GB"/>
                <w14:ligatures w14:val="none"/>
              </w:rPr>
            </w:pPr>
            <w:r w:rsidRPr="00BA1475">
              <w:rPr>
                <w:rFonts w:ascii="Arial Narrow" w:eastAsia="Calibri" w:hAnsi="Arial Narrow" w:cs="Calibri"/>
                <w:b/>
                <w:bCs/>
                <w:noProof/>
                <w:kern w:val="0"/>
                <w:sz w:val="16"/>
                <w:szCs w:val="16"/>
                <w:lang w:val="en-GB"/>
                <w14:ligatures w14:val="none"/>
              </w:rPr>
              <w:t>1.2.1.2.i. Increasing energy efficiency in business in the form of a combined financial instrument</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A0B0B2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4B6B4E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Planned GHG emission savings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045BEB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EB2DF1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Co2 equivalent in t/year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3F25DA1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A2D531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11 498</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7D8866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38A9AF8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0BED2A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ALTUM</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3A38AD6"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0412027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(based on expected emission savings) was satisfactorily fulfilled, with appropriate links to the underlying evidence including a detailed explanation of the method used to calculate expected emission savings.</w:t>
            </w:r>
          </w:p>
          <w:p w14:paraId="41F671F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267E000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In the cases of ETS installations, this document shall contain the following information: </w:t>
            </w:r>
          </w:p>
          <w:p w14:paraId="4AD4898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56ABD5BB" w14:textId="77777777" w:rsidR="00BA1475" w:rsidRPr="00BA1475" w:rsidRDefault="00BA1475" w:rsidP="00BA1475">
            <w:pPr>
              <w:tabs>
                <w:tab w:val="left" w:pos="329"/>
              </w:tabs>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1)</w:t>
            </w:r>
            <w:r w:rsidRPr="00BA1475">
              <w:rPr>
                <w:rFonts w:ascii="Arial Narrow" w:eastAsia="Calibri" w:hAnsi="Arial Narrow" w:cs="Calibri"/>
                <w:noProof/>
                <w:kern w:val="0"/>
                <w:sz w:val="16"/>
                <w:szCs w:val="16"/>
                <w:lang w:val="en-GB"/>
                <w14:ligatures w14:val="none"/>
              </w:rPr>
              <w:tab/>
              <w:t xml:space="preserve">Installation ID/Aircraft Operator ID in the European Union Transaction Log (EUTL) as established by Art. 5 of the Commission Regulation (EU) 389/2013; </w:t>
            </w:r>
          </w:p>
          <w:p w14:paraId="193345C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5F0954EF" w14:textId="77777777" w:rsidR="00BA1475" w:rsidRPr="00BA1475" w:rsidRDefault="00BA1475" w:rsidP="00BA1475">
            <w:pPr>
              <w:tabs>
                <w:tab w:val="left" w:pos="329"/>
              </w:tabs>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2)</w:t>
            </w:r>
            <w:r w:rsidRPr="00BA1475">
              <w:rPr>
                <w:rFonts w:ascii="Arial Narrow" w:eastAsia="Calibri" w:hAnsi="Arial Narrow" w:cs="Calibri"/>
                <w:noProof/>
                <w:kern w:val="0"/>
                <w:sz w:val="16"/>
                <w:szCs w:val="16"/>
                <w:lang w:val="en-GB"/>
                <w14:ligatures w14:val="none"/>
              </w:rPr>
              <w:tab/>
              <w:t xml:space="preserve">The projected level of GHG emissions per unit of product for </w:t>
            </w:r>
            <w:r w:rsidRPr="00BA1475">
              <w:rPr>
                <w:rFonts w:ascii="Arial Narrow" w:eastAsia="Calibri" w:hAnsi="Arial Narrow" w:cs="Calibri"/>
                <w:noProof/>
                <w:kern w:val="0"/>
                <w:sz w:val="16"/>
                <w:szCs w:val="16"/>
                <w:lang w:val="en-GB"/>
                <w14:ligatures w14:val="none"/>
              </w:rPr>
              <w:lastRenderedPageBreak/>
              <w:t xml:space="preserve">awarded projects with activities under the EU ETS; </w:t>
            </w:r>
          </w:p>
          <w:p w14:paraId="040C4D0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66F32D0D" w14:textId="77777777" w:rsidR="00BA1475" w:rsidRPr="00BA1475" w:rsidRDefault="00BA1475" w:rsidP="00BA1475">
            <w:pPr>
              <w:tabs>
                <w:tab w:val="left" w:pos="329"/>
              </w:tabs>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3)</w:t>
            </w:r>
            <w:r w:rsidRPr="00BA1475">
              <w:rPr>
                <w:rFonts w:ascii="Arial Narrow" w:eastAsia="Calibri" w:hAnsi="Arial Narrow" w:cs="Calibri"/>
                <w:noProof/>
                <w:kern w:val="0"/>
                <w:sz w:val="16"/>
                <w:szCs w:val="16"/>
                <w:lang w:val="en-GB"/>
                <w14:ligatures w14:val="none"/>
              </w:rPr>
              <w:tab/>
              <w:t>Brief description of the project and technologies used.</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A143812"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lastRenderedPageBreak/>
              <w:t>Greenhouse Gases emissions savings, in Co2 equivalent per ton, based on expected emission savings as a result of the measure.</w:t>
            </w:r>
          </w:p>
        </w:tc>
      </w:tr>
      <w:tr w:rsidR="00FA2B88" w:rsidRPr="00BA1475" w14:paraId="24F9FA7E"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6BC185E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12</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7A3BD97E"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en-US"/>
                <w14:ligatures w14:val="none"/>
              </w:rPr>
            </w:pPr>
            <w:r w:rsidRPr="00BA1475">
              <w:rPr>
                <w:rFonts w:ascii="Arial Narrow" w:eastAsia="MS Mincho" w:hAnsi="Arial Narrow" w:cs="Times New Roman"/>
                <w:b/>
                <w:bCs/>
                <w:noProof/>
                <w:kern w:val="0"/>
                <w:sz w:val="16"/>
                <w:szCs w:val="16"/>
                <w:lang w:val="en-US"/>
                <w14:ligatures w14:val="none"/>
              </w:rPr>
              <w:t>1.2.1.2.i. Increasing energy efficiency in business in the form of a combined financial instrument</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513B57A"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025E927"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Approved projects representing at least EUR 108 000 000</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96E6339"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AE14451"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EUR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F06C39F"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18B8FB1"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108 000 000</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214467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Q4</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EE0939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88B809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AD2200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7A23F60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 including a list of approved projects and their amounts.</w:t>
            </w:r>
          </w:p>
          <w:p w14:paraId="50A22E9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78E1BAE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In the cases of ETS installations, this document shall contain the following information: </w:t>
            </w:r>
          </w:p>
          <w:p w14:paraId="06CC39A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63CBF6A8" w14:textId="77777777" w:rsidR="00BA1475" w:rsidRPr="00BA1475" w:rsidRDefault="00BA1475" w:rsidP="00BA1475">
            <w:pPr>
              <w:tabs>
                <w:tab w:val="left" w:pos="329"/>
              </w:tabs>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1)</w:t>
            </w:r>
            <w:r w:rsidRPr="00BA1475">
              <w:rPr>
                <w:rFonts w:ascii="Arial Narrow" w:eastAsia="Calibri" w:hAnsi="Arial Narrow" w:cs="Calibri"/>
                <w:noProof/>
                <w:kern w:val="0"/>
                <w:sz w:val="16"/>
                <w:szCs w:val="16"/>
                <w:lang w:val="en-GB"/>
                <w14:ligatures w14:val="none"/>
              </w:rPr>
              <w:tab/>
              <w:t xml:space="preserve">Installation ID/Aircraft Operator ID in the European Union Transaction Log (EUTL) as established by Art. 5 of the Commission Regulation (EU) 389/2013; </w:t>
            </w:r>
          </w:p>
          <w:p w14:paraId="22C2801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1AB801BE" w14:textId="77777777" w:rsidR="00BA1475" w:rsidRPr="00BA1475" w:rsidRDefault="00BA1475" w:rsidP="00BA1475">
            <w:pPr>
              <w:tabs>
                <w:tab w:val="left" w:pos="329"/>
              </w:tabs>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2)</w:t>
            </w:r>
            <w:r w:rsidRPr="00BA1475">
              <w:rPr>
                <w:rFonts w:ascii="Arial Narrow" w:eastAsia="Calibri" w:hAnsi="Arial Narrow" w:cs="Calibri"/>
                <w:noProof/>
                <w:kern w:val="0"/>
                <w:sz w:val="16"/>
                <w:szCs w:val="16"/>
                <w:lang w:val="en-GB"/>
                <w14:ligatures w14:val="none"/>
              </w:rPr>
              <w:tab/>
              <w:t xml:space="preserve">The projected level of GHG emissions per unit of product for awarded projects with activities under the EU ETS; </w:t>
            </w:r>
          </w:p>
          <w:p w14:paraId="2027894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27CA2590" w14:textId="77777777" w:rsidR="00BA1475" w:rsidRPr="00BA1475" w:rsidRDefault="00BA1475" w:rsidP="00BA1475">
            <w:pPr>
              <w:tabs>
                <w:tab w:val="left" w:pos="329"/>
              </w:tabs>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3)</w:t>
            </w:r>
            <w:r w:rsidRPr="00BA1475">
              <w:rPr>
                <w:rFonts w:ascii="Arial Narrow" w:eastAsia="Calibri" w:hAnsi="Arial Narrow" w:cs="Calibri"/>
                <w:noProof/>
                <w:kern w:val="0"/>
                <w:sz w:val="16"/>
                <w:szCs w:val="16"/>
                <w:lang w:val="en-GB"/>
                <w14:ligatures w14:val="none"/>
              </w:rPr>
              <w:tab/>
              <w:t>Brief description of the project and technologies used.</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10FC4B4"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Approved projects representing at least EUR 108 000 000.</w:t>
            </w:r>
          </w:p>
        </w:tc>
      </w:tr>
      <w:tr w:rsidR="00FA2B88" w:rsidRPr="00BA1475" w14:paraId="49A52C47"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250B8A1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13</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46BD77C9"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en-US"/>
                <w14:ligatures w14:val="none"/>
              </w:rPr>
            </w:pPr>
            <w:r w:rsidRPr="00BA1475">
              <w:rPr>
                <w:rFonts w:ascii="Arial Narrow" w:eastAsia="MS Mincho" w:hAnsi="Arial Narrow" w:cs="Times New Roman"/>
                <w:b/>
                <w:bCs/>
                <w:noProof/>
                <w:kern w:val="0"/>
                <w:sz w:val="16"/>
                <w:szCs w:val="16"/>
                <w:lang w:val="en-US"/>
                <w14:ligatures w14:val="none"/>
              </w:rPr>
              <w:t>1.2.1.3.i. Improving municipal buildings and infrastructure by promoting the transition to renewable energy technologies and improving energy efficiency</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DA93548"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F6DEE24" w14:textId="722E88EB"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Entry into force of the legal framework for a support programme to improve energy efficiency in municipal </w:t>
            </w:r>
            <w:r w:rsidRPr="009F1544">
              <w:rPr>
                <w:rFonts w:ascii="Arial Narrow" w:eastAsia="MS Mincho" w:hAnsi="Arial Narrow" w:cs="Times New Roman"/>
                <w:noProof/>
                <w:kern w:val="0"/>
                <w:sz w:val="14"/>
                <w:szCs w:val="14"/>
                <w:lang w:val="en-US"/>
                <w14:ligatures w14:val="none"/>
              </w:rPr>
              <w:t xml:space="preserve">infrastructure, </w:t>
            </w:r>
            <w:r w:rsidRPr="00BA1475">
              <w:rPr>
                <w:rFonts w:ascii="Arial Narrow" w:eastAsia="MS Mincho" w:hAnsi="Arial Narrow" w:cs="Times New Roman"/>
                <w:noProof/>
                <w:kern w:val="0"/>
                <w:sz w:val="16"/>
                <w:szCs w:val="16"/>
                <w:lang w:val="en-US"/>
                <w14:ligatures w14:val="none"/>
              </w:rPr>
              <w:t>which supports projects with a planned reduction of primary energy or CO2 by at least 30</w:t>
            </w:r>
            <w:r w:rsidR="009F1544">
              <w:rPr>
                <w:rFonts w:ascii="Arial Narrow" w:eastAsia="MS Mincho" w:hAnsi="Arial Narrow" w:cs="Times New Roman"/>
                <w:noProof/>
                <w:kern w:val="0"/>
                <w:sz w:val="16"/>
                <w:szCs w:val="16"/>
                <w:lang w:val="en-US"/>
                <w14:ligatures w14:val="none"/>
              </w:rPr>
              <w:t>%</w:t>
            </w:r>
            <w:r w:rsidRPr="00BA1475">
              <w:rPr>
                <w:rFonts w:ascii="Arial Narrow" w:eastAsia="MS Mincho" w:hAnsi="Arial Narrow" w:cs="Times New Roman"/>
                <w:noProof/>
                <w:kern w:val="0"/>
                <w:sz w:val="16"/>
                <w:szCs w:val="16"/>
                <w:lang w:val="en-US"/>
                <w14:ligatures w14:val="none"/>
              </w:rPr>
              <w: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7558C9C"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Entry into force of Cabinet Regulation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7FFF29E"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310B8F36"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381CF2E"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45F5D2E7"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Q4</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2A8D4C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2022</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1F8204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6FBF86D"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4B763EE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Regulation of the Cabinet of Ministers and a link to the publication in the Official Journal, including a reference to the provision indicating the entry into force, accompanied by a summary document duly justifying how the milestone was satisfactorily fulfilled with appropriate links to the underlying evidence. It shall notably explain how the requirements of applicable intervention field 026 bis are met.</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257B41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Entry into force of Cabinet Regulation laying down implementing conditions for improvement of local government buildings and infrastructure, promoting the transition to the use of renewable energy technologies and improving energy efficiency,  with eligibility criteria to reflect requirements of applicable intervention field “026 bis – Energy recovery or energy efficiency measures for public infrastructure, demonstration projects and support measures meeting energy efficiency criteria” of Annex VI of the RRF Regulation</w:t>
            </w:r>
          </w:p>
        </w:tc>
      </w:tr>
      <w:tr w:rsidR="00FA2B88" w:rsidRPr="00BA1475" w14:paraId="746EBED9"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60A069AC"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lastRenderedPageBreak/>
              <w:t>14</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0502C913"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en-US"/>
                <w14:ligatures w14:val="none"/>
              </w:rPr>
            </w:pPr>
            <w:r w:rsidRPr="00BA1475">
              <w:rPr>
                <w:rFonts w:ascii="Arial Narrow" w:eastAsia="MS Mincho" w:hAnsi="Arial Narrow" w:cs="Times New Roman"/>
                <w:b/>
                <w:bCs/>
                <w:noProof/>
                <w:kern w:val="0"/>
                <w:sz w:val="16"/>
                <w:szCs w:val="16"/>
                <w:lang w:val="en-US"/>
                <w14:ligatures w14:val="none"/>
              </w:rPr>
              <w:t>1.2.1.3.i. Improving municipal buildings and infrastructure by promoting the transition to renewable energy technologies and improving energy efficiency</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6E88C5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25D7093" w14:textId="77777777" w:rsidR="00BA1475" w:rsidRPr="009F1544" w:rsidRDefault="00BA1475" w:rsidP="00BA1475">
            <w:pPr>
              <w:spacing w:after="0" w:line="240" w:lineRule="auto"/>
              <w:rPr>
                <w:rFonts w:ascii="Arial Narrow" w:eastAsia="MS Mincho" w:hAnsi="Arial Narrow" w:cs="Times New Roman"/>
                <w:noProof/>
                <w:kern w:val="0"/>
                <w:sz w:val="14"/>
                <w:szCs w:val="14"/>
                <w:lang w:val="en-US"/>
                <w14:ligatures w14:val="none"/>
              </w:rPr>
            </w:pPr>
            <w:r w:rsidRPr="009F1544">
              <w:rPr>
                <w:rFonts w:ascii="Arial Narrow" w:eastAsia="MS Mincho" w:hAnsi="Arial Narrow" w:cs="Times New Roman"/>
                <w:noProof/>
                <w:kern w:val="0"/>
                <w:sz w:val="14"/>
                <w:szCs w:val="14"/>
                <w:lang w:val="en-US"/>
                <w14:ligatures w14:val="none"/>
              </w:rPr>
              <w:t>Award of contracts for the implementation of energy efficiency improvement projects for local government buildings and infrastructure for at least EUR 27 838 800</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5B4985C"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C45DCE9"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EUR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F38A82A"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B984514"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27 838 800</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3B9EC05F"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Q4</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446C784"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A60E5F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bookmarkStart w:id="5" w:name="_Hlk89429087"/>
            <w:r w:rsidRPr="00BA1475">
              <w:rPr>
                <w:rFonts w:ascii="Arial Narrow" w:eastAsia="Calibri" w:hAnsi="Arial Narrow" w:cs="Calibri"/>
                <w:noProof/>
                <w:kern w:val="0"/>
                <w:sz w:val="16"/>
                <w:szCs w:val="16"/>
                <w:lang w:val="en-GB"/>
                <w14:ligatures w14:val="none"/>
              </w:rPr>
              <w:t>Ministry of Smart Administration and Regional Development</w:t>
            </w:r>
            <w:bookmarkEnd w:id="5"/>
            <w:r w:rsidRPr="00BA1475">
              <w:rPr>
                <w:rFonts w:ascii="Arial Narrow" w:eastAsia="Calibri" w:hAnsi="Arial Narrow" w:cs="Calibri"/>
                <w:noProof/>
                <w:kern w:val="0"/>
                <w:sz w:val="16"/>
                <w:szCs w:val="16"/>
                <w:lang w:val="en-GB"/>
                <w14:ligatures w14:val="none"/>
              </w:rPr>
              <w:t xml:space="preserve">, </w:t>
            </w:r>
            <w:bookmarkStart w:id="6" w:name="_Hlk89429063"/>
            <w:r w:rsidRPr="00BA1475">
              <w:rPr>
                <w:rFonts w:ascii="Arial Narrow" w:eastAsia="Calibri" w:hAnsi="Arial Narrow" w:cs="Calibri"/>
                <w:noProof/>
                <w:kern w:val="0"/>
                <w:sz w:val="16"/>
                <w:szCs w:val="16"/>
                <w:lang w:val="en-GB"/>
                <w14:ligatures w14:val="none"/>
              </w:rPr>
              <w:t>Central Finance and Contracting Agency</w:t>
            </w:r>
            <w:bookmarkEnd w:id="6"/>
            <w:r w:rsidRPr="00BA1475">
              <w:rPr>
                <w:rFonts w:ascii="Arial Narrow" w:eastAsia="Calibri" w:hAnsi="Arial Narrow" w:cs="Calibri"/>
                <w:noProof/>
                <w:kern w:val="0"/>
                <w:sz w:val="16"/>
                <w:szCs w:val="16"/>
                <w:lang w:val="en-GB"/>
                <w14:ligatures w14:val="none"/>
              </w:rPr>
              <w:t>, local authorities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2636530"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2A2DB33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was satisfactorily fulfilled, with appropriate links to the underlying evidence including a list of awarded contracts and their amounts.</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3640F11D"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Notification of the award of contracts for at least EUR 27 838 800.</w:t>
            </w:r>
          </w:p>
        </w:tc>
      </w:tr>
      <w:tr w:rsidR="00FA2B88" w:rsidRPr="00BA1475" w14:paraId="19A5247A"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579C7873"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15</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28C5CA17"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en-US"/>
                <w14:ligatures w14:val="none"/>
              </w:rPr>
            </w:pPr>
            <w:r w:rsidRPr="00BA1475">
              <w:rPr>
                <w:rFonts w:ascii="Arial Narrow" w:eastAsia="MS Mincho" w:hAnsi="Arial Narrow" w:cs="Times New Roman"/>
                <w:b/>
                <w:bCs/>
                <w:noProof/>
                <w:kern w:val="0"/>
                <w:sz w:val="16"/>
                <w:szCs w:val="16"/>
                <w:lang w:val="en-US"/>
                <w14:ligatures w14:val="none"/>
              </w:rPr>
              <w:t>1.2.1.3.i. Improving municipal buildings and infrastructure by promoting the transition to renewable energy technologies and improving energy efficiency</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6E6A6ED"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Target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99EB262"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Reduction in primary energy consumption in municipal buildings and infrastructure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82E1CBC"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114EE9"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KWh/Year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F0D08CD"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7773E"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4 544 563</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946460A"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Q4</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7F9B02C"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2025</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0E846D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 local authorities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9F2DBE2"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34EA39E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18BC33B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w:t>
            </w:r>
          </w:p>
          <w:p w14:paraId="07193420" w14:textId="77777777" w:rsidR="00BA1475" w:rsidRPr="00BA1475" w:rsidRDefault="00BA1475" w:rsidP="00BA1475">
            <w:pPr>
              <w:numPr>
                <w:ilvl w:val="0"/>
                <w:numId w:val="26"/>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aggregated energy performance certificates before and after the renovation action; </w:t>
            </w:r>
          </w:p>
          <w:p w14:paraId="6CF16306" w14:textId="77777777" w:rsidR="00BA1475" w:rsidRPr="00BA1475" w:rsidRDefault="00BA1475" w:rsidP="00BA1475">
            <w:pPr>
              <w:numPr>
                <w:ilvl w:val="0"/>
                <w:numId w:val="26"/>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the list of structures renovated and, for each structure, the renovation actions completed, the registration numbers of the energy performance certificates before and after the renovation action, and expected energy saving achieved.</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370CE40"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Reduction in primary energy consumption in municipal buildings and infrastructure resulting from energy efficiency improvement measures in municipal buildings and infrastructure supported under the measure. Energy certificates may be used to demonstrate the reduction in primary energy consumption. The measures shall aim to reduce primary energy consumption by at least 30 %. </w:t>
            </w:r>
          </w:p>
        </w:tc>
      </w:tr>
      <w:tr w:rsidR="00FA2B88" w:rsidRPr="00BA1475" w14:paraId="51C2CC9F"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6F750AC6"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16</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782B3F71"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en-US"/>
                <w14:ligatures w14:val="none"/>
              </w:rPr>
            </w:pPr>
            <w:r w:rsidRPr="00BA1475">
              <w:rPr>
                <w:rFonts w:ascii="Arial Narrow" w:eastAsia="MS Mincho" w:hAnsi="Arial Narrow" w:cs="Times New Roman"/>
                <w:b/>
                <w:bCs/>
                <w:noProof/>
                <w:kern w:val="0"/>
                <w:sz w:val="16"/>
                <w:szCs w:val="16"/>
                <w:lang w:val="en-US"/>
                <w14:ligatures w14:val="none"/>
              </w:rPr>
              <w:t>1.2.1.4.i. Improving the energy efficiency of public sector buildings, including historical buildings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E2DD973"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FFBCCF2"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Entry into force of support programme for improving energy efficiency in national and historical buildings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9F23448"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Entry into force of support programme for improving energy efficiency in national and historical buildings approved by the Cabinet of Ministers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BCC9C3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3923064"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5A574591"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6114B253"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20A1482"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2022</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7C1B0D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CA929D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70B7678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regulation and a link to the publication in the Official Journal, including a reference to the provision indicating the entry into force, accompanied by a summary document duly justifying how the milestone was satisfactorily fulfilled with appropriate links to the underlying evidence. It shall notably explain how the requirements of applicable intervention field 026 bis of Annex VI to the RRF Regulation are met.</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470CD136"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Entry into force of a support programme for improving energy efficiency in national and historical buildings, with eligibility criteria to reflect requirements of applicable intervention field 026 bis – Energy recovery or energy efficiency measures for public infrastructure, demonstration projects and support measures meeting energy efficiency criteria of Annex VI of the RRF Regulation.</w:t>
            </w:r>
          </w:p>
        </w:tc>
      </w:tr>
      <w:tr w:rsidR="00FA2B88" w:rsidRPr="00BA1475" w14:paraId="5CE8E34E"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3930DEF5"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lastRenderedPageBreak/>
              <w:t>17</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22E625C3" w14:textId="77777777" w:rsidR="00BA1475" w:rsidRPr="00BA1475" w:rsidRDefault="00BA1475" w:rsidP="00BA1475">
            <w:pPr>
              <w:spacing w:after="0" w:line="240" w:lineRule="auto"/>
              <w:rPr>
                <w:rFonts w:ascii="Arial Narrow" w:eastAsia="MS Mincho" w:hAnsi="Arial Narrow" w:cs="Times New Roman"/>
                <w:b/>
                <w:bCs/>
                <w:noProof/>
                <w:kern w:val="0"/>
                <w:sz w:val="16"/>
                <w:szCs w:val="16"/>
                <w:lang w:val="en-US"/>
                <w14:ligatures w14:val="none"/>
              </w:rPr>
            </w:pPr>
            <w:r w:rsidRPr="00BA1475">
              <w:rPr>
                <w:rFonts w:ascii="Arial Narrow" w:eastAsia="MS Mincho" w:hAnsi="Arial Narrow" w:cs="Times New Roman"/>
                <w:b/>
                <w:bCs/>
                <w:noProof/>
                <w:kern w:val="0"/>
                <w:sz w:val="16"/>
                <w:szCs w:val="16"/>
                <w:lang w:val="en-US"/>
                <w14:ligatures w14:val="none"/>
              </w:rPr>
              <w:t>1.2.1.4.i.Improving the energy efficiency of public sector buildings, including historical buildings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2436BA0"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F84C566"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Notification of contract award for representing at least EUR 16 769 200</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3959FAA"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E1B0CC8"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EUR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EC62E32"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3E71054"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16 769 200</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26A2A06"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DDB1B44"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9B1FFE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CB3390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529FA1E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was satisfactorily fulfilled, with appropriate links to the underlying evidence including a list of awarded contracts and their amounts.</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5112E505"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Notification to beneficiaries of contract award representing at least EUR 16 769 200.</w:t>
            </w:r>
          </w:p>
        </w:tc>
      </w:tr>
      <w:tr w:rsidR="00FA2B88" w:rsidRPr="00BA1475" w14:paraId="35A641B9"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6D651627"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18</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5A0FC8CF" w14:textId="77777777" w:rsidR="00BA1475" w:rsidRPr="00BA1475" w:rsidRDefault="00BA1475" w:rsidP="00BA1475">
            <w:pPr>
              <w:spacing w:after="0" w:line="240" w:lineRule="auto"/>
              <w:jc w:val="both"/>
              <w:rPr>
                <w:rFonts w:ascii="Arial Narrow" w:eastAsia="MS Mincho" w:hAnsi="Arial Narrow" w:cs="Times New Roman"/>
                <w:b/>
                <w:noProof/>
                <w:kern w:val="0"/>
                <w:sz w:val="16"/>
                <w:szCs w:val="16"/>
                <w:lang w:val="en-US"/>
                <w14:ligatures w14:val="none"/>
              </w:rPr>
            </w:pPr>
            <w:r w:rsidRPr="00BA1475">
              <w:rPr>
                <w:rFonts w:ascii="Arial Narrow" w:eastAsia="MS Mincho" w:hAnsi="Arial Narrow" w:cs="Times New Roman"/>
                <w:b/>
                <w:noProof/>
                <w:kern w:val="0"/>
                <w:sz w:val="16"/>
                <w:szCs w:val="16"/>
                <w:lang w:val="en-US"/>
                <w14:ligatures w14:val="none"/>
              </w:rPr>
              <w:t>1.2.1.4.i. Improving the energy efficiency of public sector buildings, including historical buildings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A9783B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Target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1A5E200"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Reduction of primary energy consumption in public buildings with improved energy efficiency</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3DBC28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0C2E5E0"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MWh/Year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0FF98FA1"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407D160"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3 875</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6AF8516C"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3589EAF"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9CC828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5B95968" w14:textId="77777777" w:rsidR="00BA1475" w:rsidRPr="00BA1475" w:rsidRDefault="00BA1475" w:rsidP="00BA1475">
            <w:pPr>
              <w:spacing w:after="0" w:line="240" w:lineRule="auto"/>
              <w:jc w:val="both"/>
              <w:rPr>
                <w:rFonts w:ascii="Arial Narrow" w:eastAsia="Calibri" w:hAnsi="Arial Narrow" w:cs="Times New Roman"/>
                <w:noProof/>
                <w:kern w:val="0"/>
                <w:sz w:val="16"/>
                <w:szCs w:val="16"/>
                <w:lang w:val="en-GB"/>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32A799C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62C2A368" w14:textId="77777777" w:rsidR="00BA1475" w:rsidRPr="00BA1475" w:rsidRDefault="00BA1475" w:rsidP="00BA1475">
            <w:pPr>
              <w:spacing w:after="0" w:line="240" w:lineRule="auto"/>
              <w:rPr>
                <w:rFonts w:ascii="Arial Narrow" w:eastAsia="Arial Narrow" w:hAnsi="Arial Narrow" w:cs="Arial Narrow"/>
                <w:noProof/>
                <w:kern w:val="0"/>
                <w:sz w:val="16"/>
                <w:szCs w:val="16"/>
                <w:u w:val="single"/>
                <w:lang w:val="en-GB"/>
                <w14:ligatures w14:val="none"/>
              </w:rPr>
            </w:pPr>
            <w:r w:rsidRPr="00BA1475">
              <w:rPr>
                <w:rFonts w:ascii="Arial Narrow" w:eastAsia="Calibri" w:hAnsi="Arial Narrow" w:cs="Calibri"/>
                <w:noProof/>
                <w:kern w:val="0"/>
                <w:sz w:val="16"/>
                <w:szCs w:val="16"/>
                <w:lang w:val="en-GB"/>
                <w14:ligatures w14:val="none"/>
              </w:rPr>
              <w:t>This document shall include as an annex:</w:t>
            </w:r>
          </w:p>
          <w:p w14:paraId="6003B741" w14:textId="77777777" w:rsidR="00BA1475" w:rsidRPr="00BA1475" w:rsidRDefault="00BA1475" w:rsidP="00BA1475">
            <w:pPr>
              <w:numPr>
                <w:ilvl w:val="0"/>
                <w:numId w:val="25"/>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aggregated energy performance certificates before and after the renovation action; </w:t>
            </w:r>
          </w:p>
          <w:p w14:paraId="099A16BA" w14:textId="77777777" w:rsidR="00BA1475" w:rsidRPr="00BA1475" w:rsidRDefault="00BA1475" w:rsidP="00BA1475">
            <w:pPr>
              <w:numPr>
                <w:ilvl w:val="0"/>
                <w:numId w:val="25"/>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The list of structures renovated and, for each structure, the renovation actions completed, the registration numbers of the energy performance certificates before and after the renovation action, and expected energy saving achieved.</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7669670"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US"/>
                <w14:ligatures w14:val="none"/>
              </w:rPr>
              <w:t>Reduction of primary energy consumption in public buildings with improved energy efficiency resulting from the investments supported under the measure. Energy certificates may be used to demonstrate the reduction in primary energy consumption.</w:t>
            </w:r>
          </w:p>
        </w:tc>
      </w:tr>
      <w:tr w:rsidR="00FA2B88" w:rsidRPr="00BA1475" w14:paraId="774A7AF3"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46341393"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19</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56DFBF2D" w14:textId="77777777" w:rsidR="00BA1475" w:rsidRPr="00BA1475" w:rsidRDefault="00BA1475" w:rsidP="00BA1475">
            <w:pPr>
              <w:spacing w:after="0" w:line="240" w:lineRule="auto"/>
              <w:jc w:val="both"/>
              <w:rPr>
                <w:rFonts w:ascii="Arial Narrow" w:eastAsia="MS Mincho" w:hAnsi="Arial Narrow" w:cs="Times New Roman"/>
                <w:b/>
                <w:noProof/>
                <w:kern w:val="0"/>
                <w:sz w:val="16"/>
                <w:szCs w:val="16"/>
                <w:lang w:val="en-US"/>
                <w14:ligatures w14:val="none"/>
              </w:rPr>
            </w:pPr>
            <w:r w:rsidRPr="00BA1475">
              <w:rPr>
                <w:rFonts w:ascii="Arial Narrow" w:eastAsia="MS Mincho" w:hAnsi="Arial Narrow" w:cs="Times New Roman"/>
                <w:b/>
                <w:noProof/>
                <w:kern w:val="0"/>
                <w:sz w:val="16"/>
                <w:szCs w:val="16"/>
                <w:lang w:val="en-US"/>
                <w14:ligatures w14:val="none"/>
              </w:rPr>
              <w:t>1.2.1.5.i. Modernisation of electricity transmission and distribution networks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0B5F3D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F587EC9"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Notification of contracts award to projects approved for EUR 80 000 000.</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104AC47"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B51EFA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EUR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1643EB9"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DC723B0"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80 000 000</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1BB0E0AB"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BA7CFC4"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2023</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FDA95A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FAB0C0B"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7FF9D19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was satisfactorily fulfilled, with appropriate links to the underlying evidence including a list of notified awarded contracts and their amounts.</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2DE9A422"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Notification to beneficiaries of contracts award to projects approved for EUR 80 000 000.</w:t>
            </w:r>
          </w:p>
        </w:tc>
      </w:tr>
      <w:tr w:rsidR="00FA2B88" w:rsidRPr="00BA1475" w14:paraId="3FB5EF91" w14:textId="77777777" w:rsidTr="009C5ECA">
        <w:trPr>
          <w:trHeight w:val="829"/>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7F5BAAD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7AB70ABE" w14:textId="77777777" w:rsidR="00BA1475" w:rsidRPr="00BA1475" w:rsidRDefault="00BA1475" w:rsidP="00BA1475">
            <w:pPr>
              <w:spacing w:after="0" w:line="240" w:lineRule="auto"/>
              <w:jc w:val="both"/>
              <w:rPr>
                <w:rFonts w:ascii="Arial Narrow" w:eastAsia="MS Mincho" w:hAnsi="Arial Narrow" w:cs="Times New Roman"/>
                <w:b/>
                <w:noProof/>
                <w:kern w:val="0"/>
                <w:sz w:val="16"/>
                <w:szCs w:val="16"/>
                <w:lang w:val="en-US"/>
                <w14:ligatures w14:val="none"/>
              </w:rPr>
            </w:pPr>
            <w:r w:rsidRPr="00BA1475">
              <w:rPr>
                <w:rFonts w:ascii="Arial Narrow" w:eastAsia="MS Mincho" w:hAnsi="Arial Narrow" w:cs="Times New Roman"/>
                <w:b/>
                <w:noProof/>
                <w:kern w:val="0"/>
                <w:sz w:val="16"/>
                <w:szCs w:val="16"/>
                <w:lang w:val="en-US"/>
                <w14:ligatures w14:val="none"/>
              </w:rPr>
              <w:t>1.2.1.5.i. Modernisation of electricity transmission and distribution networks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B242437"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48E424D"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Connection points for electric vehicles charging and/or </w:t>
            </w:r>
            <w:r w:rsidRPr="009F1544">
              <w:rPr>
                <w:rFonts w:ascii="Arial Narrow" w:eastAsia="MS Mincho" w:hAnsi="Arial Narrow" w:cs="Times New Roman"/>
                <w:noProof/>
                <w:kern w:val="0"/>
                <w:sz w:val="14"/>
                <w:szCs w:val="14"/>
                <w:lang w:val="en-US"/>
                <w14:ligatures w14:val="none"/>
              </w:rPr>
              <w:t xml:space="preserve">microgeneration </w:t>
            </w:r>
            <w:r w:rsidRPr="00BA1475">
              <w:rPr>
                <w:rFonts w:ascii="Arial Narrow" w:eastAsia="MS Mincho" w:hAnsi="Arial Narrow" w:cs="Times New Roman"/>
                <w:noProof/>
                <w:kern w:val="0"/>
                <w:sz w:val="16"/>
                <w:szCs w:val="16"/>
                <w:lang w:val="en-US"/>
                <w14:ligatures w14:val="none"/>
              </w:rPr>
              <w:t>installation</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092422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60115F4"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Number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2B42389"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73C3F5D7"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2 060</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3FBB265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9BB1E3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A83F84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3D9A29F"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2F40A93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was satisfactorily fulfilled, with appropriate links to the underlying evidence.</w:t>
            </w:r>
          </w:p>
          <w:p w14:paraId="5EA9968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w:t>
            </w:r>
          </w:p>
          <w:p w14:paraId="2B016FB2" w14:textId="77777777" w:rsidR="00BA1475" w:rsidRPr="00BA1475" w:rsidRDefault="00BA1475" w:rsidP="00BA1475">
            <w:pPr>
              <w:numPr>
                <w:ilvl w:val="0"/>
                <w:numId w:val="24"/>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the list with the locations and a short description of the operational connection points for electric vehicles charging and/or operational </w:t>
            </w:r>
            <w:r w:rsidRPr="00BA1475">
              <w:rPr>
                <w:rFonts w:ascii="Arial Narrow" w:eastAsia="Calibri" w:hAnsi="Arial Narrow" w:cs="Calibri"/>
                <w:noProof/>
                <w:kern w:val="0"/>
                <w:sz w:val="16"/>
                <w:szCs w:val="16"/>
                <w:lang w:val="en-GB"/>
                <w14:ligatures w14:val="none"/>
              </w:rPr>
              <w:lastRenderedPageBreak/>
              <w:t xml:space="preserve">microgeneration installation; </w:t>
            </w:r>
          </w:p>
          <w:p w14:paraId="7126DCA6" w14:textId="77777777" w:rsidR="00BA1475" w:rsidRPr="00BA1475" w:rsidRDefault="00BA1475" w:rsidP="00BA1475">
            <w:pPr>
              <w:numPr>
                <w:ilvl w:val="0"/>
                <w:numId w:val="24"/>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certificates proving that connection points and microgeneration installation are operational.</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AEBB61A"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lastRenderedPageBreak/>
              <w:t>Combined number of operational connection points for electric vehicles charging and/or operational microgeneration installation</w:t>
            </w:r>
          </w:p>
        </w:tc>
      </w:tr>
      <w:tr w:rsidR="00FA2B88" w:rsidRPr="00BA1475" w14:paraId="564EC8F9"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41B46BB6"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21</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4194FD62" w14:textId="77777777" w:rsidR="00BA1475" w:rsidRPr="00BA1475" w:rsidRDefault="00BA1475" w:rsidP="00BA1475">
            <w:pPr>
              <w:spacing w:after="0" w:line="240" w:lineRule="auto"/>
              <w:jc w:val="both"/>
              <w:rPr>
                <w:rFonts w:ascii="Arial Narrow" w:eastAsia="MS Mincho" w:hAnsi="Arial Narrow" w:cs="Times New Roman"/>
                <w:b/>
                <w:noProof/>
                <w:kern w:val="0"/>
                <w:sz w:val="16"/>
                <w:szCs w:val="16"/>
                <w:lang w:val="en-US"/>
                <w14:ligatures w14:val="none"/>
              </w:rPr>
            </w:pPr>
            <w:r w:rsidRPr="00BA1475">
              <w:rPr>
                <w:rFonts w:ascii="Arial Narrow" w:eastAsia="MS Mincho" w:hAnsi="Arial Narrow" w:cs="Times New Roman"/>
                <w:b/>
                <w:noProof/>
                <w:kern w:val="0"/>
                <w:sz w:val="16"/>
                <w:szCs w:val="16"/>
                <w:lang w:val="en-US"/>
                <w14:ligatures w14:val="none"/>
              </w:rPr>
              <w:t>1.2.1.5.i. Modernisation of electricity transmission and distribution networks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BC97165"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A0FEC8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Entry into force of regulatory framework to ensure the transmission of electricity produced from RES to networks (including the use of forests and other public land for wind energy production) and to promote the development of wind energy infrastructure.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FF20A20" w14:textId="77777777" w:rsidR="00BA1475" w:rsidRPr="00BA1475" w:rsidRDefault="00BA1475" w:rsidP="00BA1475">
            <w:pPr>
              <w:spacing w:before="120" w:after="12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Entry into force of: a) Legislation/regulation making state forests available for wind energy deployment, designating appropriate areas for development and making them available for bidding by private investors.  </w:t>
            </w:r>
          </w:p>
          <w:p w14:paraId="637B5CF7"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b) Legislation/regulation reducing legal uncertainty for investments in wind energy by specifying cases in which investments may be rejected post impact-assessment and by introducing fast-track resolution mechanism for such cases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EAA6CC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3B1C3AE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50D831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326BFAC1"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37F8451"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E041F3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F2DA01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1463BE5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relevant piece of legislation and a link to the publications in the Official Journal, including a reference to the provision indicating the entry into force, accompanied by a summary document duly justifying how the milestone was satisfactorily fulfilled with appropriate links to the underlying evidence. </w:t>
            </w:r>
          </w:p>
          <w:p w14:paraId="5188FE2B"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It shall notably explain how:</w:t>
            </w:r>
          </w:p>
          <w:p w14:paraId="0F8BA22C" w14:textId="77777777" w:rsidR="00BA1475" w:rsidRPr="00BA1475" w:rsidRDefault="00BA1475" w:rsidP="00BA1475">
            <w:pPr>
              <w:numPr>
                <w:ilvl w:val="0"/>
                <w:numId w:val="23"/>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legislation will effectively</w:t>
            </w:r>
            <w:r w:rsidRPr="00BA1475">
              <w:rPr>
                <w:rFonts w:ascii="Arial Narrow" w:eastAsia="Calibri" w:hAnsi="Arial Narrow" w:cs="Arial"/>
                <w:noProof/>
                <w:kern w:val="0"/>
                <w:sz w:val="16"/>
                <w:szCs w:val="16"/>
                <w:lang w:val="en-GB"/>
                <w14:ligatures w14:val="none"/>
              </w:rPr>
              <w:t xml:space="preserve"> </w:t>
            </w:r>
            <w:r w:rsidRPr="00BA1475">
              <w:rPr>
                <w:rFonts w:ascii="Arial Narrow" w:eastAsia="Calibri" w:hAnsi="Arial Narrow" w:cs="Calibri"/>
                <w:noProof/>
                <w:kern w:val="0"/>
                <w:sz w:val="16"/>
                <w:szCs w:val="16"/>
                <w:lang w:val="en-GB"/>
                <w14:ligatures w14:val="none"/>
              </w:rPr>
              <w:t xml:space="preserve">make state forests available for wind energy deployment and reduces legal uncertainty for investments in wind energy; </w:t>
            </w:r>
          </w:p>
          <w:p w14:paraId="7AD930B2" w14:textId="77777777" w:rsidR="00BA1475" w:rsidRPr="00BA1475" w:rsidRDefault="00BA1475" w:rsidP="00BA1475">
            <w:pPr>
              <w:numPr>
                <w:ilvl w:val="0"/>
                <w:numId w:val="23"/>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legislation complies with the DNSH principle, notably as regards the impacts of the measure on forests due to land use change, and with EU environmental law.</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92E1E23" w14:textId="77777777" w:rsidR="00BA1475" w:rsidRPr="00BA1475" w:rsidRDefault="00BA1475" w:rsidP="00BA1475">
            <w:pPr>
              <w:spacing w:before="120" w:after="12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Entry into force of: </w:t>
            </w:r>
          </w:p>
          <w:p w14:paraId="7947201E" w14:textId="77777777" w:rsidR="00BA1475" w:rsidRPr="00BA1475" w:rsidRDefault="00BA1475" w:rsidP="00BA1475">
            <w:pPr>
              <w:spacing w:before="120" w:after="12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a) Legislation/regulation making state forests available for wind energy deployment, designating appropriate areas for development and making them available for bidding by private investors; </w:t>
            </w:r>
          </w:p>
          <w:p w14:paraId="38A82565" w14:textId="77777777" w:rsidR="00BA1475" w:rsidRPr="00BA1475" w:rsidRDefault="00BA1475" w:rsidP="00BA1475">
            <w:pPr>
              <w:spacing w:before="120" w:after="12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b) Legislation/regulation reducing legal uncertainty for investments in wind energy by specifying cases in which investments may be rejected post impact-assessment and by introducing fast-track resolution mechanism for such cases. </w:t>
            </w:r>
          </w:p>
          <w:p w14:paraId="25AF6F55"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GB"/>
                <w14:ligatures w14:val="none"/>
              </w:rPr>
              <w:t xml:space="preserve">The measure shall ensure compliance with the DNSH principle, in line with the DNSH Guidelines (2021/C58/01), notably as regards </w:t>
            </w:r>
            <w:r w:rsidRPr="00BA1475">
              <w:rPr>
                <w:rFonts w:ascii="Arial Narrow" w:eastAsia="MS Mincho" w:hAnsi="Arial Narrow" w:cs="Times New Roman"/>
                <w:noProof/>
                <w:kern w:val="0"/>
                <w:sz w:val="16"/>
                <w:szCs w:val="16"/>
                <w:lang w:val="en-US"/>
                <w14:ligatures w14:val="none"/>
              </w:rPr>
              <w:t xml:space="preserve">the </w:t>
            </w:r>
            <w:r w:rsidRPr="00BA1475">
              <w:rPr>
                <w:rFonts w:ascii="Arial Narrow" w:eastAsia="MS Mincho" w:hAnsi="Arial Narrow" w:cs="Times New Roman"/>
                <w:noProof/>
                <w:kern w:val="0"/>
                <w:sz w:val="16"/>
                <w:szCs w:val="16"/>
                <w:lang w:val="en-GB"/>
                <w14:ligatures w14:val="none"/>
              </w:rPr>
              <w:t>impacts of the measure on forests due to land use change, and with the EU environmental law.</w:t>
            </w:r>
          </w:p>
        </w:tc>
      </w:tr>
      <w:tr w:rsidR="00FA2B88" w:rsidRPr="00BA1475" w14:paraId="7E331BE2"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2780E20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22</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166C2420" w14:textId="77777777" w:rsidR="00BA1475" w:rsidRPr="00BA1475" w:rsidRDefault="00BA1475" w:rsidP="00BA1475">
            <w:pPr>
              <w:spacing w:after="0" w:line="240" w:lineRule="auto"/>
              <w:jc w:val="both"/>
              <w:rPr>
                <w:rFonts w:ascii="Arial Narrow" w:eastAsia="MS Mincho" w:hAnsi="Arial Narrow" w:cs="Times New Roman"/>
                <w:b/>
                <w:noProof/>
                <w:kern w:val="0"/>
                <w:sz w:val="16"/>
                <w:szCs w:val="16"/>
                <w:lang w:val="en-US"/>
                <w14:ligatures w14:val="none"/>
              </w:rPr>
            </w:pPr>
            <w:r w:rsidRPr="00BA1475">
              <w:rPr>
                <w:rFonts w:ascii="Arial Narrow" w:eastAsia="MS Mincho" w:hAnsi="Arial Narrow" w:cs="Times New Roman"/>
                <w:b/>
                <w:noProof/>
                <w:kern w:val="0"/>
                <w:sz w:val="16"/>
                <w:szCs w:val="16"/>
                <w:lang w:val="en-US"/>
                <w14:ligatures w14:val="none"/>
              </w:rPr>
              <w:t xml:space="preserve">1.3.1.r. Disaster management system adaptation to climate change, rescue and rapid </w:t>
            </w:r>
            <w:r w:rsidRPr="00BA1475">
              <w:rPr>
                <w:rFonts w:ascii="Arial Narrow" w:eastAsia="MS Mincho" w:hAnsi="Arial Narrow" w:cs="Times New Roman"/>
                <w:b/>
                <w:noProof/>
                <w:kern w:val="0"/>
                <w:sz w:val="16"/>
                <w:szCs w:val="16"/>
                <w:lang w:val="en-US"/>
                <w14:ligatures w14:val="none"/>
              </w:rPr>
              <w:lastRenderedPageBreak/>
              <w:t>response services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DB2A396"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lastRenderedPageBreak/>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93A81A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Publication of a report on </w:t>
            </w:r>
            <w:r w:rsidRPr="009F1544">
              <w:rPr>
                <w:rFonts w:ascii="Arial Narrow" w:eastAsia="MS Mincho" w:hAnsi="Arial Narrow" w:cs="Times New Roman"/>
                <w:noProof/>
                <w:kern w:val="0"/>
                <w:sz w:val="14"/>
                <w:szCs w:val="14"/>
                <w:lang w:val="en-US"/>
                <w14:ligatures w14:val="none"/>
              </w:rPr>
              <w:t>implementation</w:t>
            </w:r>
            <w:r w:rsidRPr="00BA1475">
              <w:rPr>
                <w:rFonts w:ascii="Arial Narrow" w:eastAsia="MS Mincho" w:hAnsi="Arial Narrow" w:cs="Times New Roman"/>
                <w:noProof/>
                <w:kern w:val="0"/>
                <w:sz w:val="16"/>
                <w:szCs w:val="16"/>
                <w:lang w:val="en-US"/>
                <w14:ligatures w14:val="none"/>
              </w:rPr>
              <w:t xml:space="preserve"> of the disaster risk management system</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48D3E3C"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Publication of an information report on the implementation of the disaster risk management system approved by the Cabinet of Ministers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99957B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7AC6F21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D42BB7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441FA7E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D799F5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2022</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DE3871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The Provision State Agency of the Ministry of the Interior is responsible for the implementation of the decisions of the Construction </w:t>
            </w:r>
            <w:r w:rsidRPr="00BA1475">
              <w:rPr>
                <w:rFonts w:ascii="Arial Narrow" w:eastAsia="Calibri" w:hAnsi="Arial Narrow" w:cs="Calibri"/>
                <w:noProof/>
                <w:kern w:val="0"/>
                <w:sz w:val="16"/>
                <w:szCs w:val="16"/>
                <w:lang w:val="en-GB"/>
                <w14:ligatures w14:val="none"/>
              </w:rPr>
              <w:lastRenderedPageBreak/>
              <w:t>Council chaired by the Minister of Interior. The Ministry of the Interior is responsible for preparing and reporting the report to the Cabinet of Ministers.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CC1F15D"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67557A9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was satisfactorily fulfilled, with appropriate links to the underlying documents as defined in the milestone description. The document shall include as an annex the report specified in the milestone description.</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554CCBCB"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In agreement with the institutions involved in the disaster management system, the Ministry of the Interior shall publish an informative report to the Cabinet of Ministers on the construction sites of disaster centres, construction areas and costs at each construction site, as well as the indicative timetable for the implementation of the disaster </w:t>
            </w:r>
            <w:r w:rsidRPr="00BA1475">
              <w:rPr>
                <w:rFonts w:ascii="Arial Narrow" w:eastAsia="MS Mincho" w:hAnsi="Arial Narrow" w:cs="Times New Roman"/>
                <w:noProof/>
                <w:kern w:val="0"/>
                <w:sz w:val="16"/>
                <w:szCs w:val="16"/>
                <w:lang w:val="en-US"/>
                <w14:ligatures w14:val="none"/>
              </w:rPr>
              <w:lastRenderedPageBreak/>
              <w:t xml:space="preserve">management plans to be deployed at each site and on the conclusion of construction contracts, including in the report. The report shall also </w:t>
            </w:r>
            <w:r w:rsidRPr="00BA1475">
              <w:rPr>
                <w:rFonts w:ascii="Arial Narrow" w:eastAsia="Calibri" w:hAnsi="Arial Narrow" w:cs="Times New Roman"/>
                <w:noProof/>
                <w:kern w:val="0"/>
                <w:sz w:val="16"/>
                <w:szCs w:val="16"/>
                <w:lang w:val="en-GB"/>
                <w14:ligatures w14:val="none"/>
              </w:rPr>
              <w:t xml:space="preserve">include </w:t>
            </w:r>
            <w:r w:rsidRPr="00BA1475">
              <w:rPr>
                <w:rFonts w:ascii="Arial Narrow" w:eastAsia="MS Mincho" w:hAnsi="Arial Narrow" w:cs="Times New Roman"/>
                <w:noProof/>
                <w:kern w:val="0"/>
                <w:sz w:val="16"/>
                <w:szCs w:val="16"/>
                <w:lang w:val="en-US"/>
                <w14:ligatures w14:val="none"/>
              </w:rPr>
              <w:t>an overall reform progress report and an implementation plan on the following reform components: (i) the</w:t>
            </w:r>
            <w:r w:rsidRPr="00BA1475">
              <w:rPr>
                <w:rFonts w:ascii="Arial Narrow" w:eastAsia="Calibri" w:hAnsi="Arial Narrow" w:cs="Times New Roman"/>
                <w:noProof/>
                <w:kern w:val="0"/>
                <w:sz w:val="16"/>
                <w:szCs w:val="16"/>
                <w:lang w:val="en-GB"/>
                <w14:ligatures w14:val="none"/>
              </w:rPr>
              <w:t xml:space="preserve"> </w:t>
            </w:r>
            <w:r w:rsidRPr="00BA1475">
              <w:rPr>
                <w:rFonts w:ascii="Arial Narrow" w:eastAsia="MS Mincho" w:hAnsi="Arial Narrow" w:cs="Times New Roman"/>
                <w:noProof/>
                <w:kern w:val="0"/>
                <w:sz w:val="16"/>
                <w:szCs w:val="16"/>
                <w:lang w:val="en-US"/>
                <w14:ligatures w14:val="none"/>
              </w:rPr>
              <w:t xml:space="preserve">technical capacity building (notably on the upgrading of </w:t>
            </w:r>
            <w:r w:rsidRPr="00BA1475">
              <w:rPr>
                <w:rFonts w:ascii="Arial Narrow" w:eastAsia="Calibri" w:hAnsi="Arial Narrow" w:cs="Times New Roman"/>
                <w:noProof/>
                <w:kern w:val="0"/>
                <w:sz w:val="16"/>
                <w:szCs w:val="16"/>
                <w:lang w:val="en-GB"/>
                <w14:ligatures w14:val="none"/>
              </w:rPr>
              <w:t xml:space="preserve"> specialised </w:t>
            </w:r>
            <w:r w:rsidRPr="00BA1475">
              <w:rPr>
                <w:rFonts w:ascii="Arial Narrow" w:eastAsia="MS Mincho" w:hAnsi="Arial Narrow" w:cs="Times New Roman"/>
                <w:noProof/>
                <w:kern w:val="0"/>
                <w:sz w:val="16"/>
                <w:szCs w:val="16"/>
                <w:lang w:val="en-US"/>
                <w14:ligatures w14:val="none"/>
              </w:rPr>
              <w:t>response and rescue vehicles)</w:t>
            </w:r>
            <w:r w:rsidRPr="00BA1475">
              <w:rPr>
                <w:rFonts w:ascii="Arial Narrow" w:eastAsia="Calibri" w:hAnsi="Arial Narrow" w:cs="Times New Roman"/>
                <w:noProof/>
                <w:kern w:val="0"/>
                <w:sz w:val="16"/>
                <w:szCs w:val="16"/>
                <w:lang w:val="en-GB"/>
                <w14:ligatures w14:val="none"/>
              </w:rPr>
              <w:t xml:space="preserve">, (ii) the timetable for </w:t>
            </w:r>
            <w:r w:rsidRPr="00BA1475">
              <w:rPr>
                <w:rFonts w:ascii="Arial Narrow" w:eastAsia="MS Mincho" w:hAnsi="Arial Narrow" w:cs="Times New Roman"/>
                <w:noProof/>
                <w:kern w:val="0"/>
                <w:sz w:val="16"/>
                <w:szCs w:val="16"/>
                <w:lang w:val="en-US"/>
                <w14:ligatures w14:val="none"/>
              </w:rPr>
              <w:t>implementation of related disaster management</w:t>
            </w:r>
            <w:r w:rsidRPr="00BA1475">
              <w:rPr>
                <w:rFonts w:ascii="Arial Narrow" w:eastAsia="Calibri" w:hAnsi="Arial Narrow" w:cs="Times New Roman"/>
                <w:noProof/>
                <w:kern w:val="0"/>
                <w:sz w:val="16"/>
                <w:szCs w:val="16"/>
                <w:lang w:val="en-GB"/>
                <w14:ligatures w14:val="none"/>
              </w:rPr>
              <w:t xml:space="preserve"> ICT solutions and (iii) </w:t>
            </w:r>
            <w:r w:rsidRPr="00BA1475">
              <w:rPr>
                <w:rFonts w:ascii="Arial Narrow" w:eastAsia="MS Mincho" w:hAnsi="Arial Narrow" w:cs="Times New Roman"/>
                <w:noProof/>
                <w:kern w:val="0"/>
                <w:sz w:val="16"/>
                <w:szCs w:val="16"/>
                <w:lang w:val="en-US"/>
                <w14:ligatures w14:val="none"/>
              </w:rPr>
              <w:t>progress on implementation of training and preventive measures</w:t>
            </w:r>
            <w:r w:rsidRPr="00BA1475">
              <w:rPr>
                <w:rFonts w:ascii="Arial Narrow" w:eastAsia="Calibri" w:hAnsi="Arial Narrow" w:cs="Times New Roman"/>
                <w:noProof/>
                <w:kern w:val="0"/>
                <w:sz w:val="16"/>
                <w:szCs w:val="16"/>
                <w:lang w:val="en-GB"/>
                <w14:ligatures w14:val="none"/>
              </w:rPr>
              <w:t>.</w:t>
            </w:r>
          </w:p>
        </w:tc>
      </w:tr>
      <w:tr w:rsidR="00FA2B88" w:rsidRPr="00BA1475" w14:paraId="27D8BFAA"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09C1B7F3"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lastRenderedPageBreak/>
              <w:t>23</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67BA88B7" w14:textId="77777777" w:rsidR="00BA1475" w:rsidRPr="00BA1475" w:rsidRDefault="00BA1475" w:rsidP="00BA1475">
            <w:pPr>
              <w:spacing w:after="0" w:line="240" w:lineRule="auto"/>
              <w:jc w:val="both"/>
              <w:rPr>
                <w:rFonts w:ascii="Arial Narrow" w:eastAsia="MS Mincho" w:hAnsi="Arial Narrow" w:cs="Times New Roman"/>
                <w:b/>
                <w:noProof/>
                <w:kern w:val="0"/>
                <w:sz w:val="16"/>
                <w:szCs w:val="16"/>
                <w:lang w:val="en-US"/>
                <w14:ligatures w14:val="none"/>
              </w:rPr>
            </w:pPr>
            <w:r w:rsidRPr="00BA1475">
              <w:rPr>
                <w:rFonts w:ascii="Arial Narrow" w:eastAsia="MS Mincho" w:hAnsi="Arial Narrow" w:cs="Times New Roman"/>
                <w:b/>
                <w:noProof/>
                <w:kern w:val="0"/>
                <w:sz w:val="16"/>
                <w:szCs w:val="16"/>
                <w:lang w:val="en-US"/>
                <w14:ligatures w14:val="none"/>
              </w:rPr>
              <w:t>1.3.1.1.i. Disaster management system adaptation to climate change, rescue and rapid response services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A1BD175"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83F74CF"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Construction of nearly 0 -energy-consumption disaster management and emergency response centres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570F40D"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94F822B"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Number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A41979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161723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8</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2688E11"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01ED7FB"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A50555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Ministry of the Interior is responsible for reporting within the framework of the Cabinet of Ministers’ information reports on the implementation of investments. The Provision State Agency shall be responsible for the implementation.</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6E6819B" w14:textId="77777777" w:rsidR="00BA1475" w:rsidRPr="00BA1475" w:rsidRDefault="00BA1475" w:rsidP="00BA1475">
            <w:pPr>
              <w:spacing w:after="0" w:line="240" w:lineRule="auto"/>
              <w:jc w:val="both"/>
              <w:rPr>
                <w:rFonts w:ascii="Arial Narrow" w:eastAsia="Calibri" w:hAnsi="Arial Narrow" w:cs="Calibri"/>
                <w:noProof/>
                <w:kern w:val="0"/>
                <w:sz w:val="16"/>
                <w:szCs w:val="16"/>
                <w:lang w:val="en-GB"/>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4406D7D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was satisfactorily fulfilled, with appropriate links to the underlying evidence.</w:t>
            </w:r>
          </w:p>
          <w:p w14:paraId="55927C3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w:t>
            </w:r>
          </w:p>
          <w:p w14:paraId="6FB322AA" w14:textId="77777777" w:rsidR="00BA1475" w:rsidRPr="00BA1475" w:rsidRDefault="00BA1475" w:rsidP="00BA1475">
            <w:pPr>
              <w:numPr>
                <w:ilvl w:val="0"/>
                <w:numId w:val="22"/>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certificates of the completion of the construction of the response centres; </w:t>
            </w:r>
          </w:p>
          <w:p w14:paraId="4645BCCF" w14:textId="77777777" w:rsidR="00BA1475" w:rsidRPr="00BA1475" w:rsidRDefault="00BA1475" w:rsidP="00BA1475">
            <w:pPr>
              <w:numPr>
                <w:ilvl w:val="0"/>
                <w:numId w:val="22"/>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certificates of entry into operation of the newly built </w:t>
            </w:r>
            <w:r w:rsidRPr="00BA1475">
              <w:rPr>
                <w:rFonts w:ascii="Arial Narrow" w:eastAsia="MS Mincho" w:hAnsi="Arial Narrow" w:cs="Times New Roman"/>
                <w:noProof/>
                <w:kern w:val="0"/>
                <w:sz w:val="16"/>
                <w:szCs w:val="16"/>
                <w:lang w:val="en-US"/>
                <w14:ligatures w14:val="none"/>
              </w:rPr>
              <w:t>disaster management and emergency</w:t>
            </w:r>
            <w:r w:rsidRPr="00BA1475">
              <w:rPr>
                <w:rFonts w:ascii="Arial Narrow" w:eastAsia="Calibri" w:hAnsi="Arial Narrow" w:cs="Calibri"/>
                <w:noProof/>
                <w:kern w:val="0"/>
                <w:sz w:val="16"/>
                <w:szCs w:val="16"/>
                <w:lang w:val="en-GB"/>
                <w14:ligatures w14:val="none"/>
              </w:rPr>
              <w:t xml:space="preserve"> response centres; </w:t>
            </w:r>
          </w:p>
          <w:p w14:paraId="7C691E26" w14:textId="77777777" w:rsidR="00BA1475" w:rsidRPr="00BA1475" w:rsidRDefault="00BA1475" w:rsidP="00BA1475">
            <w:pPr>
              <w:numPr>
                <w:ilvl w:val="0"/>
                <w:numId w:val="22"/>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certificates showing that disaster management centres are nearly zero-energy-consumption;</w:t>
            </w:r>
          </w:p>
          <w:p w14:paraId="67B6868C" w14:textId="77777777" w:rsidR="00BA1475" w:rsidRPr="00BA1475" w:rsidRDefault="00BA1475" w:rsidP="00BA1475">
            <w:pPr>
              <w:spacing w:after="0" w:line="240" w:lineRule="auto"/>
              <w:ind w:left="720"/>
              <w:contextualSpacing/>
              <w:rPr>
                <w:rFonts w:ascii="Arial Narrow" w:eastAsia="Calibri" w:hAnsi="Arial Narrow" w:cs="Calibri"/>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605494AE"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Number of newly built centres put into service. The investment shall be used for the construction of nearly zero-energy-consumption disaster management centres. </w:t>
            </w:r>
          </w:p>
        </w:tc>
      </w:tr>
      <w:tr w:rsidR="00FA2B88" w:rsidRPr="00BA1475" w14:paraId="2A925112"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413D982D"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24</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7303D1C2" w14:textId="77777777" w:rsidR="00BA1475" w:rsidRPr="00BA1475" w:rsidRDefault="00BA1475" w:rsidP="00BA1475">
            <w:pPr>
              <w:spacing w:after="0" w:line="240" w:lineRule="auto"/>
              <w:jc w:val="both"/>
              <w:rPr>
                <w:rFonts w:ascii="Arial Narrow" w:eastAsia="MS Mincho" w:hAnsi="Arial Narrow" w:cs="Times New Roman"/>
                <w:b/>
                <w:noProof/>
                <w:kern w:val="0"/>
                <w:sz w:val="16"/>
                <w:szCs w:val="16"/>
                <w:lang w:val="en-US"/>
                <w14:ligatures w14:val="none"/>
              </w:rPr>
            </w:pPr>
            <w:r w:rsidRPr="00BA1475">
              <w:rPr>
                <w:rFonts w:ascii="Arial Narrow" w:eastAsia="MS Mincho" w:hAnsi="Arial Narrow" w:cs="Times New Roman"/>
                <w:b/>
                <w:noProof/>
                <w:kern w:val="0"/>
                <w:sz w:val="16"/>
                <w:szCs w:val="16"/>
                <w:lang w:val="en-US"/>
                <w14:ligatures w14:val="none"/>
              </w:rPr>
              <w:t>1.3.1.r. Disaster management system adaptation to climate change, rescue and rapid response services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492F064"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41D2257"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Total fire area for wild fires over the 5-year period (2020-2024)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CBB40B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6AF8A66"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Area (hectares)</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375D2892"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3923,1</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BEA47C0"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2 635,3</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35CF5B01"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EE30F6D"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2025</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7D3AF2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State Fire and Rescue Service with reports on 2020. The -2024 performance will ensure the preparation of the performance report for the indicator. The Ministry of the Interior, as responsible for reporting in the </w:t>
            </w:r>
            <w:r w:rsidRPr="00BA1475">
              <w:rPr>
                <w:rFonts w:ascii="Arial Narrow" w:eastAsia="Calibri" w:hAnsi="Arial Narrow" w:cs="Calibri"/>
                <w:noProof/>
                <w:kern w:val="0"/>
                <w:sz w:val="16"/>
                <w:szCs w:val="16"/>
                <w:lang w:val="en-GB"/>
                <w14:ligatures w14:val="none"/>
              </w:rPr>
              <w:lastRenderedPageBreak/>
              <w:t>context of the implementation of the RRF plan, will prepare an information report to the Cabinet of Ministers on the implementation of investments, including reports on the implementation of indicators.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EF41E73"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6640F81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w:t>
            </w:r>
            <w:r w:rsidRPr="00BA1475">
              <w:rPr>
                <w:rFonts w:ascii="Arial Narrow" w:eastAsia="Arial Narrow" w:hAnsi="Arial Narrow" w:cs="Arial Narrow"/>
                <w:noProof/>
                <w:kern w:val="0"/>
                <w:sz w:val="16"/>
                <w:szCs w:val="16"/>
                <w:lang w:val="en-GB"/>
                <w14:ligatures w14:val="none"/>
              </w:rPr>
              <w:t>(including all the constitutive elements)</w:t>
            </w:r>
            <w:r w:rsidRPr="00BA1475">
              <w:rPr>
                <w:rFonts w:ascii="Arial Narrow" w:eastAsia="Calibri" w:hAnsi="Arial Narrow" w:cs="Calibri"/>
                <w:noProof/>
                <w:kern w:val="0"/>
                <w:sz w:val="16"/>
                <w:szCs w:val="16"/>
                <w:lang w:val="en-GB"/>
                <w14:ligatures w14:val="none"/>
              </w:rPr>
              <w:t xml:space="preserve"> was satisfactorily fulfilled, with appropriate links to the underlying evidence. This document shall include as an annex the report from the State Fire and Rescue Service.</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657A9426"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Total area affected by wildfires counted as an average over past four consecutive years. Wild fires shall be defined as peat, dry grass, last year’s grass, bushes, trees, crop stubbles, hay, rushes and reeds, forest ground, individual tree fires, </w:t>
            </w:r>
            <w:r w:rsidRPr="00BA1475">
              <w:rPr>
                <w:rFonts w:ascii="Arial Narrow" w:eastAsia="Calibri" w:hAnsi="Arial Narrow" w:cs="Arial"/>
                <w:noProof/>
                <w:kern w:val="0"/>
                <w:sz w:val="16"/>
                <w:szCs w:val="16"/>
                <w:lang w:val="en-GB" w:eastAsia="lv-LV"/>
                <w14:ligatures w14:val="none"/>
              </w:rPr>
              <w:t xml:space="preserve">in accordance with the </w:t>
            </w:r>
            <w:r w:rsidRPr="00BA1475">
              <w:rPr>
                <w:rFonts w:ascii="Arial Narrow" w:eastAsia="MS Mincho" w:hAnsi="Arial Narrow" w:cs="Times New Roman"/>
                <w:noProof/>
                <w:kern w:val="0"/>
                <w:sz w:val="16"/>
                <w:szCs w:val="16"/>
                <w:lang w:val="en-US"/>
                <w14:ligatures w14:val="none"/>
              </w:rPr>
              <w:t xml:space="preserve">cumulative State Fire and Rescue Service statistics. </w:t>
            </w:r>
          </w:p>
        </w:tc>
      </w:tr>
      <w:tr w:rsidR="00FA2B88" w:rsidRPr="00BA1475" w14:paraId="0352A100"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4A3CDC2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25</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1BD6C25A" w14:textId="77777777" w:rsidR="00BA1475" w:rsidRPr="00BA1475" w:rsidRDefault="00BA1475" w:rsidP="00BA1475">
            <w:pPr>
              <w:spacing w:after="0" w:line="240" w:lineRule="auto"/>
              <w:jc w:val="both"/>
              <w:rPr>
                <w:rFonts w:ascii="Arial Narrow" w:eastAsia="MS Mincho" w:hAnsi="Arial Narrow" w:cs="Times New Roman"/>
                <w:b/>
                <w:noProof/>
                <w:kern w:val="0"/>
                <w:sz w:val="16"/>
                <w:szCs w:val="16"/>
                <w:lang w:val="en-US"/>
                <w14:ligatures w14:val="none"/>
              </w:rPr>
            </w:pPr>
            <w:r w:rsidRPr="00BA1475">
              <w:rPr>
                <w:rFonts w:ascii="Arial Narrow" w:eastAsia="MS Mincho" w:hAnsi="Arial Narrow" w:cs="Times New Roman"/>
                <w:b/>
                <w:bCs/>
                <w:noProof/>
                <w:kern w:val="0"/>
                <w:sz w:val="16"/>
                <w:szCs w:val="16"/>
                <w:lang w:val="en-US"/>
                <w14:ligatures w14:val="none"/>
              </w:rPr>
              <w:t>1.3.1.2.i. Investments in flood risk reduction infrastructure</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8EAA5AE"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CE2B36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
                <w14:ligatures w14:val="none"/>
              </w:rPr>
              <w:t>Construction contracts awarded for half the total number of</w:t>
            </w:r>
            <w:r w:rsidRPr="009C5ECA">
              <w:rPr>
                <w:rFonts w:ascii="Arial Narrow" w:eastAsia="Calibri" w:hAnsi="Arial Narrow" w:cs="Times New Roman"/>
                <w:noProof/>
                <w:kern w:val="0"/>
                <w:sz w:val="16"/>
                <w:szCs w:val="16"/>
                <w:lang w:val="en"/>
                <w14:ligatures w14:val="none"/>
              </w:rPr>
              <w:t xml:space="preserve"> </w:t>
            </w:r>
            <w:r w:rsidRPr="00BA1475">
              <w:rPr>
                <w:rFonts w:ascii="Arial Narrow" w:eastAsia="Calibri" w:hAnsi="Arial Narrow" w:cs="Times New Roman"/>
                <w:noProof/>
                <w:kern w:val="0"/>
                <w:sz w:val="16"/>
                <w:szCs w:val="16"/>
                <w:lang w:val="en"/>
                <w14:ligatures w14:val="none"/>
              </w:rPr>
              <w:t>rebuilding and renewal</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009D3FC" w14:textId="77777777" w:rsidR="00BA1475" w:rsidRPr="00BA1475" w:rsidRDefault="00BA1475" w:rsidP="00BA1475">
            <w:pPr>
              <w:spacing w:after="0" w:line="240" w:lineRule="auto"/>
              <w:jc w:val="both"/>
              <w:rPr>
                <w:rFonts w:ascii="Arial Narrow" w:eastAsia="Calibri"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Construction contracts awarded for half the total number of </w:t>
            </w:r>
            <w:r w:rsidRPr="00BA1475">
              <w:rPr>
                <w:rFonts w:ascii="Arial Narrow" w:eastAsia="Calibri" w:hAnsi="Arial Narrow" w:cs="Times New Roman"/>
                <w:noProof/>
                <w:color w:val="000000"/>
                <w:kern w:val="0"/>
                <w:sz w:val="16"/>
                <w:szCs w:val="16"/>
                <w:lang w:val="en"/>
                <w14:ligatures w14:val="none"/>
              </w:rPr>
              <w:t>rebuilding and renewal</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416225F"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5031565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0FCA8B3F"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50</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684CAD7A"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Q4</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0A806FF"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921512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Agriculture, real estate of the Ministry of Agriculture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E325FC9"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sidDel="00AE345A">
              <w:rPr>
                <w:rFonts w:ascii="Arial Narrow" w:eastAsia="MS Mincho" w:hAnsi="Arial Narrow" w:cs="Times New Roman"/>
                <w:noProof/>
                <w:kern w:val="0"/>
                <w:sz w:val="16"/>
                <w:szCs w:val="16"/>
                <w:lang w:val="en-US"/>
                <w14:ligatures w14:val="none"/>
              </w:rPr>
              <w:t xml:space="preserve">In total, measure 1.3.1.2.i. Investments in flood risk reduction infrastructure consists of </w:t>
            </w:r>
            <w:r w:rsidRPr="00BA1475">
              <w:rPr>
                <w:rFonts w:ascii="Arial Narrow" w:eastAsia="MS Mincho" w:hAnsi="Arial Narrow" w:cs="Times New Roman"/>
                <w:noProof/>
                <w:kern w:val="0"/>
                <w:sz w:val="16"/>
                <w:szCs w:val="16"/>
                <w:lang w:val="en-US"/>
                <w14:ligatures w14:val="none"/>
              </w:rPr>
              <w:t xml:space="preserve">21 </w:t>
            </w:r>
            <w:r w:rsidRPr="00BA1475" w:rsidDel="00AE345A">
              <w:rPr>
                <w:rFonts w:ascii="Arial Narrow" w:eastAsia="MS Mincho" w:hAnsi="Arial Narrow" w:cs="Times New Roman"/>
                <w:noProof/>
                <w:kern w:val="0"/>
                <w:sz w:val="16"/>
                <w:szCs w:val="16"/>
                <w:lang w:val="en-US"/>
                <w14:ligatures w14:val="none"/>
              </w:rPr>
              <w:t>flood protection projects.</w:t>
            </w:r>
            <w:r w:rsidRPr="00BA1475">
              <w:rPr>
                <w:rFonts w:ascii="Arial Narrow" w:eastAsia="MS Mincho" w:hAnsi="Arial Narrow" w:cs="Times New Roman"/>
                <w:noProof/>
                <w:kern w:val="0"/>
                <w:sz w:val="16"/>
                <w:szCs w:val="16"/>
                <w:lang w:val="en-US"/>
                <w14:ligatures w14:val="none"/>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6D91AB7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w:t>
            </w:r>
            <w:r w:rsidRPr="00BA1475">
              <w:rPr>
                <w:rFonts w:ascii="Arial Narrow" w:eastAsia="Arial Narrow" w:hAnsi="Arial Narrow" w:cs="Arial Narrow"/>
                <w:noProof/>
                <w:kern w:val="0"/>
                <w:sz w:val="16"/>
                <w:szCs w:val="16"/>
                <w:lang w:val="en-GB"/>
                <w14:ligatures w14:val="none"/>
              </w:rPr>
              <w:t>(including all the constitutive elements)</w:t>
            </w:r>
            <w:r w:rsidRPr="00BA1475">
              <w:rPr>
                <w:rFonts w:ascii="Arial Narrow" w:eastAsia="Calibri" w:hAnsi="Arial Narrow" w:cs="Calibri"/>
                <w:noProof/>
                <w:kern w:val="0"/>
                <w:sz w:val="16"/>
                <w:szCs w:val="16"/>
                <w:lang w:val="en-GB"/>
                <w14:ligatures w14:val="none"/>
              </w:rPr>
              <w:t xml:space="preserve"> was satisfactorily fulfilled, with appropriate links to the underlying evidence. This document shall include as an annex a list of awarded construction contracts with a short description of the construction. </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86AC6A0" w14:textId="77777777" w:rsidR="00BA1475" w:rsidRPr="00BA1475" w:rsidRDefault="00BA1475" w:rsidP="00BA1475">
            <w:pPr>
              <w:spacing w:after="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Construction contracts awarded for at least 50% of the total number of </w:t>
            </w:r>
            <w:r w:rsidRPr="00BA1475">
              <w:rPr>
                <w:rFonts w:ascii="Arial Narrow" w:eastAsia="Calibri" w:hAnsi="Arial Narrow" w:cs="Times New Roman"/>
                <w:noProof/>
                <w:color w:val="000000"/>
                <w:kern w:val="0"/>
                <w:sz w:val="16"/>
                <w:szCs w:val="16"/>
                <w:lang w:val="en"/>
                <w14:ligatures w14:val="none"/>
              </w:rPr>
              <w:t>rebuilding and renewal</w:t>
            </w:r>
            <w:r w:rsidRPr="00BA1475">
              <w:rPr>
                <w:rFonts w:ascii="Arial Narrow" w:eastAsia="Times New Roman" w:hAnsi="Arial Narrow" w:cs="Times New Roman"/>
                <w:noProof/>
                <w:kern w:val="0"/>
                <w:sz w:val="16"/>
                <w:szCs w:val="16"/>
                <w:lang w:val="en-US"/>
                <w14:ligatures w14:val="none"/>
              </w:rPr>
              <w:t xml:space="preserve"> </w:t>
            </w:r>
            <w:r w:rsidRPr="00BA1475">
              <w:rPr>
                <w:rFonts w:ascii="Arial Narrow" w:eastAsia="MS Mincho" w:hAnsi="Arial Narrow" w:cs="Times New Roman"/>
                <w:noProof/>
                <w:kern w:val="0"/>
                <w:sz w:val="16"/>
                <w:szCs w:val="16"/>
                <w:lang w:val="en-US"/>
                <w14:ligatures w14:val="none"/>
              </w:rPr>
              <w:t>by 31 December 2024</w:t>
            </w:r>
          </w:p>
        </w:tc>
      </w:tr>
      <w:tr w:rsidR="00FA2B88" w:rsidRPr="00BA1475" w14:paraId="0C2BF8A7" w14:textId="77777777" w:rsidTr="009C5ECA">
        <w:trPr>
          <w:trHeight w:val="1200"/>
        </w:trPr>
        <w:tc>
          <w:tcPr>
            <w:tcW w:w="396" w:type="dxa"/>
            <w:tcBorders>
              <w:top w:val="single" w:sz="4" w:space="0" w:color="auto"/>
              <w:left w:val="single" w:sz="4" w:space="0" w:color="auto"/>
              <w:bottom w:val="single" w:sz="4" w:space="0" w:color="auto"/>
              <w:right w:val="single" w:sz="4" w:space="0" w:color="auto"/>
            </w:tcBorders>
            <w:shd w:val="clear" w:color="auto" w:fill="C6EFCE"/>
          </w:tcPr>
          <w:p w14:paraId="13F72B4F"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26</w:t>
            </w:r>
          </w:p>
        </w:tc>
        <w:tc>
          <w:tcPr>
            <w:tcW w:w="1135" w:type="dxa"/>
            <w:tcBorders>
              <w:top w:val="single" w:sz="4" w:space="0" w:color="auto"/>
              <w:left w:val="single" w:sz="4" w:space="0" w:color="auto"/>
              <w:bottom w:val="single" w:sz="4" w:space="0" w:color="auto"/>
              <w:right w:val="single" w:sz="4" w:space="0" w:color="auto"/>
            </w:tcBorders>
            <w:shd w:val="clear" w:color="auto" w:fill="C6EFCE"/>
          </w:tcPr>
          <w:p w14:paraId="0C4532EC" w14:textId="77777777" w:rsidR="00BA1475" w:rsidRPr="00BA1475" w:rsidRDefault="00BA1475" w:rsidP="00BA1475">
            <w:pPr>
              <w:spacing w:after="0" w:line="240" w:lineRule="auto"/>
              <w:jc w:val="both"/>
              <w:rPr>
                <w:rFonts w:ascii="Arial Narrow" w:eastAsia="MS Mincho" w:hAnsi="Arial Narrow" w:cs="Times New Roman"/>
                <w:b/>
                <w:noProof/>
                <w:kern w:val="0"/>
                <w:sz w:val="16"/>
                <w:szCs w:val="16"/>
                <w:lang w:val="en-US"/>
                <w14:ligatures w14:val="none"/>
              </w:rPr>
            </w:pPr>
            <w:r w:rsidRPr="00BA1475">
              <w:rPr>
                <w:rFonts w:ascii="Arial Narrow" w:eastAsia="Calibri" w:hAnsi="Arial Narrow" w:cs="Times New Roman"/>
                <w:b/>
                <w:bCs/>
                <w:noProof/>
                <w:kern w:val="0"/>
                <w:sz w:val="16"/>
                <w:szCs w:val="16"/>
                <w:lang w:val="en-GB"/>
                <w14:ligatures w14:val="none"/>
              </w:rPr>
              <w:t>1.3.1.2.i. Investments in flood risk reduction infrastructure</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5BF3B36"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Target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44F584B"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Number of investment projects completed</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2FAE846"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EAD93A8"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Number</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4065FC9"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23956E00"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21</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36A9B085"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6E5B2D6"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50A916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Agriculture, real estate of the Ministry of Agriculture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1784E0C" w14:textId="77777777" w:rsidR="00BA1475" w:rsidRPr="00BA1475" w:rsidRDefault="00BA1475" w:rsidP="00BA1475">
            <w:pPr>
              <w:spacing w:after="0" w:line="240" w:lineRule="auto"/>
              <w:jc w:val="both"/>
              <w:rPr>
                <w:rFonts w:ascii="Arial Narrow" w:eastAsia="MS Mincho" w:hAnsi="Arial Narrow" w:cs="Times New Roman"/>
                <w:noProof/>
                <w:kern w:val="0"/>
                <w:sz w:val="16"/>
                <w:szCs w:val="16"/>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C6EFCE"/>
          </w:tcPr>
          <w:p w14:paraId="4F56D5F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 This document shall include as an annex:</w:t>
            </w:r>
          </w:p>
          <w:p w14:paraId="515C0428" w14:textId="77777777" w:rsidR="00BA1475" w:rsidRPr="00BA1475" w:rsidRDefault="00BA1475" w:rsidP="00BA1475">
            <w:pPr>
              <w:numPr>
                <w:ilvl w:val="0"/>
                <w:numId w:val="21"/>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certificate of completion for the projects mentioned in the target description; </w:t>
            </w:r>
          </w:p>
          <w:p w14:paraId="521843AE" w14:textId="77777777" w:rsidR="00BA1475" w:rsidRPr="00BA1475" w:rsidRDefault="00BA1475" w:rsidP="00BA1475">
            <w:pPr>
              <w:numPr>
                <w:ilvl w:val="0"/>
                <w:numId w:val="21"/>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short description of each project and a detailed analysis of its compliance with the DNSH principle as defined in the description of the target (including a link to the “appropriate assessments”).</w:t>
            </w:r>
          </w:p>
          <w:p w14:paraId="07E9393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943AB26" w14:textId="77777777" w:rsidR="00BA1475" w:rsidRPr="00BA1475" w:rsidRDefault="00BA1475" w:rsidP="00BA1475">
            <w:pPr>
              <w:spacing w:before="120" w:after="120" w:line="240" w:lineRule="auto"/>
              <w:rPr>
                <w:rFonts w:ascii="Arial Narrow" w:eastAsia="MS Mincho" w:hAnsi="Arial Narrow" w:cs="Times New Roman"/>
                <w:noProof/>
                <w:kern w:val="0"/>
                <w:sz w:val="16"/>
                <w:szCs w:val="16"/>
                <w:lang w:val="en-US"/>
                <w14:ligatures w14:val="none"/>
              </w:rPr>
            </w:pPr>
            <w:r w:rsidRPr="00BA1475">
              <w:rPr>
                <w:rFonts w:ascii="Arial Narrow" w:eastAsia="MS Mincho" w:hAnsi="Arial Narrow" w:cs="Times New Roman"/>
                <w:noProof/>
                <w:kern w:val="0"/>
                <w:sz w:val="16"/>
                <w:szCs w:val="16"/>
                <w:lang w:val="en-US"/>
                <w14:ligatures w14:val="none"/>
              </w:rPr>
              <w:t xml:space="preserve">The following projects protecting against the risk of flooding shall be completed: </w:t>
            </w:r>
          </w:p>
          <w:p w14:paraId="540999EF" w14:textId="77777777" w:rsidR="00BA1475" w:rsidRPr="00BA1475" w:rsidRDefault="00BA1475" w:rsidP="00BA1475">
            <w:pPr>
              <w:numPr>
                <w:ilvl w:val="0"/>
                <w:numId w:val="52"/>
              </w:numPr>
              <w:spacing w:before="120" w:after="120" w:line="240" w:lineRule="auto"/>
              <w:ind w:left="357" w:hanging="357"/>
              <w:contextualSpacing/>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Eight pumping stations, including i) Reinis pumping station, ii) Kulciems pumping station and iii) Vezi pumping station;  </w:t>
            </w:r>
          </w:p>
          <w:p w14:paraId="0F634A75" w14:textId="77777777" w:rsidR="00BA1475" w:rsidRPr="00BA1475" w:rsidRDefault="00BA1475" w:rsidP="00BA1475">
            <w:pPr>
              <w:numPr>
                <w:ilvl w:val="0"/>
                <w:numId w:val="52"/>
              </w:numPr>
              <w:spacing w:after="200" w:line="276" w:lineRule="auto"/>
              <w:ind w:left="357" w:hanging="357"/>
              <w:contextualSpacing/>
              <w:rPr>
                <w:rFonts w:ascii="Arial Narrow" w:eastAsia="Calibri" w:hAnsi="Arial Narrow" w:cs="Times New Roman"/>
                <w:noProof/>
                <w:kern w:val="0"/>
                <w:sz w:val="16"/>
                <w:szCs w:val="16"/>
                <w:lang w:val="da-DK"/>
                <w14:ligatures w14:val="none"/>
              </w:rPr>
            </w:pPr>
            <w:r w:rsidRPr="00BA1475">
              <w:rPr>
                <w:rFonts w:ascii="Arial Narrow" w:eastAsia="Calibri" w:hAnsi="Arial Narrow" w:cs="Times New Roman"/>
                <w:noProof/>
                <w:kern w:val="0"/>
                <w:sz w:val="16"/>
                <w:szCs w:val="16"/>
                <w:lang w:val="da-DK"/>
                <w14:ligatures w14:val="none"/>
              </w:rPr>
              <w:t xml:space="preserve">Twelve protective dikes, including i) Bernati polder, ii) Barta polder, iii) Rezekne left bank dyke, iv) Osa polder dyke; </w:t>
            </w:r>
          </w:p>
          <w:p w14:paraId="6F2C1BCE" w14:textId="77777777" w:rsidR="00BA1475" w:rsidRPr="00BA1475" w:rsidRDefault="00BA1475" w:rsidP="00BA1475">
            <w:pPr>
              <w:numPr>
                <w:ilvl w:val="0"/>
                <w:numId w:val="52"/>
              </w:numPr>
              <w:spacing w:before="120" w:after="120" w:line="240" w:lineRule="auto"/>
              <w:ind w:left="357" w:hanging="357"/>
              <w:contextualSpacing/>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14:ligatures w14:val="none"/>
              </w:rPr>
              <w:t>One canal.</w:t>
            </w:r>
          </w:p>
          <w:p w14:paraId="0A339B9C" w14:textId="77777777" w:rsidR="00BA1475" w:rsidRPr="00BA1475" w:rsidRDefault="00BA1475" w:rsidP="00BA1475">
            <w:pPr>
              <w:spacing w:after="0" w:line="240" w:lineRule="auto"/>
              <w:textAlignment w:val="baseline"/>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To ensure compliance with the DNSH principles in line with the DNSH Guidelines (2021/C58/01), the measure shall:</w:t>
            </w:r>
          </w:p>
          <w:p w14:paraId="78E56731" w14:textId="77777777" w:rsidR="00BA1475" w:rsidRPr="00BA1475" w:rsidRDefault="00BA1475" w:rsidP="00BA1475">
            <w:pPr>
              <w:numPr>
                <w:ilvl w:val="0"/>
                <w:numId w:val="53"/>
              </w:numPr>
              <w:spacing w:before="120" w:after="0" w:line="240" w:lineRule="auto"/>
              <w:ind w:left="357" w:hanging="357"/>
              <w:contextualSpacing/>
              <w:textAlignment w:val="baseline"/>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where relevant, include “appropriate assessments” as referred to in article 6(3) of the Habitats Directive in order to assess the impacts of the proposed measures on protected species and habitats (as defined under the Birds Directive (Directive 2009/147/EC) and the Habitats Directives (Council Directive </w:t>
            </w:r>
            <w:r w:rsidRPr="00BA1475">
              <w:rPr>
                <w:rFonts w:ascii="Arial Narrow" w:eastAsia="Calibri" w:hAnsi="Arial Narrow" w:cs="Times New Roman"/>
                <w:noProof/>
                <w:kern w:val="0"/>
                <w:sz w:val="16"/>
                <w:szCs w:val="16"/>
                <w:lang w:val="en-GB"/>
                <w14:ligatures w14:val="none"/>
              </w:rPr>
              <w:lastRenderedPageBreak/>
              <w:t>92/43/EEC)). These appropriate assessments should be carried out for all projects located in or near biodiversity-sensitive areas;</w:t>
            </w:r>
          </w:p>
          <w:p w14:paraId="13B4B37F" w14:textId="77777777" w:rsidR="00BA1475" w:rsidRPr="00BA1475" w:rsidRDefault="00BA1475" w:rsidP="00BA1475">
            <w:pPr>
              <w:numPr>
                <w:ilvl w:val="0"/>
                <w:numId w:val="53"/>
              </w:numPr>
              <w:spacing w:before="120" w:after="0" w:line="240" w:lineRule="auto"/>
              <w:ind w:left="357" w:hanging="357"/>
              <w:contextualSpacing/>
              <w:textAlignment w:val="baseline"/>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ensure that the sites in relation to which an appropriate assessment are carried out have site-specific conservation objectives and that necessary conservation measures are in place in line with the Habitats Directive;  </w:t>
            </w:r>
          </w:p>
          <w:p w14:paraId="1656C9CF" w14:textId="77777777" w:rsidR="00BA1475" w:rsidRPr="00BA1475" w:rsidRDefault="00BA1475" w:rsidP="00BA1475">
            <w:pPr>
              <w:numPr>
                <w:ilvl w:val="0"/>
                <w:numId w:val="53"/>
              </w:numPr>
              <w:spacing w:before="120" w:after="0" w:line="240" w:lineRule="auto"/>
              <w:ind w:left="357" w:hanging="357"/>
              <w:contextualSpacing/>
              <w:textAlignment w:val="baseline"/>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ensure full compliance with the Water Framework Directive (Directive/2000/60/EC) and not cause net-deterioration in the status of water bodies, in conformity with Article 4.7 of this Directive.</w:t>
            </w:r>
          </w:p>
          <w:p w14:paraId="1A88C64B" w14:textId="77777777" w:rsidR="00BA1475" w:rsidRPr="00BA1475" w:rsidRDefault="00BA1475" w:rsidP="00BA1475">
            <w:pPr>
              <w:spacing w:after="0" w:line="240" w:lineRule="auto"/>
              <w:rPr>
                <w:rFonts w:ascii="Arial Narrow" w:eastAsia="MS Mincho" w:hAnsi="Arial Narrow" w:cs="Times New Roman"/>
                <w:noProof/>
                <w:kern w:val="0"/>
                <w:sz w:val="16"/>
                <w:szCs w:val="16"/>
                <w:highlight w:val="yellow"/>
                <w:lang w:val="en-US"/>
                <w14:ligatures w14:val="none"/>
              </w:rPr>
            </w:pPr>
          </w:p>
        </w:tc>
      </w:tr>
    </w:tbl>
    <w:p w14:paraId="0DEEC423" w14:textId="77777777" w:rsidR="00BA1475" w:rsidRPr="00BA1475" w:rsidRDefault="00BA1475" w:rsidP="00BA1475">
      <w:pPr>
        <w:ind w:left="709"/>
        <w:contextualSpacing/>
        <w:jc w:val="both"/>
        <w:rPr>
          <w:rFonts w:ascii="Arial Narrow" w:eastAsia="Calibri" w:hAnsi="Arial Narrow" w:cs="Times New Roman"/>
          <w:noProof/>
          <w:kern w:val="0"/>
          <w:lang w:val="en-GB"/>
          <w14:ligatures w14:val="none"/>
        </w:rPr>
        <w:sectPr w:rsidR="00BA1475" w:rsidRPr="00BA1475" w:rsidSect="00BA1475">
          <w:headerReference w:type="even" r:id="rId26"/>
          <w:headerReference w:type="default" r:id="rId27"/>
          <w:footerReference w:type="even" r:id="rId28"/>
          <w:footerReference w:type="default" r:id="rId29"/>
          <w:headerReference w:type="first" r:id="rId30"/>
          <w:footerReference w:type="first" r:id="rId31"/>
          <w:pgSz w:w="16839" w:h="11907" w:orient="landscape"/>
          <w:pgMar w:top="567" w:right="567" w:bottom="567" w:left="1276" w:header="709" w:footer="709" w:gutter="0"/>
          <w:cols w:space="720"/>
          <w:docGrid w:linePitch="360"/>
        </w:sectPr>
      </w:pPr>
    </w:p>
    <w:p w14:paraId="1BE71F4D" w14:textId="77777777" w:rsidR="00BA1475" w:rsidRPr="00BA1475" w:rsidRDefault="00BA1475" w:rsidP="00BA1475">
      <w:pPr>
        <w:keepNext/>
        <w:keepLines/>
        <w:spacing w:before="40" w:after="240"/>
        <w:ind w:left="850"/>
        <w:outlineLvl w:val="1"/>
        <w:rPr>
          <w:rFonts w:ascii="Arial Narrow" w:eastAsia="MS Mincho" w:hAnsi="Arial Narrow" w:cs="Times New Roman"/>
          <w:b/>
          <w:bCs/>
          <w:noProof/>
          <w:kern w:val="0"/>
          <w:sz w:val="24"/>
          <w:szCs w:val="26"/>
          <w:lang w:val="en-GB"/>
          <w14:ligatures w14:val="none"/>
        </w:rPr>
      </w:pPr>
      <w:r w:rsidRPr="00BA1475">
        <w:rPr>
          <w:rFonts w:ascii="Arial Narrow" w:eastAsia="MS Gothic" w:hAnsi="Arial Narrow" w:cs="Times New Roman"/>
          <w:b/>
          <w:bCs/>
          <w:noProof/>
          <w:kern w:val="0"/>
          <w:sz w:val="24"/>
          <w:szCs w:val="26"/>
          <w:lang w:val="en-GB"/>
          <w14:ligatures w14:val="none"/>
        </w:rPr>
        <w:lastRenderedPageBreak/>
        <w:t>B</w:t>
      </w:r>
      <w:r w:rsidRPr="00BA1475">
        <w:rPr>
          <w:rFonts w:ascii="Arial Narrow" w:eastAsia="MS Mincho" w:hAnsi="Arial Narrow" w:cs="Times New Roman"/>
          <w:b/>
          <w:bCs/>
          <w:noProof/>
          <w:kern w:val="0"/>
          <w:sz w:val="24"/>
          <w:szCs w:val="26"/>
          <w:lang w:val="en-GB"/>
          <w14:ligatures w14:val="none"/>
        </w:rPr>
        <w:t xml:space="preserve">. COMPONENT 2: </w:t>
      </w:r>
      <w:r w:rsidRPr="00BA1475">
        <w:rPr>
          <w:rFonts w:ascii="Arial Narrow" w:eastAsia="MS Gothic" w:hAnsi="Arial Narrow" w:cs="Times New Roman"/>
          <w:b/>
          <w:bCs/>
          <w:noProof/>
          <w:kern w:val="0"/>
          <w:sz w:val="24"/>
          <w:szCs w:val="26"/>
          <w:lang w:val="en-GB"/>
          <w14:ligatures w14:val="none"/>
        </w:rPr>
        <w:t>DIGITAL TRANSFORMATION</w:t>
      </w:r>
    </w:p>
    <w:tbl>
      <w:tblPr>
        <w:tblW w:w="16022" w:type="dxa"/>
        <w:jc w:val="center"/>
        <w:tblLayout w:type="fixed"/>
        <w:tblLook w:val="04A0" w:firstRow="1" w:lastRow="0" w:firstColumn="1" w:lastColumn="0" w:noHBand="0" w:noVBand="1"/>
      </w:tblPr>
      <w:tblGrid>
        <w:gridCol w:w="414"/>
        <w:gridCol w:w="1458"/>
        <w:gridCol w:w="850"/>
        <w:gridCol w:w="1134"/>
        <w:gridCol w:w="992"/>
        <w:gridCol w:w="851"/>
        <w:gridCol w:w="850"/>
        <w:gridCol w:w="993"/>
        <w:gridCol w:w="425"/>
        <w:gridCol w:w="567"/>
        <w:gridCol w:w="1843"/>
        <w:gridCol w:w="1134"/>
        <w:gridCol w:w="2102"/>
        <w:gridCol w:w="2409"/>
      </w:tblGrid>
      <w:tr w:rsidR="009C5ECA" w:rsidRPr="00BA1475" w14:paraId="0E83B0DC" w14:textId="77777777" w:rsidTr="009C5ECA">
        <w:trPr>
          <w:tblHeader/>
          <w:jc w:val="center"/>
        </w:trPr>
        <w:tc>
          <w:tcPr>
            <w:tcW w:w="414"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tcPr>
          <w:p w14:paraId="0CA88360"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noProof/>
                <w:kern w:val="0"/>
                <w:sz w:val="16"/>
                <w:szCs w:val="16"/>
                <w:lang w:val="en-GB" w:eastAsia="en-GB"/>
                <w14:ligatures w14:val="none"/>
              </w:rPr>
              <w:t>#</w:t>
            </w:r>
          </w:p>
        </w:tc>
        <w:tc>
          <w:tcPr>
            <w:tcW w:w="1458"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tcPr>
          <w:p w14:paraId="37C4A868"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Related Measure (Reform or Investment)</w:t>
            </w:r>
          </w:p>
        </w:tc>
        <w:tc>
          <w:tcPr>
            <w:tcW w:w="850"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tcPr>
          <w:p w14:paraId="0E7D6FE8"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M/T</w:t>
            </w:r>
          </w:p>
        </w:tc>
        <w:tc>
          <w:tcPr>
            <w:tcW w:w="1134"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tcPr>
          <w:p w14:paraId="7D3ACDC0"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Name</w:t>
            </w:r>
          </w:p>
        </w:tc>
        <w:tc>
          <w:tcPr>
            <w:tcW w:w="992" w:type="dxa"/>
            <w:vMerge w:val="restart"/>
            <w:tcBorders>
              <w:top w:val="single" w:sz="4" w:space="0" w:color="auto"/>
              <w:left w:val="single" w:sz="4" w:space="0" w:color="000000" w:themeColor="text1"/>
              <w:bottom w:val="single" w:sz="4" w:space="0" w:color="auto"/>
              <w:right w:val="single" w:sz="4" w:space="0" w:color="auto"/>
            </w:tcBorders>
            <w:shd w:val="clear" w:color="auto" w:fill="BDD7EE"/>
            <w:vAlign w:val="center"/>
          </w:tcPr>
          <w:p w14:paraId="53F440F9"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Qualitative indicators </w:t>
            </w:r>
            <w:r w:rsidRPr="00BA1475">
              <w:rPr>
                <w:rFonts w:ascii="Arial Narrow" w:eastAsia="Calibri" w:hAnsi="Arial Narrow" w:cs="Times New Roman"/>
                <w:b/>
                <w:noProof/>
                <w:kern w:val="0"/>
                <w:sz w:val="16"/>
                <w:szCs w:val="16"/>
                <w:lang w:val="en-GB"/>
                <w14:ligatures w14:val="none"/>
              </w:rPr>
              <w:br/>
            </w:r>
            <w:r w:rsidRPr="00BA1475">
              <w:rPr>
                <w:rFonts w:ascii="Arial Narrow" w:eastAsia="Times New Roman" w:hAnsi="Arial Narrow" w:cs="Times New Roman"/>
                <w:b/>
                <w:bCs/>
                <w:noProof/>
                <w:kern w:val="0"/>
                <w:sz w:val="16"/>
                <w:szCs w:val="16"/>
                <w:lang w:val="en-GB" w:eastAsia="en-GB"/>
                <w14:ligatures w14:val="none"/>
              </w:rPr>
              <w:t>(for milestones)</w:t>
            </w:r>
          </w:p>
        </w:tc>
        <w:tc>
          <w:tcPr>
            <w:tcW w:w="2694"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5C6D84F8"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Quantitative indicators </w:t>
            </w:r>
            <w:r w:rsidRPr="00BA1475">
              <w:rPr>
                <w:rFonts w:ascii="Arial Narrow" w:eastAsia="Calibri" w:hAnsi="Arial Narrow" w:cs="Times New Roman"/>
                <w:b/>
                <w:noProof/>
                <w:kern w:val="0"/>
                <w:sz w:val="16"/>
                <w:szCs w:val="16"/>
                <w:lang w:val="en-GB"/>
                <w14:ligatures w14:val="none"/>
              </w:rPr>
              <w:br/>
            </w:r>
            <w:r w:rsidRPr="00BA1475">
              <w:rPr>
                <w:rFonts w:ascii="Arial Narrow" w:eastAsia="Times New Roman" w:hAnsi="Arial Narrow" w:cs="Times New Roman"/>
                <w:b/>
                <w:bCs/>
                <w:noProof/>
                <w:kern w:val="0"/>
                <w:sz w:val="16"/>
                <w:szCs w:val="16"/>
                <w:lang w:val="en-GB" w:eastAsia="en-GB"/>
                <w14:ligatures w14:val="none"/>
              </w:rPr>
              <w:t>(for targets)</w:t>
            </w:r>
          </w:p>
        </w:tc>
        <w:tc>
          <w:tcPr>
            <w:tcW w:w="992"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7093093D" w14:textId="77777777" w:rsidR="00BA1475" w:rsidRPr="00BA1475" w:rsidRDefault="00BA1475" w:rsidP="00BA1475">
            <w:pPr>
              <w:spacing w:after="0" w:line="240" w:lineRule="auto"/>
              <w:jc w:val="center"/>
              <w:rPr>
                <w:rFonts w:ascii="Arial Narrow" w:eastAsia="Calibri" w:hAnsi="Arial Narrow" w:cs="Times New Roman"/>
                <w:b/>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Indicative timeline for completion</w:t>
            </w:r>
          </w:p>
        </w:tc>
        <w:tc>
          <w:tcPr>
            <w:tcW w:w="1843" w:type="dxa"/>
            <w:vMerge w:val="restart"/>
            <w:tcBorders>
              <w:top w:val="single" w:sz="4" w:space="0" w:color="auto"/>
              <w:left w:val="single" w:sz="4" w:space="0" w:color="auto"/>
              <w:bottom w:val="single" w:sz="4" w:space="0" w:color="auto"/>
              <w:right w:val="single" w:sz="4" w:space="0" w:color="000000" w:themeColor="text1"/>
            </w:tcBorders>
            <w:shd w:val="clear" w:color="auto" w:fill="BDD7EE"/>
            <w:vAlign w:val="center"/>
          </w:tcPr>
          <w:p w14:paraId="53D65F9F"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Responsibility for reporting and implementation</w:t>
            </w:r>
          </w:p>
        </w:tc>
        <w:tc>
          <w:tcPr>
            <w:tcW w:w="1134"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tcPr>
          <w:p w14:paraId="621F3758"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Further specifications (if necessary)</w:t>
            </w:r>
          </w:p>
        </w:tc>
        <w:tc>
          <w:tcPr>
            <w:tcW w:w="2102"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tcPr>
          <w:p w14:paraId="629B09FA" w14:textId="77777777" w:rsidR="00BA1475" w:rsidRPr="00BA1475" w:rsidRDefault="00BA1475" w:rsidP="00BA1475">
            <w:pPr>
              <w:spacing w:after="0" w:line="240" w:lineRule="auto"/>
              <w:jc w:val="center"/>
              <w:rPr>
                <w:rFonts w:ascii="Arial Narrow" w:eastAsia="Times New Roman" w:hAnsi="Arial Narrow" w:cs="Times New Roman"/>
                <w:b/>
                <w:bCs/>
                <w:noProof/>
                <w:color w:val="4F6228"/>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Verification mechanism</w:t>
            </w:r>
          </w:p>
        </w:tc>
        <w:tc>
          <w:tcPr>
            <w:tcW w:w="2409"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tcPr>
          <w:p w14:paraId="70DAA1F2" w14:textId="77777777" w:rsidR="00BA1475" w:rsidRPr="00BA1475" w:rsidRDefault="00BA1475" w:rsidP="00BA1475">
            <w:pPr>
              <w:spacing w:after="0" w:line="240" w:lineRule="auto"/>
              <w:jc w:val="center"/>
              <w:rPr>
                <w:rFonts w:ascii="Arial Narrow" w:eastAsia="Calibri" w:hAnsi="Arial Narrow" w:cs="Calibri"/>
                <w:b/>
                <w:noProof/>
                <w:kern w:val="0"/>
                <w:sz w:val="16"/>
                <w:szCs w:val="16"/>
                <w:lang w:val="en-GB"/>
                <w14:ligatures w14:val="none"/>
              </w:rPr>
            </w:pPr>
            <w:r w:rsidRPr="00BA1475">
              <w:rPr>
                <w:rFonts w:ascii="Arial Narrow" w:eastAsia="Times New Roman" w:hAnsi="Arial Narrow" w:cs="Times New Roman"/>
                <w:b/>
                <w:noProof/>
                <w:kern w:val="0"/>
                <w:sz w:val="16"/>
                <w:szCs w:val="16"/>
                <w:lang w:val="en-GB" w:eastAsia="en-IE"/>
                <w14:ligatures w14:val="none"/>
              </w:rPr>
              <w:t>Milestone and target description</w:t>
            </w:r>
          </w:p>
        </w:tc>
      </w:tr>
      <w:tr w:rsidR="009C5ECA" w:rsidRPr="00BA1475" w14:paraId="1E0B96B6" w14:textId="77777777" w:rsidTr="009C5ECA">
        <w:trPr>
          <w:tblHeader/>
          <w:jc w:val="center"/>
        </w:trPr>
        <w:tc>
          <w:tcPr>
            <w:tcW w:w="414" w:type="dxa"/>
            <w:vMerge/>
            <w:tcBorders>
              <w:top w:val="single" w:sz="4" w:space="0" w:color="auto"/>
              <w:left w:val="single" w:sz="4" w:space="0" w:color="000000" w:themeColor="text1"/>
              <w:right w:val="single" w:sz="4" w:space="0" w:color="000000" w:themeColor="text1"/>
            </w:tcBorders>
          </w:tcPr>
          <w:p w14:paraId="6D24A9C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1458" w:type="dxa"/>
            <w:vMerge/>
            <w:tcBorders>
              <w:top w:val="single" w:sz="4" w:space="0" w:color="auto"/>
              <w:left w:val="single" w:sz="4" w:space="0" w:color="000000" w:themeColor="text1"/>
              <w:right w:val="single" w:sz="4" w:space="0" w:color="000000" w:themeColor="text1"/>
            </w:tcBorders>
          </w:tcPr>
          <w:p w14:paraId="329250E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0" w:type="dxa"/>
            <w:vMerge/>
            <w:tcBorders>
              <w:top w:val="single" w:sz="4" w:space="0" w:color="auto"/>
              <w:left w:val="single" w:sz="4" w:space="0" w:color="000000" w:themeColor="text1"/>
              <w:right w:val="single" w:sz="4" w:space="0" w:color="000000" w:themeColor="text1"/>
            </w:tcBorders>
          </w:tcPr>
          <w:p w14:paraId="3236491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1134" w:type="dxa"/>
            <w:vMerge/>
            <w:tcBorders>
              <w:top w:val="single" w:sz="4" w:space="0" w:color="auto"/>
              <w:left w:val="single" w:sz="4" w:space="0" w:color="000000" w:themeColor="text1"/>
              <w:right w:val="single" w:sz="4" w:space="0" w:color="000000" w:themeColor="text1"/>
            </w:tcBorders>
          </w:tcPr>
          <w:p w14:paraId="679FDB4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992" w:type="dxa"/>
            <w:vMerge/>
            <w:tcBorders>
              <w:top w:val="single" w:sz="4" w:space="0" w:color="auto"/>
              <w:left w:val="single" w:sz="4" w:space="0" w:color="000000" w:themeColor="text1"/>
            </w:tcBorders>
          </w:tcPr>
          <w:p w14:paraId="7AAB919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tcPr>
          <w:p w14:paraId="22FD88E1"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Unit</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tcPr>
          <w:p w14:paraId="7378E199"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Baseline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7F739DD1" w14:textId="77777777" w:rsidR="00BA1475" w:rsidRPr="00BA1475" w:rsidRDefault="00BA1475" w:rsidP="00BA1475">
            <w:pPr>
              <w:spacing w:after="0" w:line="240" w:lineRule="auto"/>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Goal</w:t>
            </w:r>
          </w:p>
        </w:tc>
        <w:tc>
          <w:tcPr>
            <w:tcW w:w="425" w:type="dxa"/>
            <w:tcBorders>
              <w:top w:val="single" w:sz="4" w:space="0" w:color="auto"/>
              <w:left w:val="single" w:sz="4" w:space="0" w:color="auto"/>
              <w:bottom w:val="single" w:sz="4" w:space="0" w:color="auto"/>
              <w:right w:val="single" w:sz="4" w:space="0" w:color="auto"/>
            </w:tcBorders>
            <w:shd w:val="clear" w:color="auto" w:fill="BDD7EE"/>
            <w:vAlign w:val="center"/>
          </w:tcPr>
          <w:p w14:paraId="117A6938" w14:textId="77777777" w:rsidR="00BA1475" w:rsidRPr="00BA1475" w:rsidRDefault="00BA1475" w:rsidP="00BA1475">
            <w:pPr>
              <w:spacing w:after="0" w:line="240" w:lineRule="auto"/>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Q</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tcPr>
          <w:p w14:paraId="20233A6D"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Year</w:t>
            </w:r>
          </w:p>
        </w:tc>
        <w:tc>
          <w:tcPr>
            <w:tcW w:w="1843" w:type="dxa"/>
            <w:vMerge/>
            <w:tcBorders>
              <w:top w:val="single" w:sz="4" w:space="0" w:color="auto"/>
              <w:right w:val="single" w:sz="4" w:space="0" w:color="000000" w:themeColor="text1"/>
            </w:tcBorders>
          </w:tcPr>
          <w:p w14:paraId="02851A1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1134" w:type="dxa"/>
            <w:vMerge/>
            <w:tcBorders>
              <w:top w:val="single" w:sz="4" w:space="0" w:color="auto"/>
              <w:left w:val="single" w:sz="4" w:space="0" w:color="000000" w:themeColor="text1"/>
              <w:right w:val="single" w:sz="4" w:space="0" w:color="000000" w:themeColor="text1"/>
            </w:tcBorders>
          </w:tcPr>
          <w:p w14:paraId="47471B4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vMerge/>
            <w:tcBorders>
              <w:top w:val="single" w:sz="4" w:space="0" w:color="auto"/>
              <w:left w:val="single" w:sz="4" w:space="0" w:color="000000" w:themeColor="text1"/>
              <w:right w:val="single" w:sz="4" w:space="0" w:color="000000" w:themeColor="text1"/>
            </w:tcBorders>
          </w:tcPr>
          <w:p w14:paraId="0DED7538" w14:textId="77777777" w:rsidR="00BA1475" w:rsidRPr="00BA1475" w:rsidRDefault="00BA1475" w:rsidP="00BA1475">
            <w:pPr>
              <w:spacing w:after="0" w:line="240" w:lineRule="auto"/>
              <w:rPr>
                <w:rFonts w:ascii="Arial Narrow" w:eastAsia="Calibri" w:hAnsi="Arial Narrow" w:cs="Times New Roman"/>
                <w:noProof/>
                <w:color w:val="4F6228"/>
                <w:kern w:val="0"/>
                <w:sz w:val="16"/>
                <w:szCs w:val="16"/>
                <w:lang w:val="en-GB"/>
                <w14:ligatures w14:val="none"/>
              </w:rPr>
            </w:pPr>
          </w:p>
        </w:tc>
        <w:tc>
          <w:tcPr>
            <w:tcW w:w="2409" w:type="dxa"/>
            <w:vMerge/>
            <w:tcBorders>
              <w:top w:val="single" w:sz="4" w:space="0" w:color="auto"/>
              <w:left w:val="single" w:sz="4" w:space="0" w:color="000000" w:themeColor="text1"/>
              <w:right w:val="single" w:sz="4" w:space="0" w:color="000000" w:themeColor="text1"/>
            </w:tcBorders>
          </w:tcPr>
          <w:p w14:paraId="69B69F5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r>
      <w:tr w:rsidR="009C5ECA" w:rsidRPr="00BA1475" w14:paraId="6846059B" w14:textId="77777777" w:rsidTr="009C5ECA">
        <w:trPr>
          <w:jc w:val="center"/>
        </w:trPr>
        <w:tc>
          <w:tcPr>
            <w:tcW w:w="414" w:type="dxa"/>
            <w:tcBorders>
              <w:top w:val="single" w:sz="4" w:space="0" w:color="auto"/>
              <w:left w:val="single" w:sz="4" w:space="0" w:color="000000" w:themeColor="text1"/>
              <w:bottom w:val="single" w:sz="4" w:space="0" w:color="auto"/>
              <w:right w:val="single" w:sz="4" w:space="0" w:color="000000" w:themeColor="text1"/>
            </w:tcBorders>
            <w:shd w:val="clear" w:color="auto" w:fill="C6EFCE"/>
          </w:tcPr>
          <w:p w14:paraId="3DA1903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27</w:t>
            </w:r>
          </w:p>
        </w:tc>
        <w:tc>
          <w:tcPr>
            <w:tcW w:w="1458" w:type="dxa"/>
            <w:tcBorders>
              <w:top w:val="single" w:sz="4" w:space="0" w:color="auto"/>
              <w:left w:val="single" w:sz="4" w:space="0" w:color="000000" w:themeColor="text1"/>
              <w:bottom w:val="single" w:sz="4" w:space="0" w:color="auto"/>
              <w:right w:val="single" w:sz="4" w:space="0" w:color="000000" w:themeColor="text1"/>
            </w:tcBorders>
            <w:shd w:val="clear" w:color="auto" w:fill="C6EFCE"/>
          </w:tcPr>
          <w:p w14:paraId="7A278957" w14:textId="77777777" w:rsidR="00BA1475" w:rsidRPr="00BA1475" w:rsidRDefault="00BA1475" w:rsidP="00BA1475">
            <w:pPr>
              <w:spacing w:before="120" w:after="12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2.1.1.r.</w:t>
            </w:r>
          </w:p>
          <w:p w14:paraId="59CCC13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Modernisation of national processes and services and digital transformation</w:t>
            </w:r>
          </w:p>
        </w:tc>
        <w:tc>
          <w:tcPr>
            <w:tcW w:w="850" w:type="dxa"/>
            <w:tcBorders>
              <w:top w:val="single" w:sz="4" w:space="0" w:color="auto"/>
              <w:left w:val="single" w:sz="4" w:space="0" w:color="000000" w:themeColor="text1"/>
              <w:bottom w:val="single" w:sz="4" w:space="0" w:color="auto"/>
              <w:right w:val="single" w:sz="4" w:space="0" w:color="auto"/>
            </w:tcBorders>
            <w:shd w:val="clear" w:color="auto" w:fill="C6EFCE"/>
          </w:tcPr>
          <w:p w14:paraId="1F1E646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4" w:space="0" w:color="auto"/>
              <w:left w:val="single" w:sz="4" w:space="0" w:color="auto"/>
              <w:bottom w:val="single" w:sz="4" w:space="0" w:color="auto"/>
              <w:right w:val="single" w:sz="4" w:space="0" w:color="000000" w:themeColor="text1"/>
            </w:tcBorders>
            <w:shd w:val="clear" w:color="auto" w:fill="C6EFCE"/>
          </w:tcPr>
          <w:p w14:paraId="6BFFA1E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Establishment of a framework for unified governance management of ICT development activities in public administration</w:t>
            </w:r>
          </w:p>
        </w:tc>
        <w:tc>
          <w:tcPr>
            <w:tcW w:w="992" w:type="dxa"/>
            <w:tcBorders>
              <w:top w:val="single" w:sz="4" w:space="0" w:color="auto"/>
              <w:left w:val="single" w:sz="4" w:space="0" w:color="000000" w:themeColor="text1"/>
              <w:bottom w:val="single" w:sz="4" w:space="0" w:color="auto"/>
              <w:right w:val="single" w:sz="4" w:space="0" w:color="auto"/>
            </w:tcBorders>
            <w:shd w:val="clear" w:color="auto" w:fill="C6EFCE"/>
          </w:tcPr>
          <w:p w14:paraId="48F41CB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the legal framework</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7FEC96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6480AF2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37CD7E3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616F92D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060346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843" w:type="dxa"/>
            <w:tcBorders>
              <w:top w:val="single" w:sz="4" w:space="0" w:color="auto"/>
              <w:left w:val="single" w:sz="4" w:space="0" w:color="auto"/>
              <w:bottom w:val="single" w:sz="4" w:space="0" w:color="auto"/>
              <w:right w:val="single" w:sz="4" w:space="0" w:color="000000" w:themeColor="text1"/>
            </w:tcBorders>
            <w:shd w:val="clear" w:color="auto" w:fill="C6EFCE"/>
          </w:tcPr>
          <w:p w14:paraId="55C7B43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w:t>
            </w:r>
          </w:p>
        </w:tc>
        <w:tc>
          <w:tcPr>
            <w:tcW w:w="1134" w:type="dxa"/>
            <w:tcBorders>
              <w:top w:val="single" w:sz="4" w:space="0" w:color="auto"/>
              <w:left w:val="single" w:sz="4" w:space="0" w:color="000000" w:themeColor="text1"/>
              <w:bottom w:val="single" w:sz="4" w:space="0" w:color="auto"/>
              <w:right w:val="single" w:sz="4" w:space="0" w:color="000000" w:themeColor="text1"/>
            </w:tcBorders>
            <w:shd w:val="clear" w:color="auto" w:fill="C6EFCE"/>
          </w:tcPr>
          <w:p w14:paraId="695905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000000" w:themeColor="text1"/>
              <w:bottom w:val="single" w:sz="4" w:space="0" w:color="auto"/>
              <w:right w:val="single" w:sz="4" w:space="0" w:color="000000" w:themeColor="text1"/>
            </w:tcBorders>
            <w:shd w:val="clear" w:color="auto" w:fill="C6EFCE"/>
          </w:tcPr>
          <w:p w14:paraId="173DC4C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relevant legislative acts and the link to the publication in the Official Journal, including a reference to the provision indicating the entry into force, accompanied by a summary document duly justifying how the milestone (including all the constitutive elements) was satisfactorily fulfilled, with appropriate links to the underlying evidence.</w:t>
            </w:r>
          </w:p>
        </w:tc>
        <w:tc>
          <w:tcPr>
            <w:tcW w:w="2409" w:type="dxa"/>
            <w:tcBorders>
              <w:top w:val="single" w:sz="4" w:space="0" w:color="auto"/>
              <w:left w:val="single" w:sz="4" w:space="0" w:color="000000" w:themeColor="text1"/>
              <w:bottom w:val="single" w:sz="4" w:space="0" w:color="auto"/>
              <w:right w:val="single" w:sz="4" w:space="0" w:color="000000" w:themeColor="text1"/>
            </w:tcBorders>
            <w:shd w:val="clear" w:color="auto" w:fill="C6EFCE"/>
          </w:tcPr>
          <w:p w14:paraId="37B2EB1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Regulations of the Cabinet of Ministers laying down common procedures for monitoring ICT development activities entered into force. </w:t>
            </w:r>
          </w:p>
          <w:p w14:paraId="65F0F72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For the new regulations to be applicable for all ICT development activities within the scope of the measures of the Latvian recovery and resilience plan (including municipalities), the scope of the Law of State Information Systems  shall be extended. If adoption of the amendments to the law are delayed, temporary regulation to supplement specific normative framework for specific regulations for respective ICT project activities issued.</w:t>
            </w:r>
          </w:p>
        </w:tc>
      </w:tr>
      <w:tr w:rsidR="009C5ECA" w:rsidRPr="00BA1475" w14:paraId="4C8D7C86" w14:textId="77777777" w:rsidTr="009C5ECA">
        <w:trPr>
          <w:jc w:val="center"/>
        </w:trPr>
        <w:tc>
          <w:tcPr>
            <w:tcW w:w="414" w:type="dxa"/>
            <w:tcBorders>
              <w:top w:val="single" w:sz="4" w:space="0" w:color="auto"/>
              <w:left w:val="single" w:sz="8" w:space="0" w:color="auto"/>
              <w:bottom w:val="single" w:sz="8" w:space="0" w:color="auto"/>
              <w:right w:val="single" w:sz="8" w:space="0" w:color="auto"/>
            </w:tcBorders>
            <w:shd w:val="clear" w:color="auto" w:fill="C6EFCE"/>
          </w:tcPr>
          <w:p w14:paraId="6151E9D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28</w:t>
            </w:r>
          </w:p>
        </w:tc>
        <w:tc>
          <w:tcPr>
            <w:tcW w:w="1458" w:type="dxa"/>
            <w:tcBorders>
              <w:top w:val="single" w:sz="4" w:space="0" w:color="auto"/>
              <w:left w:val="single" w:sz="8" w:space="0" w:color="auto"/>
              <w:bottom w:val="single" w:sz="8" w:space="0" w:color="auto"/>
              <w:right w:val="single" w:sz="8" w:space="0" w:color="auto"/>
            </w:tcBorders>
            <w:shd w:val="clear" w:color="auto" w:fill="C6EFCE"/>
          </w:tcPr>
          <w:p w14:paraId="1E85CC55" w14:textId="77777777" w:rsidR="00BA1475" w:rsidRPr="00BA1475" w:rsidRDefault="00BA1475" w:rsidP="00BA1475">
            <w:pPr>
              <w:spacing w:after="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2.1.1.r.</w:t>
            </w:r>
          </w:p>
          <w:p w14:paraId="0DFC94D3" w14:textId="77777777" w:rsidR="00BA1475" w:rsidRPr="00BA1475" w:rsidRDefault="00BA1475" w:rsidP="00BA1475">
            <w:pPr>
              <w:spacing w:after="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Modernisation of national processes and services and digital transformation</w:t>
            </w:r>
          </w:p>
        </w:tc>
        <w:tc>
          <w:tcPr>
            <w:tcW w:w="850" w:type="dxa"/>
            <w:tcBorders>
              <w:top w:val="single" w:sz="4" w:space="0" w:color="auto"/>
              <w:left w:val="single" w:sz="8" w:space="0" w:color="auto"/>
              <w:bottom w:val="single" w:sz="8" w:space="0" w:color="auto"/>
              <w:right w:val="single" w:sz="8" w:space="0" w:color="auto"/>
            </w:tcBorders>
            <w:shd w:val="clear" w:color="auto" w:fill="C6EFCE"/>
          </w:tcPr>
          <w:p w14:paraId="2DE6221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4" w:space="0" w:color="auto"/>
              <w:left w:val="single" w:sz="8" w:space="0" w:color="auto"/>
              <w:bottom w:val="single" w:sz="8" w:space="0" w:color="auto"/>
              <w:right w:val="single" w:sz="8" w:space="0" w:color="auto"/>
            </w:tcBorders>
            <w:shd w:val="clear" w:color="auto" w:fill="C6EFCE"/>
          </w:tcPr>
          <w:p w14:paraId="70B7ACF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Establishment of a normative framework for receiving support in the field of digital transformation of public administration processes and services</w:t>
            </w:r>
          </w:p>
        </w:tc>
        <w:tc>
          <w:tcPr>
            <w:tcW w:w="992" w:type="dxa"/>
            <w:tcBorders>
              <w:top w:val="single" w:sz="4" w:space="0" w:color="auto"/>
              <w:left w:val="single" w:sz="8" w:space="0" w:color="auto"/>
              <w:bottom w:val="single" w:sz="8" w:space="0" w:color="auto"/>
              <w:right w:val="single" w:sz="8" w:space="0" w:color="auto"/>
            </w:tcBorders>
            <w:shd w:val="clear" w:color="auto" w:fill="C6EFCE"/>
          </w:tcPr>
          <w:p w14:paraId="5173784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the legal framework</w:t>
            </w:r>
          </w:p>
        </w:tc>
        <w:tc>
          <w:tcPr>
            <w:tcW w:w="851" w:type="dxa"/>
            <w:tcBorders>
              <w:top w:val="single" w:sz="4" w:space="0" w:color="auto"/>
              <w:left w:val="single" w:sz="8" w:space="0" w:color="auto"/>
              <w:bottom w:val="single" w:sz="8" w:space="0" w:color="auto"/>
              <w:right w:val="single" w:sz="8" w:space="0" w:color="auto"/>
            </w:tcBorders>
            <w:shd w:val="clear" w:color="auto" w:fill="C6EFCE"/>
          </w:tcPr>
          <w:p w14:paraId="55DA92C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4" w:space="0" w:color="auto"/>
              <w:left w:val="single" w:sz="8" w:space="0" w:color="auto"/>
              <w:bottom w:val="single" w:sz="8" w:space="0" w:color="auto"/>
              <w:right w:val="single" w:sz="8" w:space="0" w:color="auto"/>
            </w:tcBorders>
            <w:shd w:val="clear" w:color="auto" w:fill="C6EFCE"/>
          </w:tcPr>
          <w:p w14:paraId="3D3D218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4" w:space="0" w:color="auto"/>
              <w:left w:val="single" w:sz="8" w:space="0" w:color="auto"/>
              <w:bottom w:val="single" w:sz="8" w:space="0" w:color="auto"/>
              <w:right w:val="single" w:sz="8" w:space="0" w:color="auto"/>
            </w:tcBorders>
            <w:shd w:val="clear" w:color="auto" w:fill="C6EFCE"/>
          </w:tcPr>
          <w:p w14:paraId="6D3CE87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4" w:space="0" w:color="auto"/>
              <w:left w:val="single" w:sz="8" w:space="0" w:color="auto"/>
              <w:bottom w:val="single" w:sz="8" w:space="0" w:color="auto"/>
              <w:right w:val="single" w:sz="8" w:space="0" w:color="auto"/>
            </w:tcBorders>
            <w:shd w:val="clear" w:color="auto" w:fill="C6EFCE"/>
          </w:tcPr>
          <w:p w14:paraId="54AF6A6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4" w:space="0" w:color="auto"/>
              <w:left w:val="single" w:sz="8" w:space="0" w:color="auto"/>
              <w:bottom w:val="single" w:sz="8" w:space="0" w:color="auto"/>
              <w:right w:val="single" w:sz="4" w:space="0" w:color="auto"/>
            </w:tcBorders>
            <w:shd w:val="clear" w:color="auto" w:fill="C6EFCE"/>
          </w:tcPr>
          <w:p w14:paraId="6891185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215F297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AC71AC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235B9FA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relevant legislative acts and the link to the publication in the Official Journal, including a reference to the provision indicating the entry into force, accompanied by a summary document duly justifying how the milestone (including all the constitutive elements) was satisfactorily fulfilled, with appropriate links to the underlying evidence. </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0D09D06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Cabinet of Ministers regulation entered into force  for granting support in the field of digital transformation of public administration processes and services</w:t>
            </w:r>
          </w:p>
        </w:tc>
      </w:tr>
      <w:tr w:rsidR="009C5ECA" w:rsidRPr="00BA1475" w14:paraId="5E16306C"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6AEF10D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29</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70662B72" w14:textId="77777777" w:rsidR="00BA1475" w:rsidRPr="00BA1475" w:rsidRDefault="00BA1475" w:rsidP="00BA1475">
            <w:pPr>
              <w:spacing w:after="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2.1.1.1.i. Administration modernisation and digital transformation of services, including business environment</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A9DB3B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F0464B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Descriptions of ICT solutions development activities developed and harmonised</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5697EC1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D49DA2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5428D7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5539E7C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297D4C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46F5657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4F41932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Institutions implementing development activities/Ministry of Smart Administration and Regional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1B6A5E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7707FA0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0810516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approved descriptions of all ICT solutions (systems) development activities.</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750F114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ICT solutions (systems) descriptions concept models shall be developed in accordance with the adopted legal framework for ICT governance. Descriptions define ICT development activities to develop or modernisze ICT solutions in at least following 4 areas: 1) the domestic affairs sector, including civil protection, fire safety supervision and public safety; 2) the cultural sector, including the accumulation of the heritage of archives, libraries, museums, cultural monuments and media content; 3) management of port logistics services; 4) support of </w:t>
            </w:r>
            <w:r w:rsidRPr="00BA1475">
              <w:rPr>
                <w:rFonts w:ascii="Arial Narrow" w:eastAsia="Calibri" w:hAnsi="Arial Narrow" w:cs="Times New Roman"/>
                <w:noProof/>
                <w:kern w:val="0"/>
                <w:sz w:val="16"/>
                <w:szCs w:val="16"/>
                <w:lang w:val="en-GB"/>
                <w14:ligatures w14:val="none"/>
              </w:rPr>
              <w:lastRenderedPageBreak/>
              <w:t>ICT management processes.</w:t>
            </w:r>
          </w:p>
        </w:tc>
      </w:tr>
      <w:tr w:rsidR="009C5ECA" w:rsidRPr="00BA1475" w14:paraId="5967616D"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44C8D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30</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7DB7C65"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2.1.1.1.i. Administration modernisation and digital transformation of services, including business environment</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A40260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A00A82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Delivery of ICT solutions for modernised public administration functions (including systems)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763EA09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5BA3162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A95754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72C073C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5C26EE2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C8B9CB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73091CE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Institutions implementing development activities/Ministry of Smart Administration and Regional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FA6E21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03CAFA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332A5F1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7B8F10FB" w14:textId="77777777" w:rsidR="00BA1475" w:rsidRPr="00BA1475" w:rsidRDefault="00BA1475" w:rsidP="00BA1475">
            <w:pPr>
              <w:numPr>
                <w:ilvl w:val="0"/>
                <w:numId w:val="20"/>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calls for tender; </w:t>
            </w:r>
          </w:p>
          <w:p w14:paraId="3A8B5FAD" w14:textId="77777777" w:rsidR="00BA1475" w:rsidRPr="00BA1475" w:rsidRDefault="00BA1475" w:rsidP="00BA1475">
            <w:pPr>
              <w:numPr>
                <w:ilvl w:val="0"/>
                <w:numId w:val="20"/>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c</w:t>
            </w:r>
            <w:r w:rsidRPr="00BA1475">
              <w:rPr>
                <w:rFonts w:ascii="Arial Narrow" w:eastAsia="Calibri" w:hAnsi="Arial Narrow" w:cs="Arial"/>
                <w:noProof/>
                <w:kern w:val="0"/>
                <w:sz w:val="16"/>
                <w:szCs w:val="16"/>
                <w:lang w:val="en-US"/>
                <w14:ligatures w14:val="none"/>
              </w:rPr>
              <w:t>ertificate of entry into operation of ICT solutions and system</w:t>
            </w:r>
            <w:r w:rsidRPr="00BA1475">
              <w:rPr>
                <w:rFonts w:ascii="Arial Narrow" w:eastAsia="Calibri" w:hAnsi="Arial Narrow" w:cs="Calibri"/>
                <w:noProof/>
                <w:kern w:val="0"/>
                <w:sz w:val="16"/>
                <w:szCs w:val="16"/>
                <w:lang w:val="en-US"/>
                <w14:ligatures w14:val="none"/>
              </w:rPr>
              <w:t>s specifying how they provide the upgraded services.</w:t>
            </w:r>
          </w:p>
          <w:p w14:paraId="0FE2384E" w14:textId="77777777" w:rsidR="00BA1475" w:rsidRPr="00BA1475" w:rsidRDefault="00BA1475" w:rsidP="00BA1475">
            <w:pPr>
              <w:numPr>
                <w:ilvl w:val="0"/>
                <w:numId w:val="20"/>
              </w:numPr>
              <w:spacing w:after="0" w:line="240" w:lineRule="auto"/>
              <w:contextualSpacing/>
              <w:rPr>
                <w:rFonts w:ascii="Calibri" w:eastAsia="Calibri" w:hAnsi="Calibri" w:cs="Arial"/>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list of selected providers.</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7496D49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public administration function shall be modernised with the following ICT solutions and systems fully operational in at least the following 4 areas: 1) the domestic affairs sector, including civil protection, fire safety supervision and public safety; 2) the cultural sector, including the accumulation of the heritage of archives, libraries, museums, cultural monuments and media content; 3) management of port logistics services; 4) support of ICT management processes.</w:t>
            </w:r>
          </w:p>
        </w:tc>
      </w:tr>
      <w:tr w:rsidR="009C5ECA" w:rsidRPr="00BA1475" w14:paraId="6C8DE4BD"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6E117D1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31</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2FF7F9A6"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2.1.2.r.</w:t>
            </w:r>
          </w:p>
          <w:p w14:paraId="5731348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Increasing efficiency and interoperability in the use of national ICT resources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5B966C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04A9AA0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Establishment of the legal framework for receiving support in the area of development of central systems and platforms of public administration and consolidation of computing infrastructure services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7BED9DE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the legal framework</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65D0417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16C979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3E009DD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8B482C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000A9FC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32A1778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77454A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44DFAE5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relevant legislation and a link to the publication in the Official Journal, including a reference to the provision indicating the entry into force, accompanied by a summary document duly justifying how the milestone was satisfactorily fulfilled, with appropriate links to the underlying evidence.</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5430BB4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the legal framework for granting support in the area of development of central IT systems and platforms of public administration and consolidation of computing infrastructure services</w:t>
            </w:r>
          </w:p>
        </w:tc>
      </w:tr>
      <w:tr w:rsidR="009C5ECA" w:rsidRPr="00BA1475" w14:paraId="6D867083"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A8D253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32</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33D980E1"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2.1.2.1.i. </w:t>
            </w:r>
          </w:p>
          <w:p w14:paraId="3A31FFA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Centralised platforms, systems and shared services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2B2A2B5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0BCDC23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Approval of development plans for the creation, transformation or deployment of centralised ICT functions and shared services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6FA0530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749E235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1BE746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32839AD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15</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7DD8B9D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Q1</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E5F729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2EBB9E9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Institutions implementing development activities/ Ministry of Smart Administration and Regional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EBECB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28903CD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407AEF5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approved development plans for centralised functions or shared services.</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473C409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Before investments in development of centralised functions or shared services, the responsible institution shall prepare and get approval of the centralised ICT function or shared service development plan (including with regard to the financing of services).</w:t>
            </w:r>
          </w:p>
        </w:tc>
      </w:tr>
      <w:tr w:rsidR="009C5ECA" w:rsidRPr="00BA1475" w14:paraId="2D364AD0"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5997505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33</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1CF30CE1"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2.1.2.1.i. </w:t>
            </w:r>
          </w:p>
          <w:p w14:paraId="3341C85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lastRenderedPageBreak/>
              <w:t>Centralised platforms, systems and shared services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DAF78B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4FB6C66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Approval of harmonised </w:t>
            </w:r>
            <w:r w:rsidRPr="00BA1475">
              <w:rPr>
                <w:rFonts w:ascii="Arial Narrow" w:eastAsia="Calibri" w:hAnsi="Arial Narrow" w:cs="Times New Roman"/>
                <w:noProof/>
                <w:kern w:val="0"/>
                <w:sz w:val="16"/>
                <w:szCs w:val="16"/>
                <w:lang w:val="en-GB"/>
                <w14:ligatures w14:val="none"/>
              </w:rPr>
              <w:lastRenderedPageBreak/>
              <w:t xml:space="preserve">descriptions of the development activities of centralised ICT solutions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31E6CAB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 xml:space="preserve"> </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7DFBB22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BEDB28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28E66F0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15</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2B3D7FA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15656D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184F8DD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Institutions implementing development activities/ </w:t>
            </w:r>
            <w:r w:rsidRPr="00BA1475">
              <w:rPr>
                <w:rFonts w:ascii="Arial Narrow" w:eastAsia="Calibri" w:hAnsi="Arial Narrow" w:cs="Calibri"/>
                <w:noProof/>
                <w:kern w:val="0"/>
                <w:sz w:val="16"/>
                <w:szCs w:val="16"/>
                <w:lang w:val="en-GB"/>
                <w14:ligatures w14:val="none"/>
              </w:rPr>
              <w:lastRenderedPageBreak/>
              <w:t>Ministry of Smart Administration and Regional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F02440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54F7C9B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w:t>
            </w:r>
            <w:r w:rsidRPr="00BA1475">
              <w:rPr>
                <w:rFonts w:ascii="Arial Narrow" w:eastAsia="Calibri" w:hAnsi="Arial Narrow" w:cs="Calibri"/>
                <w:noProof/>
                <w:kern w:val="0"/>
                <w:sz w:val="16"/>
                <w:szCs w:val="16"/>
                <w:lang w:val="en-GB"/>
                <w14:ligatures w14:val="none"/>
              </w:rPr>
              <w:lastRenderedPageBreak/>
              <w:t>(including all the constitutive elements) was satisfactorily fulfilled, with appropriate links to the underlying evidence.</w:t>
            </w:r>
          </w:p>
          <w:p w14:paraId="4101FB7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approved harmonised descriptions of the development activities of ICT solutions (centralised platforms and systems). </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0418245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 xml:space="preserve">Harmonised descriptions shall be approved to define ICT development </w:t>
            </w:r>
            <w:r w:rsidRPr="00BA1475">
              <w:rPr>
                <w:rFonts w:ascii="Arial Narrow" w:eastAsia="Calibri" w:hAnsi="Arial Narrow" w:cs="Times New Roman"/>
                <w:noProof/>
                <w:kern w:val="0"/>
                <w:sz w:val="16"/>
                <w:szCs w:val="16"/>
                <w:lang w:val="en-GB"/>
                <w14:ligatures w14:val="none"/>
              </w:rPr>
              <w:lastRenderedPageBreak/>
              <w:t>activities of centralised platforms and systems. The ICT solutions (systems) shall be developed in accordance with the adopted legal framework for ICT governance.</w:t>
            </w:r>
          </w:p>
        </w:tc>
      </w:tr>
      <w:tr w:rsidR="009C5ECA" w:rsidRPr="00BA1475" w14:paraId="193A1BBD"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6E0CC0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34</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4900FB4B"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2.1.2.1.i. </w:t>
            </w:r>
          </w:p>
          <w:p w14:paraId="45B54DA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Centralised platforms, systems and shared services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770DE9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018991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centralised ICT platforms and systems set up and in operation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6AB66E8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73BA58E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4EF264E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4416901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15</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0A1D05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4AC17B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7BB499A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Institutions implementing development activities/ Ministry of Smart Administration and Regional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A76E0D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1D9CCE8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23AD02B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3F4EEEBE" w14:textId="77777777" w:rsidR="00BA1475" w:rsidRPr="00BA1475" w:rsidRDefault="00BA1475" w:rsidP="00BA1475">
            <w:pPr>
              <w:numPr>
                <w:ilvl w:val="0"/>
                <w:numId w:val="19"/>
              </w:numPr>
              <w:spacing w:after="0" w:line="240" w:lineRule="auto"/>
              <w:contextualSpacing/>
              <w:rPr>
                <w:rFonts w:ascii="Arial Narrow" w:eastAsia="Arial Narrow" w:hAnsi="Arial Narrow" w:cs="Arial Narrow"/>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copy of the certificate of completion signed by the contractor and the contracting authority </w:t>
            </w:r>
            <w:r w:rsidRPr="00BA1475">
              <w:rPr>
                <w:rFonts w:ascii="Arial Narrow" w:eastAsia="Arial Narrow" w:hAnsi="Arial Narrow" w:cs="Arial Narrow"/>
                <w:noProof/>
                <w:kern w:val="0"/>
                <w:sz w:val="16"/>
                <w:szCs w:val="16"/>
                <w:lang w:val="lv"/>
                <w14:ligatures w14:val="none"/>
              </w:rPr>
              <w:t xml:space="preserve">attesting the finalisation of the works and </w:t>
            </w:r>
            <w:r w:rsidRPr="00BA1475">
              <w:rPr>
                <w:rFonts w:ascii="Arial Narrow" w:eastAsia="Calibri" w:hAnsi="Arial Narrow" w:cs="Calibri"/>
                <w:noProof/>
                <w:kern w:val="0"/>
                <w:sz w:val="16"/>
                <w:szCs w:val="16"/>
                <w:lang w:val="en-US"/>
                <w14:ligatures w14:val="none"/>
              </w:rPr>
              <w:t>entry into operation of 4 public services delivery platforms, 5 sectoral and support functions platforms, and 6 shared platforms and systems for the municipalities;</w:t>
            </w:r>
            <w:r w:rsidRPr="00BA1475">
              <w:rPr>
                <w:rFonts w:ascii="Arial Narrow" w:eastAsia="Arial Narrow" w:hAnsi="Arial Narrow" w:cs="Arial Narrow"/>
                <w:noProof/>
                <w:kern w:val="0"/>
                <w:sz w:val="16"/>
                <w:szCs w:val="16"/>
                <w:lang w:val="en-US"/>
                <w14:ligatures w14:val="none"/>
              </w:rPr>
              <w:t xml:space="preserve">  </w:t>
            </w:r>
          </w:p>
          <w:p w14:paraId="5229BFF2" w14:textId="77777777" w:rsidR="00BA1475" w:rsidRPr="00BA1475" w:rsidRDefault="00BA1475" w:rsidP="00BA1475">
            <w:pPr>
              <w:numPr>
                <w:ilvl w:val="0"/>
                <w:numId w:val="19"/>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online links to the platforms.</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26B58759"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following centralised ICT platforms or systems set up shall be in operation: </w:t>
            </w:r>
          </w:p>
          <w:p w14:paraId="1D163268"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 public services delivery platforms - 4;</w:t>
            </w:r>
          </w:p>
          <w:p w14:paraId="779887C9"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 sectoral and support functions platforms - 5; </w:t>
            </w:r>
          </w:p>
          <w:p w14:paraId="319E1937"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 shared platforms and systems for  municipalities - 6.</w:t>
            </w:r>
          </w:p>
        </w:tc>
      </w:tr>
      <w:tr w:rsidR="009C5ECA" w:rsidRPr="00BA1475" w14:paraId="318AD875"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6546E37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35</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6B9078AF"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2.1.2.2.i. </w:t>
            </w:r>
          </w:p>
          <w:p w14:paraId="2072BD7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National Federated Cloud of Latvia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CDB940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3ECA14C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platforms or systems operated by shared service providers through shared cloud services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698AE5A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09A65E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E444E6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6D7F6B3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4C416C4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04E4DD4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5B08D63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Competence Centres/ Ministry of Smart Administration and Regional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D0DC58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For the purposes of the Operational Arrangements, activities related to load balancing contribute to capacity balancing.</w:t>
            </w: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145FC0E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3879521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214EF7DA"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the certificate of entry into operation of the national platforms or information systems through </w:t>
            </w:r>
            <w:r w:rsidRPr="00BA1475">
              <w:rPr>
                <w:rFonts w:ascii="Arial Narrow" w:eastAsia="Calibri" w:hAnsi="Arial Narrow" w:cs="Times New Roman"/>
                <w:noProof/>
                <w:kern w:val="0"/>
                <w:sz w:val="16"/>
                <w:szCs w:val="16"/>
                <w:lang w:val="en-GB"/>
                <w14:ligatures w14:val="none"/>
              </w:rPr>
              <w:t>shared cloud services</w:t>
            </w:r>
            <w:r w:rsidRPr="00BA1475">
              <w:rPr>
                <w:rFonts w:ascii="Arial Narrow" w:eastAsia="Calibri" w:hAnsi="Arial Narrow" w:cs="Calibri"/>
                <w:noProof/>
                <w:kern w:val="0"/>
                <w:sz w:val="16"/>
                <w:szCs w:val="16"/>
                <w:lang w:val="en-GB"/>
                <w14:ligatures w14:val="none"/>
              </w:rPr>
              <w:t xml:space="preserve">, </w:t>
            </w:r>
            <w:r w:rsidRPr="00BA1475">
              <w:rPr>
                <w:rFonts w:ascii="Arial Narrow" w:eastAsia="Calibri" w:hAnsi="Arial Narrow" w:cs="Arial"/>
                <w:noProof/>
                <w:kern w:val="0"/>
                <w:sz w:val="16"/>
                <w:szCs w:val="16"/>
                <w:lang w:val="en-GB"/>
                <w14:ligatures w14:val="none"/>
              </w:rPr>
              <w:t xml:space="preserve">including capacity </w:t>
            </w:r>
            <w:r w:rsidRPr="00BA1475">
              <w:rPr>
                <w:rFonts w:ascii="Arial Narrow" w:eastAsia="Calibri" w:hAnsi="Arial Narrow" w:cs="Arial"/>
                <w:strike/>
                <w:noProof/>
                <w:kern w:val="0"/>
                <w:sz w:val="16"/>
                <w:szCs w:val="16"/>
                <w:lang w:val="en-GB"/>
                <w14:ligatures w14:val="none"/>
              </w:rPr>
              <w:t xml:space="preserve"> </w:t>
            </w:r>
            <w:r w:rsidRPr="00BA1475">
              <w:rPr>
                <w:rFonts w:ascii="Arial Narrow" w:eastAsia="Calibri" w:hAnsi="Arial Narrow" w:cs="Arial"/>
                <w:noProof/>
                <w:kern w:val="0"/>
                <w:sz w:val="16"/>
                <w:szCs w:val="16"/>
                <w:lang w:val="en-GB"/>
                <w14:ligatures w14:val="none"/>
              </w:rPr>
              <w:t xml:space="preserve">balancing and backup recovery </w:t>
            </w:r>
            <w:r w:rsidRPr="00BA1475">
              <w:rPr>
                <w:rFonts w:ascii="Arial Narrow" w:eastAsia="Calibri" w:hAnsi="Arial Narrow" w:cs="Arial"/>
                <w:noProof/>
                <w:kern w:val="0"/>
                <w:sz w:val="16"/>
                <w:szCs w:val="16"/>
                <w:lang w:val="en-GB"/>
                <w14:ligatures w14:val="none"/>
              </w:rPr>
              <w:lastRenderedPageBreak/>
              <w:t>in a physically remote data centre issued by each of the shared services providers listed in the description of the target;</w:t>
            </w:r>
          </w:p>
          <w:p w14:paraId="6D87223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szCs w:val="16"/>
                <w:lang w:val="en-GB"/>
                <w14:ligatures w14:val="none"/>
              </w:rPr>
              <w:t xml:space="preserve">b) </w:t>
            </w:r>
            <w:r w:rsidRPr="00BA1475">
              <w:rPr>
                <w:rFonts w:ascii="Arial Narrow" w:eastAsia="Calibri" w:hAnsi="Arial Narrow" w:cs="Calibri"/>
                <w:noProof/>
                <w:kern w:val="0"/>
                <w:sz w:val="16"/>
                <w:szCs w:val="16"/>
                <w:lang w:val="en-GB"/>
                <w14:ligatures w14:val="none"/>
              </w:rPr>
              <w:t>descriptions of the integration of the public administration information systems and platforms in the national federated cloud.</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74385E6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The target shall be considered to be fulfilled when each of the four shared services providers (Latvia Radio and Television Centre, National Library of Latvia, Ministry of Interior Affairs Information Centre, Ministry of Agriculture) operates at least one national platform or information system through shared cloud services, including capacity balancing and backup recovery in a physically remote data centre.</w:t>
            </w:r>
          </w:p>
        </w:tc>
      </w:tr>
      <w:tr w:rsidR="009C5ECA" w:rsidRPr="00BA1475" w14:paraId="2FD2CAB3"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369ED32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36</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0617400F"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2.1.2.2.i. </w:t>
            </w:r>
          </w:p>
          <w:p w14:paraId="45013E7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National Federated Cloud of Latvia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BC62BD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5C8D351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platforms or systems operated by shared service providers through shared cloud services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303BA1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7AADCC0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878660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3DEE292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74AE841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660DE03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3D5F55A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Competence Centres/ Ministry of Smart Administration and Regional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D65BFF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For the purposes of the Operational Arrangements, activities related to load balancing contribute to capacity balancing.</w:t>
            </w: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13810C9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document duly justifying how the target (including all the constitutive elements) was satisfactorily fulfilled, with appropriate links to the underlying evidence.</w:t>
            </w:r>
          </w:p>
          <w:p w14:paraId="58CDC63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693AFEE1"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copies of the certificates of entry into operation of 10</w:t>
            </w:r>
            <w:r w:rsidRPr="00BA1475">
              <w:rPr>
                <w:rFonts w:ascii="Arial Narrow" w:eastAsia="Calibri" w:hAnsi="Arial Narrow" w:cs="Arial"/>
                <w:noProof/>
                <w:kern w:val="0"/>
                <w:sz w:val="16"/>
                <w:lang w:val="en-GB"/>
                <w14:ligatures w14:val="none"/>
              </w:rPr>
              <w:t xml:space="preserve"> public </w:t>
            </w:r>
            <w:r w:rsidRPr="00BA1475">
              <w:rPr>
                <w:rFonts w:ascii="Arial Narrow" w:eastAsia="Calibri" w:hAnsi="Arial Narrow" w:cs="Calibri"/>
                <w:noProof/>
                <w:kern w:val="0"/>
                <w:sz w:val="16"/>
                <w:szCs w:val="16"/>
                <w:lang w:val="en-GB"/>
                <w14:ligatures w14:val="none"/>
              </w:rPr>
              <w:t>administration</w:t>
            </w:r>
            <w:r w:rsidRPr="00BA1475">
              <w:rPr>
                <w:rFonts w:ascii="Arial Narrow" w:eastAsia="Calibri" w:hAnsi="Arial Narrow" w:cs="Arial"/>
                <w:noProof/>
                <w:kern w:val="0"/>
                <w:sz w:val="16"/>
                <w:lang w:val="en-GB"/>
                <w14:ligatures w14:val="none"/>
              </w:rPr>
              <w:t xml:space="preserve"> platforms and </w:t>
            </w:r>
            <w:r w:rsidRPr="00BA1475">
              <w:rPr>
                <w:rFonts w:ascii="Arial Narrow" w:eastAsia="Calibri" w:hAnsi="Arial Narrow" w:cs="Calibri"/>
                <w:noProof/>
                <w:kern w:val="0"/>
                <w:sz w:val="16"/>
                <w:szCs w:val="16"/>
                <w:lang w:val="en-GB"/>
                <w14:ligatures w14:val="none"/>
              </w:rPr>
              <w:t>information systems through shared cloud services, including capacity balancing</w:t>
            </w:r>
            <w:r w:rsidRPr="00BA1475">
              <w:rPr>
                <w:rFonts w:ascii="Arial Narrow" w:eastAsia="Calibri" w:hAnsi="Arial Narrow" w:cs="Arial"/>
                <w:noProof/>
                <w:kern w:val="0"/>
                <w:sz w:val="16"/>
                <w:lang w:val="en-GB"/>
                <w14:ligatures w14:val="none"/>
              </w:rPr>
              <w:t xml:space="preserve"> and </w:t>
            </w:r>
            <w:r w:rsidRPr="00BA1475">
              <w:rPr>
                <w:rFonts w:ascii="Arial Narrow" w:eastAsia="Calibri" w:hAnsi="Arial Narrow" w:cs="Calibri"/>
                <w:noProof/>
                <w:kern w:val="0"/>
                <w:sz w:val="16"/>
                <w:szCs w:val="16"/>
                <w:lang w:val="en-GB"/>
                <w14:ligatures w14:val="none"/>
              </w:rPr>
              <w:t>backup recovery in a physically remote data center</w:t>
            </w:r>
            <w:r w:rsidRPr="00BA1475">
              <w:rPr>
                <w:rFonts w:ascii="Arial Narrow" w:eastAsia="Calibri" w:hAnsi="Arial Narrow" w:cs="Times New Roman"/>
                <w:noProof/>
                <w:kern w:val="0"/>
                <w:sz w:val="16"/>
                <w:szCs w:val="16"/>
                <w:lang w:val="en-GB"/>
                <w14:ligatures w14:val="none"/>
              </w:rPr>
              <w:t>;</w:t>
            </w:r>
          </w:p>
          <w:p w14:paraId="1750ED16" w14:textId="77777777" w:rsidR="00BA1475" w:rsidRPr="00BA1475" w:rsidRDefault="00BA1475" w:rsidP="00BA1475">
            <w:pPr>
              <w:spacing w:after="0" w:line="240" w:lineRule="auto"/>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b) descriptions of the integration of the public administration information systems and platforms in the national federated cloud.</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16A4155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target shall be considered to be fulfilled when four shared service providers taken together (Latvia Radio and Television Centre, National Library of Latvia, Ministry of Interior Affairs Information Centre, Ministry of Agriculture) operate at least ten public administration platforms or information systems through shared cloud services, including capacity balancing and backup recovery in a physically remote data center.</w:t>
            </w:r>
          </w:p>
        </w:tc>
      </w:tr>
      <w:tr w:rsidR="009C5ECA" w:rsidRPr="00BA1475" w14:paraId="6FBC6709"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44B6FBA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37</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3AE24D6E"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2.1.3.r. </w:t>
            </w:r>
          </w:p>
          <w:p w14:paraId="16C13B2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Development of the national economic data and digital services economy</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E07C20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5AAB657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the  legal framework for receiving support in the field of transformation of economic data management</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7C60D87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the legal framework</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A5DB46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7DDFB6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4A0181A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6D8574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4986C8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688199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E4A5F3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7633A50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relevant legislation and a link to the publication in the Official Journal, including a reference to the provision indicating the entry into force, accompanied by a summary document duly justifying how the milestone was satisfactorily fulfilled, with appropriate links to the underlying evidence. </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364E2A6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the legal framework for granting support in the field of transformation of economic data management harmonised by the Cabinet of Ministers</w:t>
            </w:r>
          </w:p>
        </w:tc>
      </w:tr>
      <w:tr w:rsidR="009C5ECA" w:rsidRPr="00BA1475" w14:paraId="409A53B9"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29C9AD0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38</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38FF7042" w14:textId="77777777" w:rsidR="00BA1475" w:rsidRPr="00BA1475" w:rsidRDefault="00BA1475" w:rsidP="00BA1475">
            <w:pPr>
              <w:spacing w:before="120" w:after="12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2.1.3.r. </w:t>
            </w:r>
          </w:p>
          <w:p w14:paraId="3A826CD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Development of the national economic data and digital services economy</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8965E4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7BABB26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Legal framework for the functioning of the national platform for the circulation of data</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04E7960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the legal framework</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43741D9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8A0959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2397398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7B8736C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0D4C58D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44F9EC8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2F3D38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1F05DB4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relevant legislation and a link to the publication in the Official Journal, including a reference to the provision indicating the entry into force, accompanied by a summary document duly </w:t>
            </w:r>
            <w:r w:rsidRPr="00BA1475">
              <w:rPr>
                <w:rFonts w:ascii="Arial Narrow" w:eastAsia="Calibri" w:hAnsi="Arial Narrow" w:cs="Calibri"/>
                <w:noProof/>
                <w:kern w:val="0"/>
                <w:sz w:val="16"/>
                <w:szCs w:val="16"/>
                <w:lang w:val="en-GB"/>
                <w14:ligatures w14:val="none"/>
              </w:rPr>
              <w:lastRenderedPageBreak/>
              <w:t>justifying how the milestone was satisfactorily fulfilled, with appropriate links to the underlying evidence.</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3EB8E27E"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The successful implementation of the reform shall be ensured by entry into force of the legal framework specifying the following aspects of the national platform:</w:t>
            </w:r>
          </w:p>
          <w:p w14:paraId="55D5D71C" w14:textId="77777777" w:rsidR="00BA1475" w:rsidRPr="00BA1475" w:rsidRDefault="00BA1475" w:rsidP="00BA1475">
            <w:pPr>
              <w:numPr>
                <w:ilvl w:val="0"/>
                <w:numId w:val="54"/>
              </w:numPr>
              <w:spacing w:before="120" w:after="120" w:line="240" w:lineRule="auto"/>
              <w:contextualSpacing/>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14:ligatures w14:val="none"/>
              </w:rPr>
              <w:t xml:space="preserve">data sharing management, </w:t>
            </w:r>
            <w:r w:rsidRPr="00BA1475">
              <w:rPr>
                <w:rFonts w:ascii="Arial Narrow" w:eastAsia="Calibri" w:hAnsi="Arial Narrow" w:cs="Times New Roman"/>
                <w:noProof/>
                <w:kern w:val="0"/>
                <w:sz w:val="16"/>
                <w:szCs w:val="16"/>
                <w14:ligatures w14:val="none"/>
              </w:rPr>
              <w:lastRenderedPageBreak/>
              <w:t>including the data exchange process in the central data exchange platform;</w:t>
            </w:r>
          </w:p>
          <w:p w14:paraId="07AA3720" w14:textId="77777777" w:rsidR="00BA1475" w:rsidRPr="00BA1475" w:rsidRDefault="00BA1475" w:rsidP="00BA1475">
            <w:pPr>
              <w:numPr>
                <w:ilvl w:val="0"/>
                <w:numId w:val="54"/>
              </w:numPr>
              <w:spacing w:before="120" w:after="120" w:line="240" w:lineRule="auto"/>
              <w:contextualSpacing/>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14:ligatures w14:val="none"/>
              </w:rPr>
              <w:t>the rights and duties of the participating institutions for the sharing and circulation of data within the central data exchange platform,</w:t>
            </w:r>
          </w:p>
          <w:p w14:paraId="281173F5" w14:textId="77777777" w:rsidR="00BA1475" w:rsidRPr="00BA1475" w:rsidRDefault="00BA1475" w:rsidP="00BA1475">
            <w:pPr>
              <w:numPr>
                <w:ilvl w:val="0"/>
                <w:numId w:val="54"/>
              </w:numPr>
              <w:spacing w:after="0" w:line="240" w:lineRule="auto"/>
              <w:contextualSpacing/>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14:ligatures w14:val="none"/>
              </w:rPr>
              <w:t>uniformed and facilitated processing of personal data within the central data exchange platform.</w:t>
            </w:r>
          </w:p>
        </w:tc>
      </w:tr>
      <w:tr w:rsidR="009C5ECA" w:rsidRPr="00BA1475" w14:paraId="3F9D5285"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7B8AB24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39</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12E53D7C"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2.1.3.1.i. </w:t>
            </w:r>
          </w:p>
          <w:p w14:paraId="7F7477D0"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Data availability, sharing and analysis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225687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60265C0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Sectors for which relevant datasets are available on the national data circulation platforms, including controlled distribution platforms, geoportal or open data portals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3AA633F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52565E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6C20A9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6D1DBA0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28771AC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C4A212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42E784A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Development/solution controllers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6D7E0D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62D9757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4B7C3C8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782A1EBD" w14:textId="77777777" w:rsidR="00BA1475" w:rsidRPr="00BA1475" w:rsidRDefault="00BA1475" w:rsidP="00BA1475">
            <w:pPr>
              <w:numPr>
                <w:ilvl w:val="0"/>
                <w:numId w:val="44"/>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description of relevant datasets available in the national centralised data management and dissemination platforms;</w:t>
            </w:r>
          </w:p>
          <w:p w14:paraId="02EA3EDC" w14:textId="77777777" w:rsidR="00BA1475" w:rsidRPr="00BA1475" w:rsidRDefault="00BA1475" w:rsidP="00BA1475">
            <w:pPr>
              <w:numPr>
                <w:ilvl w:val="0"/>
                <w:numId w:val="44"/>
              </w:numPr>
              <w:spacing w:after="0" w:line="240" w:lineRule="auto"/>
              <w:contextualSpacing/>
              <w:rPr>
                <w:rFonts w:ascii="Arial Narrow" w:eastAsia="Calibri" w:hAnsi="Arial Narrow" w:cs="Arial"/>
                <w:noProof/>
                <w:kern w:val="0"/>
                <w:sz w:val="16"/>
                <w:szCs w:val="16"/>
                <w:lang w:val="lv"/>
                <w14:ligatures w14:val="none"/>
              </w:rPr>
            </w:pPr>
            <w:r w:rsidRPr="00BA1475">
              <w:rPr>
                <w:rFonts w:ascii="Arial Narrow" w:eastAsia="Calibri" w:hAnsi="Arial Narrow" w:cs="Calibri"/>
                <w:noProof/>
                <w:kern w:val="0"/>
                <w:sz w:val="16"/>
                <w:szCs w:val="16"/>
                <w:lang w:val="en-US"/>
                <w14:ligatures w14:val="none"/>
              </w:rPr>
              <w:t xml:space="preserve">copy of the certificate of completion </w:t>
            </w:r>
            <w:r w:rsidRPr="00BA1475">
              <w:rPr>
                <w:rFonts w:ascii="Arial Narrow" w:eastAsia="Arial Narrow" w:hAnsi="Arial Narrow" w:cs="Arial Narrow"/>
                <w:noProof/>
                <w:kern w:val="0"/>
                <w:sz w:val="16"/>
                <w:szCs w:val="16"/>
                <w:lang w:val="lv"/>
                <w14:ligatures w14:val="none"/>
              </w:rPr>
              <w:t>signed by the contractor and the contracting authority attesting the finalisation of the project.</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6F7A3DA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national centralised data management and dissemination platforms shall provide access to datasets covering at least 10 different sectors and areas of public administration, including the following 8 sectors and areas: business, science, environment, finance, public procurement, healthcare, veterinary and agriculture (geospatial data).</w:t>
            </w:r>
          </w:p>
        </w:tc>
      </w:tr>
      <w:tr w:rsidR="009C5ECA" w:rsidRPr="00BA1475" w14:paraId="29B6BA28"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173911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40</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19929C04"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2.2.1.r. </w:t>
            </w:r>
          </w:p>
          <w:p w14:paraId="28780BD0" w14:textId="77777777" w:rsidR="00BA1475" w:rsidRPr="00BA1475" w:rsidRDefault="00BA1475" w:rsidP="00BA1475">
            <w:pPr>
              <w:spacing w:after="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Creating the full cycle of business digital transformation support with regional coverage</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2069F38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1BB0F23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European Digital Innovation Hub (EDIH) has been established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6E47FB5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European Digital Innovation Hub (EDIH) has been established</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5A824B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3AA0DD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3DE1BE4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184DAD7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703A75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6238500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and Latvian EDIH candidate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5642EF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F6B43B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milestone (including all the constitutive elements) was satisfactorily fulfilled, with appropriate links to the underlying evidence.</w:t>
            </w:r>
          </w:p>
          <w:p w14:paraId="211209AB"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w:t>
            </w:r>
            <w:r w:rsidRPr="00BA1475">
              <w:rPr>
                <w:rFonts w:ascii="Arial Narrow" w:eastAsia="Calibri" w:hAnsi="Arial Narrow" w:cs="Calibri"/>
                <w:noProof/>
                <w:kern w:val="0"/>
                <w:sz w:val="16"/>
                <w:szCs w:val="16"/>
                <w:lang w:val="en-US"/>
                <w14:ligatures w14:val="none"/>
              </w:rPr>
              <w:t xml:space="preserve">certificate of the establishment of the European Digital Innovation Hub co-financed by the Digital Europe Programme and its functioning </w:t>
            </w:r>
            <w:r w:rsidRPr="00BA1475">
              <w:rPr>
                <w:rFonts w:ascii="Arial Narrow" w:eastAsia="Calibri" w:hAnsi="Arial Narrow" w:cs="Times New Roman"/>
                <w:noProof/>
                <w:kern w:val="0"/>
                <w:sz w:val="16"/>
                <w:szCs w:val="16"/>
                <w:lang w:val="en-US"/>
                <w14:ligatures w14:val="none"/>
              </w:rPr>
              <w:t>as a one-stop shop for the coordination of the digital transformation of businesses.</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4C09A9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EDIH shall be in operation in line with the Digital Europe Programme priorities and form part of the network of a common European Digital Innovation Hub. It shall serve as a one-stop shop for the coordination of the digital transformation of businesses. It aims to ensure a common approach and information exchange of regional business centres, digital maturity test and state support.</w:t>
            </w:r>
          </w:p>
        </w:tc>
      </w:tr>
      <w:tr w:rsidR="009C5ECA" w:rsidRPr="00BA1475" w14:paraId="68C78CEA"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6210636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41</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29C23C36" w14:textId="77777777" w:rsidR="00BA1475" w:rsidRPr="00BA1475" w:rsidRDefault="00BA1475" w:rsidP="00BA1475">
            <w:pPr>
              <w:spacing w:after="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2.2.1.r. </w:t>
            </w:r>
          </w:p>
          <w:p w14:paraId="1B8CBCA2" w14:textId="77777777" w:rsidR="00BA1475" w:rsidRPr="00BA1475" w:rsidRDefault="00BA1475" w:rsidP="00BA1475">
            <w:pPr>
              <w:spacing w:after="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Creating the full </w:t>
            </w:r>
            <w:r w:rsidRPr="00BA1475">
              <w:rPr>
                <w:rFonts w:ascii="Arial Narrow" w:eastAsia="Calibri" w:hAnsi="Arial Narrow" w:cs="Times New Roman"/>
                <w:b/>
                <w:bCs/>
                <w:noProof/>
                <w:kern w:val="0"/>
                <w:sz w:val="16"/>
                <w:szCs w:val="16"/>
                <w:lang w:val="en-GB"/>
                <w14:ligatures w14:val="none"/>
              </w:rPr>
              <w:lastRenderedPageBreak/>
              <w:t>cycle of business digital transformation support with regional coverage</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12D649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457921F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Regional business </w:t>
            </w:r>
            <w:r w:rsidRPr="00BA1475">
              <w:rPr>
                <w:rFonts w:ascii="Arial Narrow" w:eastAsia="Calibri" w:hAnsi="Arial Narrow" w:cs="Times New Roman"/>
                <w:noProof/>
                <w:kern w:val="0"/>
                <w:sz w:val="16"/>
                <w:szCs w:val="16"/>
                <w:lang w:val="en-GB"/>
                <w14:ligatures w14:val="none"/>
              </w:rPr>
              <w:lastRenderedPageBreak/>
              <w:t xml:space="preserve">support centres provide new digital transformation support functions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5317E4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 xml:space="preserve">Regional business </w:t>
            </w:r>
            <w:r w:rsidRPr="00BA1475">
              <w:rPr>
                <w:rFonts w:ascii="Arial Narrow" w:eastAsia="Calibri" w:hAnsi="Arial Narrow" w:cs="Times New Roman"/>
                <w:noProof/>
                <w:kern w:val="0"/>
                <w:sz w:val="16"/>
                <w:szCs w:val="16"/>
                <w:lang w:val="en-GB"/>
                <w14:ligatures w14:val="none"/>
              </w:rPr>
              <w:lastRenderedPageBreak/>
              <w:t xml:space="preserve">support centres provide digital transformation support functions </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56ABD89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9A2329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7E7AA03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416253D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4387AD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35CD420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Economics and European Digital Innovation </w:t>
            </w:r>
            <w:r w:rsidRPr="00BA1475">
              <w:rPr>
                <w:rFonts w:ascii="Arial Narrow" w:eastAsia="Calibri" w:hAnsi="Arial Narrow" w:cs="Calibri"/>
                <w:noProof/>
                <w:kern w:val="0"/>
                <w:sz w:val="16"/>
                <w:szCs w:val="16"/>
                <w:lang w:val="en-GB"/>
                <w14:ligatures w14:val="none"/>
              </w:rPr>
              <w:lastRenderedPageBreak/>
              <w:t>Hub</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69E75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5FDC0F2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w:t>
            </w:r>
            <w:r w:rsidRPr="00BA1475">
              <w:rPr>
                <w:rFonts w:ascii="Arial Narrow" w:eastAsia="Calibri" w:hAnsi="Arial Narrow" w:cs="Calibri"/>
                <w:noProof/>
                <w:kern w:val="0"/>
                <w:sz w:val="16"/>
                <w:szCs w:val="16"/>
                <w:lang w:val="en-GB"/>
                <w14:ligatures w14:val="none"/>
              </w:rPr>
              <w:lastRenderedPageBreak/>
              <w:t>(including all the constitutive elements) was satisfactorily fulfilled, with appropriate links to the underlying evidence.</w:t>
            </w:r>
          </w:p>
          <w:p w14:paraId="183E2742"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This document shall include as an annex the following documentary evidence: </w:t>
            </w:r>
          </w:p>
          <w:p w14:paraId="2374CB85" w14:textId="77777777" w:rsidR="00BA1475" w:rsidRPr="00BA1475" w:rsidRDefault="00BA1475" w:rsidP="00BA1475">
            <w:pPr>
              <w:numPr>
                <w:ilvl w:val="0"/>
                <w:numId w:val="27"/>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description of organisation of the digital maturity test in the regions;</w:t>
            </w:r>
          </w:p>
          <w:p w14:paraId="52B07E2A" w14:textId="77777777" w:rsidR="00BA1475" w:rsidRPr="00BA1475" w:rsidRDefault="00BA1475" w:rsidP="00BA1475">
            <w:pPr>
              <w:numPr>
                <w:ilvl w:val="0"/>
                <w:numId w:val="27"/>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description of provided access to testing and piloting; </w:t>
            </w:r>
          </w:p>
          <w:p w14:paraId="57E4EAB9" w14:textId="77777777" w:rsidR="00BA1475" w:rsidRPr="00BA1475" w:rsidRDefault="00BA1475" w:rsidP="00BA1475">
            <w:pPr>
              <w:numPr>
                <w:ilvl w:val="0"/>
                <w:numId w:val="27"/>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overview of implemented mentoring activities;</w:t>
            </w:r>
          </w:p>
          <w:p w14:paraId="040D9068" w14:textId="77777777" w:rsidR="00BA1475" w:rsidRPr="00BA1475" w:rsidRDefault="00BA1475" w:rsidP="00BA1475">
            <w:pPr>
              <w:numPr>
                <w:ilvl w:val="0"/>
                <w:numId w:val="27"/>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overview of digital skills trainings provided.</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1769870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 xml:space="preserve">The regional business support centres shall have started providing </w:t>
            </w:r>
            <w:r w:rsidRPr="00BA1475">
              <w:rPr>
                <w:rFonts w:ascii="Arial Narrow" w:eastAsia="Calibri" w:hAnsi="Arial Narrow" w:cs="Times New Roman"/>
                <w:noProof/>
                <w:kern w:val="0"/>
                <w:sz w:val="16"/>
                <w:szCs w:val="16"/>
                <w:lang w:val="en-GB"/>
                <w14:ligatures w14:val="none"/>
              </w:rPr>
              <w:lastRenderedPageBreak/>
              <w:t>the following new digital transformation support functions:</w:t>
            </w:r>
          </w:p>
          <w:p w14:paraId="466ECA13" w14:textId="77777777" w:rsidR="00BA1475" w:rsidRPr="00BA1475" w:rsidRDefault="00BA1475" w:rsidP="00BA1475">
            <w:pPr>
              <w:numPr>
                <w:ilvl w:val="0"/>
                <w:numId w:val="55"/>
              </w:numPr>
              <w:spacing w:after="0" w:line="240" w:lineRule="auto"/>
              <w:contextualSpacing/>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14:ligatures w14:val="none"/>
              </w:rPr>
              <w:t xml:space="preserve">Digital maturity tests in regions; </w:t>
            </w:r>
          </w:p>
          <w:p w14:paraId="234B1844" w14:textId="77777777" w:rsidR="00BA1475" w:rsidRPr="00BA1475" w:rsidRDefault="00BA1475" w:rsidP="00BA1475">
            <w:pPr>
              <w:numPr>
                <w:ilvl w:val="0"/>
                <w:numId w:val="55"/>
              </w:numPr>
              <w:spacing w:after="0" w:line="240" w:lineRule="auto"/>
              <w:contextualSpacing/>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14:ligatures w14:val="none"/>
              </w:rPr>
              <w:t>Access to testing and piloting;</w:t>
            </w:r>
          </w:p>
          <w:p w14:paraId="12EEA89F" w14:textId="77777777" w:rsidR="00BA1475" w:rsidRPr="00BA1475" w:rsidRDefault="00BA1475" w:rsidP="00BA1475">
            <w:pPr>
              <w:numPr>
                <w:ilvl w:val="0"/>
                <w:numId w:val="55"/>
              </w:numPr>
              <w:spacing w:after="0" w:line="240" w:lineRule="auto"/>
              <w:contextualSpacing/>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14:ligatures w14:val="none"/>
              </w:rPr>
              <w:t>Mentoring and digital skills training.</w:t>
            </w:r>
          </w:p>
        </w:tc>
      </w:tr>
      <w:tr w:rsidR="009C5ECA" w:rsidRPr="00BA1475" w14:paraId="393A5D73"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4A75CCD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42</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24403A29"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2.2.1.r. </w:t>
            </w:r>
          </w:p>
          <w:p w14:paraId="4F03F98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Creating the full cycle of business digital transformation support with regional coverage</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687B60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7F60426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Establishment of a digital maturity test system for entities to identify the actions needed by the entities and state support.</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2ADF506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Digital maturity test system in place</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541CCFF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0623DC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03E98E8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20CCB2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FDA33F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610774C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and European Digital Innovation Hub</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618A48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2A6DAB6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4C54B9AC" w14:textId="77777777" w:rsidR="00BA1475" w:rsidRPr="00BA1475" w:rsidRDefault="00BA1475" w:rsidP="00BA1475">
            <w:pPr>
              <w:spacing w:after="0" w:line="240" w:lineRule="auto"/>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 xml:space="preserve">This document shall state the number of unique users and include as an annex the </w:t>
            </w:r>
            <w:r w:rsidRPr="00BA1475">
              <w:rPr>
                <w:rFonts w:ascii="Arial Narrow" w:eastAsia="Calibri" w:hAnsi="Arial Narrow" w:cs="Calibri"/>
                <w:noProof/>
                <w:kern w:val="0"/>
                <w:sz w:val="16"/>
                <w:szCs w:val="16"/>
                <w:lang w:val="en-US"/>
                <w14:ligatures w14:val="none"/>
              </w:rPr>
              <w:t>certificate of entry into operation of digital maturity test system for entities.</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6963EAF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 digital maturity test system for entities shall be established. The digital maturity test is a digital tool available on the EDIH website, which assesses an entity’s digital maturity in various aspects and may be filled by the entity independently or with the help of a consultant.</w:t>
            </w:r>
          </w:p>
        </w:tc>
      </w:tr>
      <w:tr w:rsidR="009C5ECA" w:rsidRPr="00BA1475" w14:paraId="69129F4A"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0F1FDC7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43</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458C8D2"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2.2.1.1.i. </w:t>
            </w:r>
          </w:p>
          <w:p w14:paraId="6D1CFE1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Support for the establishment of Digital Innovation Hubs and Regional Contact Points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C4CEEC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7E723A1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digital transformation roadmaps issued to</w:t>
            </w:r>
            <w:r w:rsidRPr="00BA1475">
              <w:rPr>
                <w:rFonts w:ascii="Arial Narrow" w:eastAsia="Times New Roman" w:hAnsi="Arial Narrow" w:cs="Times New Roman"/>
                <w:noProof/>
                <w:kern w:val="0"/>
                <w:sz w:val="16"/>
                <w:szCs w:val="16"/>
                <w:lang w:val="en-GB"/>
                <w14:ligatures w14:val="none"/>
              </w:rPr>
              <w:t xml:space="preserve"> entities </w:t>
            </w:r>
            <w:r w:rsidRPr="00BA1475">
              <w:rPr>
                <w:rFonts w:ascii="Arial Narrow" w:eastAsia="Calibri" w:hAnsi="Arial Narrow" w:cs="Times New Roman"/>
                <w:noProof/>
                <w:kern w:val="0"/>
                <w:sz w:val="16"/>
                <w:szCs w:val="16"/>
                <w:lang w:val="en-GB"/>
                <w14:ligatures w14:val="none"/>
              </w:rPr>
              <w:t>by the European Digital Innovation Hubs (EDIH)</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7F2A60D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7D2CB3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Roadmaps issued</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CCBAB9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7C8398A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5F84FB3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0BA73DA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29F44DF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European Digital Innovation Hub in cooperation with other institutions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5FB59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1EC6A99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4665CF9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4ADAA33C" w14:textId="77777777" w:rsidR="00BA1475" w:rsidRPr="00BA1475" w:rsidRDefault="00BA1475" w:rsidP="00BA1475">
            <w:pPr>
              <w:numPr>
                <w:ilvl w:val="0"/>
                <w:numId w:val="46"/>
              </w:numPr>
              <w:spacing w:after="0" w:line="240" w:lineRule="auto"/>
              <w:contextualSpacing/>
              <w:rPr>
                <w:rFonts w:ascii="Arial Narrow" w:eastAsia="Calibri" w:hAnsi="Arial Narrow" w:cs="Arial"/>
                <w:noProof/>
                <w:kern w:val="0"/>
                <w:sz w:val="16"/>
                <w:szCs w:val="16"/>
                <w:lang w:val="en-GB"/>
                <w14:ligatures w14:val="none"/>
              </w:rPr>
            </w:pPr>
            <w:r w:rsidRPr="00BA1475">
              <w:rPr>
                <w:rFonts w:ascii="Arial Narrow" w:eastAsia="Calibri" w:hAnsi="Arial Narrow" w:cs="Arial"/>
                <w:noProof/>
                <w:kern w:val="0"/>
                <w:sz w:val="16"/>
                <w:szCs w:val="16"/>
                <w:lang w:val="en-GB"/>
                <w14:ligatures w14:val="none"/>
              </w:rPr>
              <w:t>a list of the roadmaps issued to entities by the EDIHs</w:t>
            </w:r>
            <w:r w:rsidRPr="00BA1475" w:rsidDel="00E4637B">
              <w:rPr>
                <w:rFonts w:ascii="Arial Narrow" w:eastAsia="Calibri" w:hAnsi="Arial Narrow" w:cs="Arial"/>
                <w:noProof/>
                <w:kern w:val="0"/>
                <w:sz w:val="16"/>
                <w:szCs w:val="16"/>
                <w:lang w:val="en-GB"/>
                <w14:ligatures w14:val="none"/>
              </w:rPr>
              <w:t xml:space="preserve"> </w:t>
            </w:r>
            <w:r w:rsidRPr="00BA1475">
              <w:rPr>
                <w:rFonts w:ascii="Arial Narrow" w:eastAsia="Calibri" w:hAnsi="Arial Narrow" w:cs="Arial"/>
                <w:noProof/>
                <w:kern w:val="0"/>
                <w:sz w:val="16"/>
                <w:szCs w:val="16"/>
                <w:lang w:val="en-GB"/>
                <w14:ligatures w14:val="none"/>
              </w:rPr>
              <w:t xml:space="preserve">with unique identifiers; </w:t>
            </w:r>
          </w:p>
          <w:p w14:paraId="40B50F89" w14:textId="77777777" w:rsidR="00BA1475" w:rsidRPr="00BA1475" w:rsidRDefault="00BA1475" w:rsidP="00BA1475">
            <w:pPr>
              <w:numPr>
                <w:ilvl w:val="0"/>
                <w:numId w:val="38"/>
              </w:numPr>
              <w:spacing w:after="0" w:line="240" w:lineRule="auto"/>
              <w:contextualSpacing/>
              <w:rPr>
                <w:rFonts w:ascii="Calibri" w:eastAsia="MS Mincho" w:hAnsi="Calibri" w:cs="Arial"/>
                <w:noProof/>
                <w:kern w:val="0"/>
                <w:sz w:val="16"/>
                <w:szCs w:val="16"/>
                <w14:ligatures w14:val="none"/>
              </w:rPr>
            </w:pPr>
            <w:r w:rsidRPr="00BA1475">
              <w:rPr>
                <w:rFonts w:ascii="Arial Narrow" w:eastAsia="Calibri" w:hAnsi="Arial Narrow" w:cs="Arial"/>
                <w:noProof/>
                <w:kern w:val="0"/>
                <w:sz w:val="16"/>
                <w:szCs w:val="16"/>
                <w14:ligatures w14:val="none"/>
              </w:rPr>
              <w:t xml:space="preserve">extract of the official documents containing the </w:t>
            </w:r>
            <w:r w:rsidRPr="00BA1475">
              <w:rPr>
                <w:rFonts w:ascii="Arial Narrow" w:eastAsia="Calibri" w:hAnsi="Arial Narrow" w:cs="Arial"/>
                <w:noProof/>
                <w:kern w:val="0"/>
                <w:sz w:val="16"/>
                <w:szCs w:val="16"/>
                <w14:ligatures w14:val="none"/>
              </w:rPr>
              <w:lastRenderedPageBreak/>
              <w:t>selection criteria that ensure compliance with the ‘Do no significant harm’ Technical Guidance (2021/C58/01), as specified in the CID Annex.</w:t>
            </w:r>
          </w:p>
          <w:p w14:paraId="7D21D355" w14:textId="77777777" w:rsidR="00BA1475" w:rsidRPr="00BA1475" w:rsidRDefault="00BA1475" w:rsidP="00BA1475">
            <w:pPr>
              <w:spacing w:after="0" w:line="240" w:lineRule="auto"/>
              <w:contextualSpacing/>
              <w:rPr>
                <w:rFonts w:ascii="Calibri" w:eastAsia="MS Mincho" w:hAnsi="Calibri" w:cs="Arial"/>
                <w:noProof/>
                <w:kern w:val="0"/>
                <w:sz w:val="16"/>
                <w:szCs w:val="16"/>
                <w14:ligatures w14:val="none"/>
              </w:rPr>
            </w:pP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15B5588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Number of digital transformation roadmaps issued by the EDIHs indicating at least one investment.  The selection criteria shall ensure that the selected projects comply with the ‘Do no significant harm’ Technical Guidance (2021/C58/01) through the use of an exclusion list and the requirement of compliance with the relevant EU and national environmental legislation.</w:t>
            </w:r>
          </w:p>
        </w:tc>
      </w:tr>
      <w:tr w:rsidR="009C5ECA" w:rsidRPr="00BA1475" w14:paraId="2474ACEE"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0A75CF1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44</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6495C2AC"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2.2.1.1.i. </w:t>
            </w:r>
          </w:p>
          <w:p w14:paraId="605A383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Support for the establishment of Digital Innovation Hubs and Regional Contact Points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02BA03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4AE896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digital transformation roadmaps issued to </w:t>
            </w:r>
            <w:r w:rsidRPr="00BA1475">
              <w:rPr>
                <w:rFonts w:ascii="Arial Narrow" w:eastAsia="Times New Roman" w:hAnsi="Arial Narrow" w:cs="Times New Roman"/>
                <w:noProof/>
                <w:kern w:val="0"/>
                <w:sz w:val="16"/>
                <w:szCs w:val="16"/>
                <w:lang w:val="en-GB"/>
                <w14:ligatures w14:val="none"/>
              </w:rPr>
              <w:t xml:space="preserve"> entities </w:t>
            </w:r>
            <w:r w:rsidRPr="00BA1475">
              <w:rPr>
                <w:rFonts w:ascii="Arial Narrow" w:eastAsia="Calibri" w:hAnsi="Arial Narrow" w:cs="Times New Roman"/>
                <w:noProof/>
                <w:kern w:val="0"/>
                <w:sz w:val="16"/>
                <w:szCs w:val="16"/>
                <w:lang w:val="en-GB"/>
                <w14:ligatures w14:val="none"/>
              </w:rPr>
              <w:t>by the European Digital Innovation Hubs (EDIH)</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56DA982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B0AEC1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Roadmaps issued</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D0F76B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1400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2548F2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7A9E9E7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32320AC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44D5571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European Digital Innovation Hub in cooperation with other institutions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77A76B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40299CF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17771F4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4FF68F39" w14:textId="77777777" w:rsidR="00BA1475" w:rsidRPr="00BA1475" w:rsidRDefault="00BA1475" w:rsidP="00BA1475">
            <w:pPr>
              <w:numPr>
                <w:ilvl w:val="0"/>
                <w:numId w:val="47"/>
              </w:numPr>
              <w:spacing w:after="0" w:line="240" w:lineRule="auto"/>
              <w:contextualSpacing/>
              <w:rPr>
                <w:rFonts w:ascii="Arial Narrow" w:eastAsia="Calibri" w:hAnsi="Arial Narrow" w:cs="Arial"/>
                <w:noProof/>
                <w:kern w:val="0"/>
                <w:sz w:val="16"/>
                <w:szCs w:val="16"/>
                <w:lang w:val="en-GB"/>
                <w14:ligatures w14:val="none"/>
              </w:rPr>
            </w:pPr>
            <w:r w:rsidRPr="00BA1475">
              <w:rPr>
                <w:rFonts w:ascii="Arial Narrow" w:eastAsia="Calibri" w:hAnsi="Arial Narrow" w:cs="Arial"/>
                <w:noProof/>
                <w:kern w:val="0"/>
                <w:sz w:val="16"/>
                <w:szCs w:val="16"/>
                <w:lang w:val="en-GB"/>
                <w14:ligatures w14:val="none"/>
              </w:rPr>
              <w:t xml:space="preserve">a list of the roadmaps issued to entities by the EDIHs with unique identifiers in addition to those in target 43; </w:t>
            </w:r>
          </w:p>
          <w:p w14:paraId="40E167A8" w14:textId="77777777" w:rsidR="00BA1475" w:rsidRPr="00BA1475" w:rsidRDefault="00BA1475" w:rsidP="00BA1475">
            <w:pPr>
              <w:numPr>
                <w:ilvl w:val="0"/>
                <w:numId w:val="47"/>
              </w:numPr>
              <w:spacing w:after="0" w:line="240" w:lineRule="auto"/>
              <w:contextualSpacing/>
              <w:rPr>
                <w:rFonts w:ascii="Calibri" w:eastAsia="MS Mincho" w:hAnsi="Calibri" w:cs="Arial"/>
                <w:noProof/>
                <w:kern w:val="0"/>
                <w:sz w:val="16"/>
                <w:szCs w:val="16"/>
                <w:lang w:val="en-US"/>
                <w14:ligatures w14:val="none"/>
              </w:rPr>
            </w:pPr>
            <w:r w:rsidRPr="00BA1475">
              <w:rPr>
                <w:rFonts w:ascii="Arial Narrow" w:eastAsia="Calibri" w:hAnsi="Arial Narrow" w:cs="Arial"/>
                <w:noProof/>
                <w:kern w:val="0"/>
                <w:sz w:val="16"/>
                <w:szCs w:val="16"/>
                <w14:ligatures w14:val="none"/>
              </w:rPr>
              <w:t>extract of the official documents containing the selection criteria that ensure compliance with the ‘Do no significant harm’ Technical Guidance (2021/C58/01), as specified in the CID Annex.</w:t>
            </w:r>
          </w:p>
          <w:p w14:paraId="22526BBA" w14:textId="77777777" w:rsidR="00BA1475" w:rsidRPr="00BA1475" w:rsidRDefault="00BA1475" w:rsidP="00BA1475">
            <w:pPr>
              <w:spacing w:after="0" w:line="240" w:lineRule="auto"/>
              <w:contextualSpacing/>
              <w:rPr>
                <w:rFonts w:ascii="Calibri" w:eastAsia="MS Mincho" w:hAnsi="Calibri" w:cs="Arial"/>
                <w:noProof/>
                <w:kern w:val="0"/>
                <w:sz w:val="16"/>
                <w:szCs w:val="16"/>
                <w:lang w:val="en-US"/>
                <w14:ligatures w14:val="none"/>
              </w:rPr>
            </w:pP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4EFB944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digital transformation roadmaps issued to entities by the EDIHs.  The selection criteria shall ensure that the selected projects comply with the ‘Do no significant harm’ Technical Guidance (2021/C58/01) through the use of an exclusion list and the requirement of compliance with the relevant EU and national environmental legislation.</w:t>
            </w:r>
          </w:p>
        </w:tc>
      </w:tr>
      <w:tr w:rsidR="009C5ECA" w:rsidRPr="00BA1475" w14:paraId="2264F0F2"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2B1AFC5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44a</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454F0280" w14:textId="77777777" w:rsidR="00BA1475" w:rsidRPr="00BA1475" w:rsidRDefault="00BA1475" w:rsidP="00BA1475">
            <w:pPr>
              <w:spacing w:before="120" w:after="120" w:line="276" w:lineRule="auto"/>
              <w:rPr>
                <w:rFonts w:ascii="Arial Narrow" w:eastAsia="Times New Roman" w:hAnsi="Arial Narrow" w:cs="Times New Roman"/>
                <w:b/>
                <w:bCs/>
                <w:noProof/>
                <w:kern w:val="0"/>
                <w:sz w:val="16"/>
                <w:szCs w:val="16"/>
                <w:lang w:val="en-GB"/>
                <w14:ligatures w14:val="none"/>
              </w:rPr>
            </w:pPr>
            <w:r w:rsidRPr="00BA1475">
              <w:rPr>
                <w:rFonts w:ascii="Arial Narrow" w:eastAsia="Times New Roman" w:hAnsi="Arial Narrow" w:cs="Times New Roman"/>
                <w:b/>
                <w:bCs/>
                <w:noProof/>
                <w:kern w:val="0"/>
                <w:sz w:val="16"/>
                <w:szCs w:val="16"/>
                <w:lang w:val="en-GB"/>
                <w14:ligatures w14:val="none"/>
              </w:rPr>
              <w:t xml:space="preserve">2.2.1.1.i. </w:t>
            </w:r>
          </w:p>
          <w:p w14:paraId="031FB621" w14:textId="77777777" w:rsidR="00BA1475" w:rsidRPr="00BA1475" w:rsidRDefault="00BA1475" w:rsidP="00BA1475">
            <w:pPr>
              <w:spacing w:before="120" w:after="120" w:line="240" w:lineRule="auto"/>
              <w:rPr>
                <w:rFonts w:ascii="Arial Narrow" w:eastAsia="Calibri" w:hAnsi="Arial Narrow" w:cs="Times New Roman"/>
                <w:b/>
                <w:noProof/>
                <w:kern w:val="0"/>
                <w:sz w:val="16"/>
                <w:szCs w:val="16"/>
                <w:lang w:val="en-GB"/>
                <w14:ligatures w14:val="none"/>
              </w:rPr>
            </w:pPr>
            <w:r w:rsidRPr="00BA1475">
              <w:rPr>
                <w:rFonts w:ascii="Arial Narrow" w:eastAsia="Times New Roman" w:hAnsi="Arial Narrow" w:cs="Times New Roman"/>
                <w:b/>
                <w:bCs/>
                <w:noProof/>
                <w:kern w:val="0"/>
                <w:sz w:val="16"/>
                <w:szCs w:val="16"/>
                <w:lang w:val="en-GB"/>
                <w14:ligatures w14:val="none"/>
              </w:rPr>
              <w:t>Support for the establishment of Digital Innovation Hubs and Regional Contact Points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29ACA5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3751F20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noProof/>
                <w:kern w:val="0"/>
                <w:sz w:val="16"/>
                <w:szCs w:val="16"/>
                <w:lang w:val="en-GB"/>
                <w14:ligatures w14:val="none"/>
              </w:rPr>
              <w:t>Support for the digital transformation of entities, by the European Digital Innovation Hubs (EDIH)</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5DBE055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noProof/>
                <w:kern w:val="0"/>
                <w:sz w:val="16"/>
                <w:szCs w:val="16"/>
                <w:lang w:val="en-GB"/>
                <w14:ligatures w14:val="none"/>
              </w:rPr>
              <w:t>Work packages of the European Digital Innovation Hubs (EDIH) completed</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5DDF2FB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637901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2CA0D80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18BFA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621E934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4A04DF3D" w14:textId="77777777" w:rsidR="00BA1475" w:rsidRPr="00BA1475" w:rsidRDefault="00BA1475" w:rsidP="00BA1475">
            <w:pPr>
              <w:spacing w:after="0" w:line="240" w:lineRule="auto"/>
              <w:rPr>
                <w:rFonts w:ascii="Arial Narrow" w:eastAsia="Arial Narrow" w:hAnsi="Arial Narrow" w:cs="Arial Narrow"/>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 xml:space="preserve">European Digital Innovation Hub in cooperation with other institutions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7F4F5D6" w14:textId="77777777" w:rsidR="00BA1475" w:rsidRPr="00BA1475" w:rsidRDefault="00BA1475" w:rsidP="00BA1475">
            <w:pPr>
              <w:spacing w:after="0" w:line="276" w:lineRule="auto"/>
              <w:rPr>
                <w:rFonts w:ascii="Arial Narrow" w:eastAsia="Calibri" w:hAnsi="Arial Narrow" w:cs="Arial"/>
                <w:noProof/>
                <w:color w:val="000000"/>
                <w:kern w:val="0"/>
                <w:sz w:val="16"/>
                <w:szCs w:val="16"/>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4B87E1F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milestone (including all the constitutive elements) was satisfactorily fulfilled, with appropriate links to the underlying evidence. </w:t>
            </w:r>
          </w:p>
          <w:p w14:paraId="36F3B42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an independent</w:t>
            </w:r>
            <w:r w:rsidRPr="00BA1475">
              <w:rPr>
                <w:rFonts w:ascii="Arial Narrow" w:eastAsia="Calibri" w:hAnsi="Arial Narrow" w:cs="Arial"/>
                <w:noProof/>
                <w:kern w:val="0"/>
                <w:sz w:val="16"/>
                <w:szCs w:val="16"/>
                <w:lang w:val="en-GB"/>
                <w14:ligatures w14:val="none"/>
              </w:rPr>
              <w:t xml:space="preserve"> </w:t>
            </w:r>
            <w:r w:rsidRPr="00BA1475">
              <w:rPr>
                <w:rFonts w:ascii="Arial Narrow" w:eastAsia="Calibri" w:hAnsi="Arial Narrow" w:cs="Calibri"/>
                <w:noProof/>
                <w:kern w:val="0"/>
                <w:sz w:val="16"/>
                <w:szCs w:val="16"/>
                <w:lang w:val="en-GB"/>
                <w14:ligatures w14:val="none"/>
              </w:rPr>
              <w:t xml:space="preserve">report confirming the completion of the work packages. </w:t>
            </w:r>
          </w:p>
          <w:p w14:paraId="3E539263"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2723C5B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All work packages of European Digital Innovation Hubsshall be completed, excluding those that are funded by the Digital Europe Programme.</w:t>
            </w:r>
          </w:p>
        </w:tc>
      </w:tr>
      <w:tr w:rsidR="009C5ECA" w:rsidRPr="00BA1475" w14:paraId="3EAA85FE"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57C4A3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45</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C389CDD"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2.2.1.2.i. </w:t>
            </w:r>
          </w:p>
          <w:p w14:paraId="02E6A58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Support for the digitisation of processes in commercial activities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569CED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730E5E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entities supported to digitise processes in commercial activity and for which the result of the digital maturity test improved, against the previous test result, after receipt of the grant and realisation of the project</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19F17B1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600BA12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Supported entities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9315A4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3561808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80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788D9FD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6C3A46F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12C214D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Investment and Development Agency of Latvia, European Digital Innovation Centre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AA5D66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71F92B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614BAFF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2FAAC038" w14:textId="77777777" w:rsidR="00BA1475" w:rsidRPr="00BA1475" w:rsidRDefault="00BA1475" w:rsidP="00BA1475">
            <w:pPr>
              <w:numPr>
                <w:ilvl w:val="0"/>
                <w:numId w:val="31"/>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list of contracts concluded between the aid provider and the beneficiary; </w:t>
            </w:r>
          </w:p>
          <w:p w14:paraId="449CF93D" w14:textId="77777777" w:rsidR="00BA1475" w:rsidRPr="00BA1475" w:rsidRDefault="00BA1475" w:rsidP="00BA1475">
            <w:pPr>
              <w:numPr>
                <w:ilvl w:val="0"/>
                <w:numId w:val="31"/>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the repeated Digital Maturity test result showing </w:t>
            </w:r>
            <w:r w:rsidRPr="00BA1475">
              <w:rPr>
                <w:rFonts w:ascii="Arial Narrow" w:eastAsia="Calibri" w:hAnsi="Arial Narrow" w:cs="Calibri"/>
                <w:noProof/>
                <w:kern w:val="0"/>
                <w:sz w:val="16"/>
                <w:szCs w:val="16"/>
                <w:lang w:val="en-GB"/>
                <w14:ligatures w14:val="none"/>
              </w:rPr>
              <w:t xml:space="preserve">improvements in the processes. </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55126B4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target shall be executed when a contract has been concluded between the entity and the Investment and Development Agency of Latvia for the receipt of the grant and improvements to the test result are observed in the repeated Digital Maturity Test.</w:t>
            </w:r>
          </w:p>
        </w:tc>
      </w:tr>
      <w:tr w:rsidR="009C5ECA" w:rsidRPr="00BA1475" w14:paraId="1A219DA1"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2EE33D2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46 </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EAD35B7"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2.2.1.2.i. </w:t>
            </w:r>
          </w:p>
          <w:p w14:paraId="35F28AB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Support for the digitisation of processes in commercial activities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4BF80A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31B6F35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entities supported to digitise processes in commercial activity and for which the digital maturity test result improved, against the previous test result, after receipt of the grant and realisation of the project</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52A2095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D4CA24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Supported entities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FF936B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80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46B4A63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1B58FAD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3F9B33A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4018DCE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Investment and Development Agency of Latvia, European Digital Innovation Centre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4DEE72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4656923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02343A0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28A2BD31" w14:textId="77777777" w:rsidR="00BA1475" w:rsidRPr="00BA1475" w:rsidRDefault="00BA1475" w:rsidP="00BA1475">
            <w:pPr>
              <w:numPr>
                <w:ilvl w:val="0"/>
                <w:numId w:val="30"/>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list of contracts concluded between the aid provider and the beneficiary, </w:t>
            </w:r>
          </w:p>
          <w:p w14:paraId="0640BF72" w14:textId="77777777" w:rsidR="00BA1475" w:rsidRPr="00BA1475" w:rsidRDefault="00BA1475" w:rsidP="00BA1475">
            <w:pPr>
              <w:numPr>
                <w:ilvl w:val="0"/>
                <w:numId w:val="30"/>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the test result observed in the repeated Digital Maturity Test showing improvements in the processes. </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7CFD3D3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target shall be executed when a contract has been concluded between the entity and the Investment and Development Agency of Latvia for the receipt of the grant and improvements to the test result are observed in the repeated Digital Maturity Test.</w:t>
            </w:r>
          </w:p>
        </w:tc>
      </w:tr>
      <w:tr w:rsidR="009C5ECA" w:rsidRPr="00BA1475" w14:paraId="10DEFC21"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6A8E3B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47</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683475C3" w14:textId="77777777" w:rsidR="00BA1475" w:rsidRPr="00BA1475" w:rsidRDefault="00BA1475" w:rsidP="00BA1475">
            <w:pPr>
              <w:spacing w:after="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2.2.1.3.i. </w:t>
            </w:r>
          </w:p>
          <w:p w14:paraId="3F969FF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Support for the introduction of new products and services into business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083B6A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803CC9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projects supported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34CB6F4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7B77DA4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Supported projects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FFD51B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7435EDB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14 </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53ED83C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9E67FA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7ABB1EB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in cooperation with other institutions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7978EB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C4B73D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45A7420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3C9D520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7A617D15"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lastRenderedPageBreak/>
              <w:t xml:space="preserve">a) a list of projects, including the name and registration number of the final recipient, title and brief description of the project and the grant amount; </w:t>
            </w:r>
          </w:p>
          <w:p w14:paraId="09088FF5"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14:ligatures w14:val="none"/>
              </w:rPr>
              <w:t xml:space="preserve">b) copy of the grant decisions approving projects and allocation of funding and ensuring compliance with the ‘Do no significant harm’ Technical Guidance (2021/C58/01), as specified in the CID </w:t>
            </w:r>
            <w:r w:rsidRPr="00BA1475">
              <w:rPr>
                <w:rFonts w:ascii="Arial Narrow" w:eastAsia="Calibri" w:hAnsi="Arial Narrow" w:cs="Calibri"/>
                <w:noProof/>
                <w:kern w:val="0"/>
                <w:sz w:val="16"/>
                <w:szCs w:val="16"/>
                <w:lang w:val="en-GB"/>
                <w14:ligatures w14:val="none"/>
              </w:rPr>
              <w:t xml:space="preserve">and with the requirement of awarding </w:t>
            </w:r>
            <w:r w:rsidRPr="00BA1475">
              <w:rPr>
                <w:rFonts w:ascii="Arial Narrow" w:eastAsia="Calibri" w:hAnsi="Arial Narrow" w:cs="Calibri"/>
                <w:noProof/>
                <w:kern w:val="0"/>
                <w:sz w:val="16"/>
                <w:szCs w:val="16"/>
                <w:lang w:val="en-US"/>
                <w14:ligatures w14:val="none"/>
              </w:rPr>
              <w:t xml:space="preserve">grants of </w:t>
            </w:r>
            <w:r w:rsidRPr="00BA1475">
              <w:rPr>
                <w:rFonts w:ascii="Arial Narrow" w:eastAsia="Calibri" w:hAnsi="Arial Narrow" w:cs="Times New Roman"/>
                <w:noProof/>
                <w:kern w:val="0"/>
                <w:sz w:val="16"/>
                <w:szCs w:val="16"/>
                <w:lang w:val="en-GB"/>
                <w14:ligatures w14:val="none"/>
              </w:rPr>
              <w:t>up to EUR 1 000 000.</w:t>
            </w:r>
          </w:p>
          <w:p w14:paraId="2887714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6F10E73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In the cases of ETS installations, this document shall contain the following information: </w:t>
            </w:r>
          </w:p>
          <w:p w14:paraId="7682F495" w14:textId="77777777" w:rsidR="00BA1475" w:rsidRPr="00BA1475" w:rsidRDefault="00BA1475" w:rsidP="00BA1475">
            <w:pPr>
              <w:tabs>
                <w:tab w:val="left" w:pos="326"/>
              </w:tabs>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1) Installation ID/Aircraft Operator ID in the European Union Transaction Log (EUTL) as established by Art. 5 of the Commission Regulation (EU) 389/2013; </w:t>
            </w:r>
          </w:p>
          <w:p w14:paraId="18EDDC9C" w14:textId="77777777" w:rsidR="00BA1475" w:rsidRPr="00BA1475" w:rsidRDefault="00BA1475" w:rsidP="00BA1475">
            <w:pPr>
              <w:tabs>
                <w:tab w:val="left" w:pos="326"/>
              </w:tabs>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2) The projected level of GHG emissions per unit of product for awarded projects with activities under the EU ETS; </w:t>
            </w:r>
          </w:p>
          <w:p w14:paraId="78351679" w14:textId="77777777" w:rsidR="00BA1475" w:rsidRPr="00BA1475" w:rsidRDefault="00BA1475" w:rsidP="00BA1475">
            <w:pPr>
              <w:tabs>
                <w:tab w:val="left" w:pos="326"/>
              </w:tabs>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3) Brief description of the project and technologies used.</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27AC1CF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 xml:space="preserve">Grant agreements to support 14 projects shall be signed.  </w:t>
            </w:r>
          </w:p>
        </w:tc>
      </w:tr>
      <w:tr w:rsidR="009C5ECA" w:rsidRPr="00BA1475" w14:paraId="70417568"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557B48C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48</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75A36BAE"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2.2.1.3.i. Support for the introduction of new products and services into business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966E24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1B0499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projects supported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1A94359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42D96C1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Supported projects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2A13FCE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5BDA084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43 </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567B736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9068BA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6B27AA8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in cooperation with other institutions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BC6E83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48C7961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2BD4EF6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22F12B7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191D6766" w14:textId="77777777" w:rsidR="00BA1475" w:rsidRPr="00BA1475" w:rsidRDefault="00BA1475" w:rsidP="00BA1475">
            <w:pPr>
              <w:spacing w:after="0" w:line="240" w:lineRule="auto"/>
              <w:contextualSpacing/>
              <w:rPr>
                <w:rFonts w:ascii="Calibri" w:eastAsia="MS Mincho" w:hAnsi="Calibri" w:cs="Arial"/>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 xml:space="preserve">a) a list of projects, including the name and registration number of the final recipient, title and brief description of the project and the grant amount; </w:t>
            </w:r>
          </w:p>
          <w:p w14:paraId="18146E8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US"/>
                <w14:ligatures w14:val="none"/>
              </w:rPr>
              <w:t xml:space="preserve">b) copy of the grant decisions approving projects and </w:t>
            </w:r>
            <w:r w:rsidRPr="00BA1475">
              <w:rPr>
                <w:rFonts w:ascii="Arial Narrow" w:eastAsia="Calibri" w:hAnsi="Arial Narrow" w:cs="Calibri"/>
                <w:noProof/>
                <w:kern w:val="0"/>
                <w:sz w:val="16"/>
                <w:szCs w:val="16"/>
                <w:lang w:val="en-US"/>
                <w14:ligatures w14:val="none"/>
              </w:rPr>
              <w:lastRenderedPageBreak/>
              <w:t xml:space="preserve">allocation of funding and ensuring </w:t>
            </w:r>
            <w:r w:rsidRPr="00BA1475">
              <w:rPr>
                <w:rFonts w:ascii="Arial Narrow" w:eastAsia="Calibri" w:hAnsi="Arial Narrow" w:cs="Calibri"/>
                <w:noProof/>
                <w:kern w:val="0"/>
                <w:sz w:val="16"/>
                <w:szCs w:val="16"/>
                <w:lang w:val="en-GB"/>
                <w14:ligatures w14:val="none"/>
              </w:rPr>
              <w:t xml:space="preserve">compliance with the ‘Do no significant harm’ Technical Guidance (2021/C58/01), as specified in the CID Annex and with the requirement of awarding </w:t>
            </w:r>
            <w:r w:rsidRPr="00BA1475">
              <w:rPr>
                <w:rFonts w:ascii="Arial Narrow" w:eastAsia="Calibri" w:hAnsi="Arial Narrow" w:cs="Calibri"/>
                <w:noProof/>
                <w:kern w:val="0"/>
                <w:sz w:val="16"/>
                <w:szCs w:val="16"/>
                <w:lang w:val="en-US"/>
                <w14:ligatures w14:val="none"/>
              </w:rPr>
              <w:t xml:space="preserve">grants of </w:t>
            </w:r>
            <w:r w:rsidRPr="00BA1475">
              <w:rPr>
                <w:rFonts w:ascii="Arial Narrow" w:eastAsia="Calibri" w:hAnsi="Arial Narrow" w:cs="Times New Roman"/>
                <w:noProof/>
                <w:kern w:val="0"/>
                <w:sz w:val="16"/>
                <w:szCs w:val="16"/>
                <w:lang w:val="en-GB"/>
                <w14:ligatures w14:val="none"/>
              </w:rPr>
              <w:t>up to EUR 1 000 000.</w:t>
            </w:r>
          </w:p>
          <w:p w14:paraId="62DFF20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4455B67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In the cases of ETS installations, this document shall contain the following information: </w:t>
            </w:r>
          </w:p>
          <w:p w14:paraId="2746A41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1) Installation ID/Aircraft Operator ID in the European Union Transaction Log (EUTL) as established by Art. 5 of the Commission Regulation (EU) 389/2013; </w:t>
            </w:r>
          </w:p>
          <w:p w14:paraId="5C12CA0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2) The projected level of GHG emissions per unit of product for awarded projects with activities under the EU ETS; </w:t>
            </w:r>
          </w:p>
          <w:p w14:paraId="57DDFC3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3) Brief description of the project and technologies used.</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7A2172E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Grant agreements to support an additional 29 projects shall be signed.</w:t>
            </w:r>
          </w:p>
        </w:tc>
      </w:tr>
      <w:tr w:rsidR="009C5ECA" w:rsidRPr="00BA1475" w14:paraId="1CF6E155"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A421C3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49</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7541CA3D"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2.2.1.3.i. Support for the introduction of new products and services into business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7F878F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1244E69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Private finance committed</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784FAA8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34E4EF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EUR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E393E9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4523ECC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4 860 000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0E4006D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4952E01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B6C7DF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Central Finance and Contracting Agency and Innovation Cluster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C2A61B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60F3D7F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05B1E054" w14:textId="77777777" w:rsidR="00BA1475" w:rsidRPr="00BA1475" w:rsidRDefault="00BA1475" w:rsidP="00BA1475">
            <w:pPr>
              <w:spacing w:after="0" w:line="240" w:lineRule="auto"/>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This document shall include as an annex</w:t>
            </w:r>
            <w:r w:rsidRPr="00BA1475">
              <w:rPr>
                <w:rFonts w:ascii="Arial Narrow" w:eastAsia="Calibri" w:hAnsi="Arial Narrow" w:cs="Calibri"/>
                <w:noProof/>
                <w:kern w:val="0"/>
                <w:sz w:val="16"/>
                <w:szCs w:val="16"/>
                <w:lang w:val="en-US"/>
                <w14:ligatures w14:val="none"/>
              </w:rPr>
              <w:t>the list of contracts signed between the aid provider and the beneficiaries, following grant decisions, specifying private financing in the project.</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13F79AB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Amount of private financing committed to supported projects for introduction of new products and services.  </w:t>
            </w:r>
          </w:p>
        </w:tc>
      </w:tr>
      <w:tr w:rsidR="009C5ECA" w:rsidRPr="00BA1475" w14:paraId="2AEFB87E"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462F299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50</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1A5C1433"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2.2.1.4.i. </w:t>
            </w:r>
          </w:p>
          <w:p w14:paraId="597FA9CA"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Financial instruments to facilitate the digital transformation of economic operators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1A18C3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7D8DE28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loan contracts signed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4738B4E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6581DE6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loans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423E34B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677930C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51</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2F50925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410AE3D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59D410A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Altum</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78F336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BB2D4E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669D578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3D340B85" w14:textId="77777777" w:rsidR="00BA1475" w:rsidRPr="00BA1475" w:rsidRDefault="00BA1475" w:rsidP="00BA1475">
            <w:pPr>
              <w:numPr>
                <w:ilvl w:val="0"/>
                <w:numId w:val="29"/>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list of loan contracts signed between Altum and the </w:t>
            </w:r>
            <w:r w:rsidRPr="00BA1475">
              <w:rPr>
                <w:rFonts w:ascii="Arial Narrow" w:eastAsia="Calibri" w:hAnsi="Arial Narrow" w:cs="Calibri"/>
                <w:noProof/>
                <w:kern w:val="0"/>
                <w:sz w:val="16"/>
                <w:szCs w:val="16"/>
                <w:lang w:val="en-US"/>
                <w14:ligatures w14:val="none"/>
              </w:rPr>
              <w:lastRenderedPageBreak/>
              <w:t xml:space="preserve">beneficiaries; </w:t>
            </w:r>
          </w:p>
          <w:p w14:paraId="10AAC49C" w14:textId="77777777" w:rsidR="00BA1475" w:rsidRPr="00BA1475" w:rsidRDefault="00BA1475" w:rsidP="00BA1475">
            <w:pPr>
              <w:numPr>
                <w:ilvl w:val="0"/>
                <w:numId w:val="29"/>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list and descriptions of the supported projects and loan transactions executed;</w:t>
            </w:r>
          </w:p>
          <w:p w14:paraId="02455F9B" w14:textId="77777777" w:rsidR="00BA1475" w:rsidRPr="00BA1475" w:rsidRDefault="00BA1475" w:rsidP="00BA1475">
            <w:pPr>
              <w:numPr>
                <w:ilvl w:val="0"/>
                <w:numId w:val="29"/>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14:ligatures w14:val="none"/>
              </w:rPr>
              <w:t>extract of the official documents containing the selection criteria that ensure compliance with the ‘Do no significant harm’ Technical Guidance (2021/C58/01), as specified in the CID Annex.</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3A71630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Number of loan contracts signed between Altum and economic operators to support digital transformation projects. The selection criteria shall ensure that the selected projects comply with the ‘Do no significant harm’ Technical Guidance (2021/C58/01) through the use of an exclusion list and the requirement of compliance with the relevant EU and national environmental legislation.</w:t>
            </w:r>
          </w:p>
        </w:tc>
      </w:tr>
      <w:tr w:rsidR="009C5ECA" w:rsidRPr="00BA1475" w14:paraId="3CC697E3"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49857AD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51</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20C54A84"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2.2.1.4.i. </w:t>
            </w:r>
          </w:p>
          <w:p w14:paraId="4BC87255"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Financial instruments to facilitate the digital transformation of economic operators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3D7128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4CEF85B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loan contracts signed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1BEA675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0A8A8F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loans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0AE26B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51</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3410F315" w14:textId="76E2179D"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w:t>
            </w:r>
            <w:r w:rsidR="007863BD">
              <w:rPr>
                <w:rFonts w:ascii="Arial Narrow" w:eastAsia="Calibri" w:hAnsi="Arial Narrow" w:cs="Times New Roman"/>
                <w:noProof/>
                <w:kern w:val="0"/>
                <w:sz w:val="16"/>
                <w:szCs w:val="16"/>
                <w:lang w:val="en-GB"/>
                <w14:ligatures w14:val="none"/>
              </w:rPr>
              <w:t>5</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094A3EF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005ED3B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50EC582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Altum</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5FF85E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6C0233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1414C9D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7C8FAEB7" w14:textId="77777777" w:rsidR="00BA1475" w:rsidRPr="00BA1475" w:rsidRDefault="00BA1475" w:rsidP="00BA1475">
            <w:pPr>
              <w:numPr>
                <w:ilvl w:val="0"/>
                <w:numId w:val="28"/>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list of loan contracts signedbetween Altum and the beneficiaries; </w:t>
            </w:r>
          </w:p>
          <w:p w14:paraId="2F2EA77B" w14:textId="77777777" w:rsidR="00BA1475" w:rsidRPr="00BA1475" w:rsidRDefault="00BA1475" w:rsidP="00BA1475">
            <w:pPr>
              <w:numPr>
                <w:ilvl w:val="0"/>
                <w:numId w:val="28"/>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list and descriptions of the supported projects and loan transactions executed; </w:t>
            </w:r>
          </w:p>
          <w:p w14:paraId="2BDBDD0C" w14:textId="77777777" w:rsidR="00BA1475" w:rsidRPr="00BA1475" w:rsidRDefault="00BA1475" w:rsidP="00BA1475">
            <w:pPr>
              <w:numPr>
                <w:ilvl w:val="0"/>
                <w:numId w:val="28"/>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14:ligatures w14:val="none"/>
              </w:rPr>
              <w:t>extract of the official documents containing the selection criteria that ensure compliance with the ‘Do no significant harm’ Technical Guidance (2021/C58/01), as specified in the CID Annex.</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2CBBD427"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loan contracts signed between Altum and economic operators to support digital transformation projects.</w:t>
            </w:r>
            <w:r w:rsidRPr="00BA1475">
              <w:rPr>
                <w:rFonts w:ascii="Arial Narrow" w:eastAsia="Calibri" w:hAnsi="Arial Narrow" w:cs="Calibri"/>
                <w:noProof/>
                <w:kern w:val="0"/>
                <w:sz w:val="16"/>
                <w:szCs w:val="16"/>
                <w:lang w:val="en-GB"/>
                <w14:ligatures w14:val="none"/>
              </w:rPr>
              <w:t xml:space="preserve"> </w:t>
            </w:r>
            <w:r w:rsidRPr="00BA1475">
              <w:rPr>
                <w:rFonts w:ascii="Arial Narrow" w:eastAsia="Calibri" w:hAnsi="Arial Narrow" w:cs="Times New Roman"/>
                <w:kern w:val="0"/>
                <w:sz w:val="16"/>
                <w:szCs w:val="16"/>
                <w:lang w:val="en-GB"/>
                <w14:ligatures w14:val="none"/>
              </w:rPr>
              <w:t>The</w:t>
            </w:r>
            <w:r w:rsidRPr="00BA1475">
              <w:rPr>
                <w:rFonts w:ascii="Arial Narrow" w:eastAsia="Calibri" w:hAnsi="Arial Narrow" w:cs="Times New Roman"/>
                <w:noProof/>
                <w:kern w:val="0"/>
                <w:sz w:val="16"/>
                <w:szCs w:val="16"/>
                <w:lang w:val="en-GB"/>
                <w14:ligatures w14:val="none"/>
              </w:rPr>
              <w:t xml:space="preserve"> selection criteria shall ensure that the selected projects comply with the ‘Do no significant harm’ Technical Guidance (2021/C58/01) through the use of an exclusion list and the requirement of compliance with the relevant EU and national environmental legislation.</w:t>
            </w:r>
          </w:p>
        </w:tc>
      </w:tr>
      <w:tr w:rsidR="009C5ECA" w:rsidRPr="00BA1475" w14:paraId="556B1719"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29BDB06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52</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6D24A665"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2.2.1.4.i. </w:t>
            </w:r>
          </w:p>
          <w:p w14:paraId="32106821"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Financial instruments to facilitate the digital transformation of economic operators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A77822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15C89C3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Private finance committed</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4C1D842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362CEE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EUR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20A7BFB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5E71D25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45 300 000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4F9F937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37EA4FF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3309C47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Altum</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8C2E2F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78B1B5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7EA4B61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a </w:t>
            </w:r>
            <w:r w:rsidRPr="00BA1475">
              <w:rPr>
                <w:rFonts w:ascii="Arial Narrow" w:eastAsia="Calibri" w:hAnsi="Arial Narrow" w:cs="Calibri"/>
                <w:noProof/>
                <w:kern w:val="0"/>
                <w:sz w:val="16"/>
                <w:szCs w:val="16"/>
                <w:lang w:val="en-US"/>
                <w14:ligatures w14:val="none"/>
              </w:rPr>
              <w:t>list of loan agreements concluded between Altum and the beneficiaries, specifying private investment in the project.</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0FEB6AC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Amount of private financing committed to supported projects for the digital transformation of economic operators. </w:t>
            </w:r>
          </w:p>
        </w:tc>
      </w:tr>
      <w:tr w:rsidR="009C5ECA" w:rsidRPr="00BA1475" w14:paraId="16EA65D5"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086201A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53</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32E57EBE"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2.2.1.5.i. </w:t>
            </w:r>
          </w:p>
          <w:p w14:paraId="293BFF2A" w14:textId="77777777" w:rsidR="00BA1475" w:rsidRPr="00BA1475" w:rsidRDefault="00BA1475" w:rsidP="00BA1475">
            <w:pPr>
              <w:spacing w:after="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Fostering the digital transformation of media companies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DB8B450"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31EA5AE6"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Number of platforms and digital solutions created</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06ADEA85"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590AB64C"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B00747A"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2B813142"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3</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164B68A7"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65FA8091"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2025</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562339D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Culture and Central Finance and Contracting Agency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06E5D39"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44FB1A1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7023C72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for each of the platforms or IT solutions: </w:t>
            </w:r>
          </w:p>
          <w:p w14:paraId="279C203A" w14:textId="77777777" w:rsidR="00BA1475" w:rsidRPr="00BA1475" w:rsidRDefault="00BA1475" w:rsidP="00BA1475">
            <w:pPr>
              <w:numPr>
                <w:ilvl w:val="0"/>
                <w:numId w:val="41"/>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certificate of completion of the three platform or IT solution and their testing;</w:t>
            </w:r>
          </w:p>
          <w:p w14:paraId="2B8D0AB1" w14:textId="77777777" w:rsidR="00BA1475" w:rsidRPr="00BA1475" w:rsidRDefault="00BA1475" w:rsidP="00BA1475">
            <w:pPr>
              <w:numPr>
                <w:ilvl w:val="0"/>
                <w:numId w:val="41"/>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link to thethree platfroms or IT solutions, as accessible to the users.</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5CDFF5ED"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t>Three platforms or IT solutions in the media sector have been created, tested and accessible to users.</w:t>
            </w:r>
          </w:p>
        </w:tc>
      </w:tr>
      <w:tr w:rsidR="009C5ECA" w:rsidRPr="00BA1475" w14:paraId="68BC9D53"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395162F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54</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024E5542"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2.2.1.5.i. </w:t>
            </w:r>
          </w:p>
          <w:p w14:paraId="122968F2"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Fostering the digital transformation of media companies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9ABC69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DEE3B9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projects supported</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2770D43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E89287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Supported  projects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EE1BD0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151CF1E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1278441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ADA04A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8F10E4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Culture and Central Finance and Contracting Agency</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2BE6A14"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7DF84D6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39BDE42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44E65228" w14:textId="77777777" w:rsidR="00BA1475" w:rsidRPr="00BA1475" w:rsidRDefault="00BA1475" w:rsidP="00BA1475">
            <w:pPr>
              <w:numPr>
                <w:ilvl w:val="0"/>
                <w:numId w:val="45"/>
              </w:numPr>
              <w:spacing w:after="0" w:line="240" w:lineRule="auto"/>
              <w:contextualSpacing/>
              <w:rPr>
                <w:rFonts w:ascii="Arial Narrow" w:eastAsia="Calibri" w:hAnsi="Arial Narrow" w:cs="Arial"/>
                <w:noProof/>
                <w:kern w:val="0"/>
                <w:sz w:val="16"/>
                <w:szCs w:val="16"/>
                <w:lang w:val="lv"/>
                <w14:ligatures w14:val="none"/>
              </w:rPr>
            </w:pPr>
            <w:r w:rsidRPr="00BA1475">
              <w:rPr>
                <w:rFonts w:ascii="Arial Narrow" w:eastAsia="Calibri" w:hAnsi="Arial Narrow" w:cs="Arial"/>
                <w:noProof/>
                <w:kern w:val="0"/>
                <w:sz w:val="16"/>
                <w:szCs w:val="16"/>
                <w:lang w:val="lv"/>
                <w14:ligatures w14:val="none"/>
              </w:rPr>
              <w:t xml:space="preserve">list </w:t>
            </w:r>
            <w:r w:rsidRPr="00BA1475">
              <w:rPr>
                <w:rFonts w:ascii="Arial Narrow" w:eastAsia="Arial Narrow" w:hAnsi="Arial Narrow" w:cs="Arial Narrow"/>
                <w:noProof/>
                <w:kern w:val="0"/>
                <w:sz w:val="16"/>
                <w:szCs w:val="16"/>
                <w:lang w:val="lv"/>
                <w14:ligatures w14:val="none"/>
              </w:rPr>
              <w:t xml:space="preserve">and description </w:t>
            </w:r>
            <w:r w:rsidRPr="00BA1475">
              <w:rPr>
                <w:rFonts w:ascii="Arial Narrow" w:eastAsia="Calibri" w:hAnsi="Arial Narrow" w:cs="Arial"/>
                <w:noProof/>
                <w:kern w:val="0"/>
                <w:sz w:val="16"/>
                <w:szCs w:val="16"/>
                <w:lang w:val="lv"/>
                <w14:ligatures w14:val="none"/>
              </w:rPr>
              <w:t xml:space="preserve">of </w:t>
            </w:r>
            <w:r w:rsidRPr="00BA1475">
              <w:rPr>
                <w:rFonts w:ascii="Arial Narrow" w:eastAsia="Arial Narrow" w:hAnsi="Arial Narrow" w:cs="Arial Narrow"/>
                <w:noProof/>
                <w:kern w:val="0"/>
                <w:sz w:val="16"/>
                <w:szCs w:val="16"/>
                <w:lang w:val="lv"/>
                <w14:ligatures w14:val="none"/>
              </w:rPr>
              <w:t>the contracts concluded,</w:t>
            </w:r>
          </w:p>
          <w:p w14:paraId="52EAA5E4" w14:textId="77777777" w:rsidR="00BA1475" w:rsidRPr="00BA1475" w:rsidRDefault="00BA1475" w:rsidP="00BA1475">
            <w:pPr>
              <w:numPr>
                <w:ilvl w:val="0"/>
                <w:numId w:val="45"/>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lv"/>
                <w14:ligatures w14:val="none"/>
              </w:rPr>
              <w:t>copies of contracts</w:t>
            </w:r>
            <w:r w:rsidRPr="00BA1475">
              <w:rPr>
                <w:rFonts w:ascii="Arial Narrow" w:eastAsia="Calibri" w:hAnsi="Arial Narrow" w:cs="Arial"/>
                <w:noProof/>
                <w:kern w:val="0"/>
                <w:sz w:val="16"/>
                <w:szCs w:val="16"/>
                <w:lang w:val="lv"/>
                <w14:ligatures w14:val="none"/>
              </w:rPr>
              <w:t xml:space="preserve"> concluded between the beneficiary</w:t>
            </w:r>
            <w:r w:rsidRPr="00BA1475">
              <w:rPr>
                <w:rFonts w:ascii="Arial Narrow" w:eastAsia="Arial Narrow" w:hAnsi="Arial Narrow" w:cs="Arial Narrow"/>
                <w:noProof/>
                <w:kern w:val="0"/>
                <w:sz w:val="16"/>
                <w:szCs w:val="16"/>
                <w:lang w:val="lv"/>
                <w14:ligatures w14:val="none"/>
              </w:rPr>
              <w:t xml:space="preserve"> and the responsible authority for the </w:t>
            </w:r>
            <w:r w:rsidRPr="00BA1475">
              <w:rPr>
                <w:rFonts w:ascii="Arial Narrow" w:eastAsia="Arial Narrow" w:hAnsi="Arial Narrow" w:cs="Arial Narrow"/>
                <w:noProof/>
                <w:kern w:val="0"/>
                <w:sz w:val="16"/>
                <w:szCs w:val="16"/>
                <w:lang w:val="lv"/>
                <w14:ligatures w14:val="none"/>
              </w:rPr>
              <w:lastRenderedPageBreak/>
              <w:t>execution of the project.</w:t>
            </w:r>
            <w:r w:rsidRPr="00BA1475">
              <w:rPr>
                <w:rFonts w:ascii="Arial Narrow" w:eastAsia="Calibri" w:hAnsi="Arial Narrow" w:cs="Calibri"/>
                <w:noProof/>
                <w:kern w:val="0"/>
                <w:sz w:val="16"/>
                <w:szCs w:val="16"/>
                <w:lang w:val="en-US"/>
                <w14:ligatures w14:val="none"/>
              </w:rPr>
              <w:t xml:space="preserve"> </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0EEB021C" w14:textId="77777777" w:rsidR="00BA1475" w:rsidRPr="00BA1475" w:rsidRDefault="00BA1475" w:rsidP="00BA1475">
            <w:pPr>
              <w:spacing w:after="0" w:line="240" w:lineRule="auto"/>
              <w:rPr>
                <w:rFonts w:ascii="Arial Narrow" w:eastAsia="MS Mincho" w:hAnsi="Arial Narrow" w:cs="Times New Roman"/>
                <w:noProof/>
                <w:kern w:val="0"/>
                <w:sz w:val="16"/>
                <w:szCs w:val="16"/>
                <w:lang w:val="en-GB"/>
                <w14:ligatures w14:val="none"/>
              </w:rPr>
            </w:pPr>
            <w:r w:rsidRPr="00BA1475">
              <w:rPr>
                <w:rFonts w:ascii="Arial Narrow" w:eastAsia="MS Mincho" w:hAnsi="Arial Narrow" w:cs="Times New Roman"/>
                <w:noProof/>
                <w:kern w:val="0"/>
                <w:sz w:val="16"/>
                <w:szCs w:val="16"/>
                <w:lang w:val="en-GB"/>
                <w14:ligatures w14:val="none"/>
              </w:rPr>
              <w:lastRenderedPageBreak/>
              <w:t>The indicator is deemed to have been fulfilled when a contract between the operator and the CFCA for obtaining a grant for the execution of the project</w:t>
            </w:r>
            <w:r w:rsidRPr="00BA1475">
              <w:rPr>
                <w:rFonts w:ascii="Arial Narrow" w:eastAsia="Times New Roman" w:hAnsi="Arial Narrow" w:cs="Times New Roman"/>
                <w:noProof/>
                <w:kern w:val="0"/>
                <w:sz w:val="16"/>
                <w:szCs w:val="16"/>
                <w:lang w:val="en-GB"/>
                <w14:ligatures w14:val="none"/>
              </w:rPr>
              <w:t xml:space="preserve"> (for the development of technological solutions, improving digital skills or business models in the media sector)</w:t>
            </w:r>
            <w:r w:rsidRPr="00BA1475">
              <w:rPr>
                <w:rFonts w:ascii="Arial Narrow" w:eastAsia="MS Mincho" w:hAnsi="Arial Narrow" w:cs="Times New Roman"/>
                <w:noProof/>
                <w:kern w:val="0"/>
                <w:sz w:val="16"/>
                <w:szCs w:val="16"/>
                <w:lang w:val="en-GB"/>
                <w14:ligatures w14:val="none"/>
              </w:rPr>
              <w:t xml:space="preserve"> has been concluded.</w:t>
            </w:r>
          </w:p>
        </w:tc>
      </w:tr>
      <w:tr w:rsidR="009C5ECA" w:rsidRPr="00BA1475" w14:paraId="46F3107A"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26EC58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56</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41EA199"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2.3.1.r. </w:t>
            </w:r>
          </w:p>
          <w:p w14:paraId="362A538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Development of a sustainable and socially responsible support framework for adult learning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0D45AC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3DAB8F9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Share of adults (25-64) involved in adult learning in the last four weeks prior to the survey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79B03A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78C78F6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AD5682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6,6 </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0809F5F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8</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012CDA7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30C6F99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2025</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5C625D0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r w:rsidRPr="00BA1475" w:rsidDel="00C96C8E">
              <w:rPr>
                <w:rFonts w:ascii="Arial Narrow" w:eastAsia="Calibri" w:hAnsi="Arial Narrow" w:cs="Calibri"/>
                <w:noProof/>
                <w:kern w:val="0"/>
                <w:sz w:val="16"/>
                <w:szCs w:val="16"/>
                <w:lang w:val="en-GB"/>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4974027" w14:textId="77777777" w:rsidR="00BA1475" w:rsidRPr="00BA1475" w:rsidRDefault="00BA1475" w:rsidP="00BA1475">
            <w:pPr>
              <w:spacing w:after="0" w:line="240" w:lineRule="auto"/>
              <w:rPr>
                <w:rFonts w:ascii="Arial Narrow" w:eastAsia="Calibri" w:hAnsi="Arial Narrow" w:cs="Times New Roman"/>
                <w:noProof/>
                <w:kern w:val="0"/>
                <w:sz w:val="16"/>
                <w:szCs w:val="16"/>
                <w:lang w:val="en-US"/>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7984E44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7A370010" w14:textId="77777777" w:rsidR="00BA1475" w:rsidRPr="00BA1475" w:rsidRDefault="00BA1475" w:rsidP="00BA1475">
            <w:pPr>
              <w:spacing w:after="0" w:line="240" w:lineRule="auto"/>
              <w:contextualSpacing/>
              <w:rPr>
                <w:rFonts w:ascii="Calibri" w:eastAsia="MS Mincho" w:hAnsi="Calibri" w:cs="Arial"/>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w:t>
            </w:r>
            <w:r w:rsidRPr="00BA1475">
              <w:rPr>
                <w:rFonts w:ascii="Arial Narrow" w:eastAsia="Calibri" w:hAnsi="Arial Narrow" w:cs="Calibri"/>
                <w:noProof/>
                <w:kern w:val="0"/>
                <w:sz w:val="16"/>
                <w:szCs w:val="16"/>
                <w:lang w:val="en-US"/>
                <w14:ligatures w14:val="none"/>
              </w:rPr>
              <w:t>Annual Labour Force Survey - assessment of the impact of the changes on the share of adults (25-64) involved in adult learning (carried out in the framework of the Eurostat LFS, https://ec.europa.eu/eurostat/web/microdata/european-union-labour-force-survey).</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2B0A588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target to be achieved within the framework of the plan is determined on the basis of the mid-term goal of Latvia’s medium-term policy planning document – Education Development Guidelines 2021-2027, which is planned to be approved by the Cabinet of Ministers by mid-2021 – to increase adult participation in learning from 6,6% (2020) to 12% (2027), which is to increase adult participation in learning to 8% by 2025.  The achievement of the target is directly linked to planned reform measures for the development of adult learning.  </w:t>
            </w:r>
          </w:p>
        </w:tc>
      </w:tr>
      <w:tr w:rsidR="009C5ECA" w:rsidRPr="00BA1475" w14:paraId="6F048E6D"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75CC059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57</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2EFE5F13"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2.3.1.r. </w:t>
            </w:r>
          </w:p>
          <w:p w14:paraId="6F9215D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Development of a sustainable and socially responsible support framework for adult learning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25C02C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EE3CFA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Enhanced support for training of employees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74A141E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Legal acts have entered into force</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696B3D9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227E7D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5FF5C5D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72B4E0A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01ACB3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3EF3F77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r w:rsidRPr="00BA1475" w:rsidDel="00C96C8E">
              <w:rPr>
                <w:rFonts w:ascii="Arial Narrow" w:eastAsia="Calibri" w:hAnsi="Arial Narrow" w:cs="Calibri"/>
                <w:noProof/>
                <w:kern w:val="0"/>
                <w:sz w:val="16"/>
                <w:szCs w:val="16"/>
                <w:lang w:val="en-GB"/>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06895C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3747949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relevant legislation and a link to its publication in the Official Journal, including a reference to the provision indicating the entry into force, accompanied by a summary document duly justifying how the milestone (including all the constitutive elements) was satisfactorily fulfilled, with appropriate links to the underlying evidence.</w:t>
            </w:r>
            <w:r w:rsidRPr="00BA1475" w:rsidDel="00C1139E">
              <w:rPr>
                <w:rFonts w:ascii="Arial Narrow" w:eastAsia="Calibri" w:hAnsi="Arial Narrow" w:cs="Calibri"/>
                <w:noProof/>
                <w:kern w:val="0"/>
                <w:sz w:val="16"/>
                <w:szCs w:val="16"/>
                <w:lang w:val="en-GB"/>
                <w14:ligatures w14:val="none"/>
              </w:rPr>
              <w:t xml:space="preserve"> </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501C4AC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Legal acts have entered into force that</w:t>
            </w:r>
          </w:p>
          <w:p w14:paraId="686CCF8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1) Introduce more favourable tax treatment in the Law on Personal Income Tax of tuition fees covered by employers for higher education of employees;  </w:t>
            </w:r>
          </w:p>
          <w:p w14:paraId="3161C90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 Amend the Labour Law to expand the right of employees to participate in training related to professional tasks; </w:t>
            </w:r>
          </w:p>
          <w:p w14:paraId="0F69F5B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 Adopt Cabinet of Ministers instructions to standardise the preparation of support measures for employers to train employees.</w:t>
            </w:r>
          </w:p>
        </w:tc>
      </w:tr>
      <w:tr w:rsidR="009C5ECA" w:rsidRPr="00BA1475" w14:paraId="43310022"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CD8CBB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57a</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440CA092" w14:textId="77777777" w:rsidR="00BA1475" w:rsidRPr="00BA1475" w:rsidRDefault="00BA1475" w:rsidP="00BA1475">
            <w:pPr>
              <w:spacing w:before="120" w:after="12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2.3.1.r. </w:t>
            </w:r>
          </w:p>
          <w:p w14:paraId="3378E080" w14:textId="77777777" w:rsidR="00BA1475" w:rsidRPr="00BA1475" w:rsidRDefault="00BA1475" w:rsidP="00BA1475">
            <w:pPr>
              <w:spacing w:before="120" w:after="12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Development of a sustainable and socially responsible support framework for adult learning</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F4951B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7AD08A5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the Action Plan “Human Capital Development Strategy”</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2D57C93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government has adopted the action plan</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BCEA02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0E24D2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64B6EDB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58C98A4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46CB6E2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2025</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54CF71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4B077B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30EE589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milestone (including all the constitutive elements) was satisfactorily fulfilled, with appropriate links to the underlying evidence. This document shall include as an annex a copy of the Action Plan, adopted by the Cabinet of Ministers.</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42C964E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the Action Plan “The Human Capital Development Strategy” by the Cabinet of Ministers.</w:t>
            </w:r>
          </w:p>
        </w:tc>
      </w:tr>
      <w:tr w:rsidR="009C5ECA" w:rsidRPr="00BA1475" w14:paraId="274ADA2F"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49DEE8C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58</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0793E3C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2.3.1.r. </w:t>
            </w:r>
          </w:p>
          <w:p w14:paraId="4F95C41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Development of a sustainable and socially responsible support framework </w:t>
            </w:r>
            <w:r w:rsidRPr="00BA1475">
              <w:rPr>
                <w:rFonts w:ascii="Arial Narrow" w:eastAsia="Calibri" w:hAnsi="Arial Narrow" w:cs="Times New Roman"/>
                <w:noProof/>
                <w:kern w:val="0"/>
                <w:sz w:val="16"/>
                <w:szCs w:val="16"/>
                <w:lang w:val="en-GB"/>
                <w14:ligatures w14:val="none"/>
              </w:rPr>
              <w:lastRenderedPageBreak/>
              <w:t xml:space="preserve">for adult learning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F91C50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563FBF3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Developing the concept of skills funds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66973A2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Regulations of the Cabinet of Ministers entered into </w:t>
            </w:r>
            <w:r w:rsidRPr="00BA1475">
              <w:rPr>
                <w:rFonts w:ascii="Arial Narrow" w:eastAsia="Calibri" w:hAnsi="Arial Narrow" w:cs="Times New Roman"/>
                <w:noProof/>
                <w:kern w:val="0"/>
                <w:sz w:val="16"/>
                <w:szCs w:val="16"/>
                <w:lang w:val="en-GB"/>
                <w14:ligatures w14:val="none"/>
              </w:rPr>
              <w:lastRenderedPageBreak/>
              <w:t>force</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529EEB9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5C00E1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23EA52B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6F740AB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1CB552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08EE18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46EFDD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310DF0D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Regulations of the Cabinet of Ministers and a link to the publication in the Official Journal, including a reference to the provision indicating the entry </w:t>
            </w:r>
            <w:r w:rsidRPr="00BA1475">
              <w:rPr>
                <w:rFonts w:ascii="Arial Narrow" w:eastAsia="Calibri" w:hAnsi="Arial Narrow" w:cs="Calibri"/>
                <w:noProof/>
                <w:kern w:val="0"/>
                <w:sz w:val="16"/>
                <w:szCs w:val="16"/>
                <w:lang w:val="en-GB"/>
                <w14:ligatures w14:val="none"/>
              </w:rPr>
              <w:lastRenderedPageBreak/>
              <w:t>into force, accompanied by a summary document duly justifying how the milestone was satisfactorily fulfilled, with appropriate links to the underlying evidence.</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7EDE0AA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 xml:space="preserve">Cabinet Regulations for the Implementation of Skills Funds have entered into force, defining the set-up of the skills funds and the rights and responsibilities of the involved </w:t>
            </w:r>
            <w:r w:rsidRPr="00BA1475">
              <w:rPr>
                <w:rFonts w:ascii="Arial Narrow" w:eastAsia="Calibri" w:hAnsi="Arial Narrow" w:cs="Times New Roman"/>
                <w:noProof/>
                <w:kern w:val="0"/>
                <w:sz w:val="16"/>
                <w:szCs w:val="16"/>
                <w:lang w:val="en-GB"/>
                <w14:ligatures w14:val="none"/>
              </w:rPr>
              <w:lastRenderedPageBreak/>
              <w:t>parties.</w:t>
            </w:r>
          </w:p>
        </w:tc>
      </w:tr>
      <w:tr w:rsidR="009C5ECA" w:rsidRPr="00BA1475" w14:paraId="547DE710"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7DA0F98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59</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23921361" w14:textId="77777777" w:rsidR="00BA1475" w:rsidRPr="00BA1475" w:rsidRDefault="00BA1475" w:rsidP="00BA1475">
            <w:pPr>
              <w:spacing w:before="120" w:after="12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2.3.1.r.</w:t>
            </w:r>
          </w:p>
          <w:p w14:paraId="35FE279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Development of a sustainable and socially responsible support framework for adult learning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2426E6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799334D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Piloting skills funds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1F6030C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Creation of Skills Funds</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483CB73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C4E4A5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4285F73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286ADBF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6866A4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DA7F8D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 and Central Finance and Contracting Agency</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001274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474D390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7891475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7869AF3C" w14:textId="77777777" w:rsidR="00BA1475" w:rsidRPr="00BA1475" w:rsidRDefault="00BA1475" w:rsidP="00BA1475">
            <w:pPr>
              <w:numPr>
                <w:ilvl w:val="0"/>
                <w:numId w:val="40"/>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report on the results of the pilot projects and indication of the next steps;</w:t>
            </w:r>
          </w:p>
          <w:p w14:paraId="097495A6" w14:textId="77777777" w:rsidR="00BA1475" w:rsidRPr="00BA1475" w:rsidRDefault="00BA1475" w:rsidP="00BA1475">
            <w:pPr>
              <w:numPr>
                <w:ilvl w:val="0"/>
                <w:numId w:val="40"/>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copies of contracts for implementation of the three pilot projects on Skills Funds; </w:t>
            </w:r>
          </w:p>
          <w:p w14:paraId="589DB6BA" w14:textId="77777777" w:rsidR="00BA1475" w:rsidRPr="00BA1475" w:rsidRDefault="00BA1475" w:rsidP="00BA1475">
            <w:pPr>
              <w:numPr>
                <w:ilvl w:val="0"/>
                <w:numId w:val="40"/>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US"/>
                <w14:ligatures w14:val="none"/>
              </w:rPr>
              <w:t>certificate of completion of three pilot projects.</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3577EAF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Three pilot projects on Skills Funds. The aim of the pilot project is to assess the feasibility of introducing such an approach in the context of Latvia, including by testing aspects such as (a) the proportionality and dynamic over time of public and private co-investment, (b) the cooperation model between enterprises and workers’ organisations in sectors  to develop a common vision of learning needs, including ‘future skills’ in the sector and related sectors, (c) an implementation plan for training in the sector, which shall include the training of new employees, retraining of those employed in other sectors and upskilling of existing workers.</w:t>
            </w:r>
          </w:p>
        </w:tc>
      </w:tr>
      <w:tr w:rsidR="009C5ECA" w:rsidRPr="00BA1475" w14:paraId="71857756"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7D1628C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60</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6273D92"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2.3.1.r. </w:t>
            </w:r>
          </w:p>
          <w:p w14:paraId="3A71FDC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Development of a sustainable and socially responsible support framework for adult learning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422293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4387B3B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Development of the Individual Learning Accounts (ILA) approach</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4805DD2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Regulations of the Cabinet of Ministers entered into force</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401F61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A4995E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7409CE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74A055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DBB62E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8CED7C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2395B5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6D71F53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relevant legislation and a link to the publication in the Official Journal, including a reference to the provision indicating the entry into force, accompanied by a summary document duly justifying how the milestone was satisfactorily fulfilled, with appropriate links to the underlying evidence.</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47D92C4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Regulations specifying the approach for the development of the individual learning account including: (a) the establishment of eligibility criteria, (b) the establishment of criteria for the selection of educational providers.</w:t>
            </w:r>
          </w:p>
        </w:tc>
      </w:tr>
      <w:tr w:rsidR="009C5ECA" w:rsidRPr="00BA1475" w14:paraId="2F00E0A0"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284017A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61</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3DD738DB"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2.3.1.r. </w:t>
            </w:r>
          </w:p>
          <w:p w14:paraId="04ACFA5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Development of a sustainable and socially responsible support framework for adult learning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B0C615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500793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Piloting the individual learning account approach</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1E36140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BAC535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D0562C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12AA6A8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2EC5331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E455A0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259BE7F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91E6FE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4FB8D3B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009E7CD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5B289694" w14:textId="77777777" w:rsidR="00BA1475" w:rsidRPr="00BA1475" w:rsidRDefault="00BA1475" w:rsidP="00BA1475">
            <w:pPr>
              <w:numPr>
                <w:ilvl w:val="0"/>
                <w:numId w:val="43"/>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report on the </w:t>
            </w:r>
            <w:r w:rsidRPr="00BA1475">
              <w:rPr>
                <w:rFonts w:ascii="Arial Narrow" w:eastAsia="Calibri" w:hAnsi="Arial Narrow" w:cs="Calibri"/>
                <w:noProof/>
                <w:kern w:val="0"/>
                <w:sz w:val="16"/>
                <w:szCs w:val="16"/>
                <w:lang w:val="en-US"/>
                <w14:ligatures w14:val="none"/>
              </w:rPr>
              <w:lastRenderedPageBreak/>
              <w:t xml:space="preserve">results of the pilot project, including the number of persons with individual learning accounts, and indication of the next steps </w:t>
            </w:r>
          </w:p>
          <w:p w14:paraId="3F258E5F" w14:textId="77777777" w:rsidR="00BA1475" w:rsidRPr="00BA1475" w:rsidRDefault="00BA1475" w:rsidP="00BA1475">
            <w:pPr>
              <w:numPr>
                <w:ilvl w:val="0"/>
                <w:numId w:val="43"/>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copy of contract for the implementation of the project;</w:t>
            </w:r>
          </w:p>
          <w:p w14:paraId="1ED3B951" w14:textId="77777777" w:rsidR="00BA1475" w:rsidRPr="00BA1475" w:rsidRDefault="00BA1475" w:rsidP="00BA1475">
            <w:pPr>
              <w:numPr>
                <w:ilvl w:val="0"/>
                <w:numId w:val="43"/>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certificate of completion of the pilot project.</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3B7913F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 xml:space="preserve">One pilot project has been completed to assess the establishment of the individual learning account solution most appropriate to the situation of Latvia. The pilot project is expected to involve 3500 persons who are in the process of setting up the individual learning accounts and administering these individual learning accounts and storing data on </w:t>
            </w:r>
            <w:r w:rsidRPr="00BA1475">
              <w:rPr>
                <w:rFonts w:ascii="Arial Narrow" w:eastAsia="Calibri" w:hAnsi="Arial Narrow" w:cs="Times New Roman"/>
                <w:noProof/>
                <w:kern w:val="0"/>
                <w:sz w:val="16"/>
                <w:szCs w:val="16"/>
                <w:lang w:val="en-GB"/>
                <w14:ligatures w14:val="none"/>
              </w:rPr>
              <w:lastRenderedPageBreak/>
              <w:t>participation and output creators during the project.</w:t>
            </w:r>
          </w:p>
        </w:tc>
      </w:tr>
      <w:tr w:rsidR="009C5ECA" w:rsidRPr="00BA1475" w14:paraId="3EB73514"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4FB61C7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62</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186DC503"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2.3.1.1.i. </w:t>
            </w:r>
          </w:p>
          <w:p w14:paraId="462BD324"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Delivering high-level digital skills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A4FD7C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0414F27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professionals (business, academic and public sector) and students with advanced digital skills in quantum technologies, HPC and language technologies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32A7640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5AB61AD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7318FD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6366FE3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3 000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01348F0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85EE43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4B65FD6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bookmarkStart w:id="7" w:name="_Hlk89430409"/>
            <w:r w:rsidRPr="00BA1475">
              <w:rPr>
                <w:rFonts w:ascii="Arial Narrow" w:eastAsia="Calibri" w:hAnsi="Arial Narrow" w:cs="Calibri"/>
                <w:noProof/>
                <w:kern w:val="0"/>
                <w:sz w:val="16"/>
                <w:szCs w:val="16"/>
                <w:lang w:val="en-GB"/>
                <w14:ligatures w14:val="none"/>
              </w:rPr>
              <w:t>Ministry of Education and Science</w:t>
            </w:r>
            <w:bookmarkEnd w:id="7"/>
            <w:r w:rsidRPr="00BA1475">
              <w:rPr>
                <w:rFonts w:ascii="Arial Narrow" w:eastAsia="Calibri" w:hAnsi="Arial Narrow" w:cs="Calibri"/>
                <w:noProof/>
                <w:kern w:val="0"/>
                <w:sz w:val="16"/>
                <w:szCs w:val="16"/>
                <w:lang w:val="en-GB"/>
                <w14:ligatures w14:val="none"/>
              </w:rPr>
              <w:t>, institutions involved in the project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2B8360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FFDBF4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149FCFA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51ECF5E1" w14:textId="77777777" w:rsidR="00BA1475" w:rsidRPr="00BA1475" w:rsidRDefault="00BA1475" w:rsidP="00BA1475">
            <w:pPr>
              <w:numPr>
                <w:ilvl w:val="0"/>
                <w:numId w:val="37"/>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short description of each of the 20 study models;</w:t>
            </w:r>
          </w:p>
          <w:p w14:paraId="0AA1A0E4" w14:textId="77777777" w:rsidR="00BA1475" w:rsidRPr="00BA1475" w:rsidRDefault="00BA1475" w:rsidP="00BA1475">
            <w:pPr>
              <w:numPr>
                <w:ilvl w:val="0"/>
                <w:numId w:val="37"/>
              </w:numPr>
              <w:spacing w:after="0" w:line="240" w:lineRule="auto"/>
              <w:contextualSpacing/>
              <w:rPr>
                <w:rFonts w:ascii="Arial Narrow" w:eastAsia="Calibri" w:hAnsi="Arial Narrow" w:cs="Arial"/>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list of certificates issued and reports from the HEI study information system for completing training modules.</w:t>
            </w:r>
          </w:p>
          <w:p w14:paraId="75A610BC" w14:textId="77777777" w:rsidR="00BA1475" w:rsidRPr="00BA1475" w:rsidRDefault="00BA1475" w:rsidP="00BA1475">
            <w:pPr>
              <w:spacing w:after="0" w:line="240" w:lineRule="auto"/>
              <w:ind w:left="720"/>
              <w:contextualSpacing/>
              <w:rPr>
                <w:rFonts w:ascii="Arial Narrow" w:eastAsia="MS Mincho" w:hAnsi="Arial Narrow" w:cs="Arial"/>
                <w:noProof/>
                <w:kern w:val="0"/>
                <w:sz w:val="16"/>
                <w:szCs w:val="16"/>
                <w:lang w:val="en-US"/>
                <w14:ligatures w14:val="none"/>
              </w:rPr>
            </w:pP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7EDCE83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business specialists, academic and research professionals as well as public sector professionals, higher education students and other stakeholders who have received support for attending advanced digital skills training modules in quantum technologies, HPC and language technologies.</w:t>
            </w:r>
          </w:p>
          <w:p w14:paraId="7BC48F3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It is planned that approximately 20 study modules shall  be developed  for inclusion in bachelor’s, master’s, doctoral programmes in all thematic groups of education, as well as adult education programmes for professionals employed in enterprises and other stakeholders with an appropriate knowledge base. The content of the study modules shall consist of the knowledge accumulated so far in the fields of HPC, quantum technologies and language technologies, as well as the results of research carried out under the RRF.</w:t>
            </w:r>
          </w:p>
        </w:tc>
      </w:tr>
      <w:tr w:rsidR="009C5ECA" w:rsidRPr="00BA1475" w14:paraId="3684EA67"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57C231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63</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65B3FF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2.3.1.2.i. Development of key digital skills of enterprises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5B19DF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0A056E7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trainings on basic digital skills provided to enterprises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0D6B700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6DB550C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FE8976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7905B57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628</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6B0F8F0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4EEE5EC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29B7A9E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sectoral associations, clusters, European Digital Innovation Centre, Central Finance and Contracting Agency</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5FEBF9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1907E8A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5F762E3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reports signed by the project implementers that include lists of the enterprises to </w:t>
            </w:r>
            <w:r w:rsidRPr="00BA1475">
              <w:rPr>
                <w:rFonts w:ascii="Arial Narrow" w:eastAsia="Calibri" w:hAnsi="Arial Narrow" w:cs="Calibri"/>
                <w:noProof/>
                <w:kern w:val="0"/>
                <w:sz w:val="16"/>
                <w:szCs w:val="16"/>
                <w:lang w:val="en-GB"/>
                <w14:ligatures w14:val="none"/>
              </w:rPr>
              <w:lastRenderedPageBreak/>
              <w:t>which the acquisition of basic digital skills has been ensured with topics of the trainings specified.</w:t>
            </w:r>
          </w:p>
          <w:p w14:paraId="53D8712A" w14:textId="77777777" w:rsidR="00BA1475" w:rsidRPr="00BA1475" w:rsidRDefault="00BA1475" w:rsidP="00BA1475">
            <w:pPr>
              <w:spacing w:after="0" w:line="240" w:lineRule="auto"/>
              <w:contextualSpacing/>
              <w:rPr>
                <w:rFonts w:ascii="Arial Narrow" w:eastAsia="Calibri" w:hAnsi="Arial Narrow" w:cs="Arial"/>
                <w:noProof/>
                <w:kern w:val="0"/>
                <w:sz w:val="16"/>
                <w14:ligatures w14:val="none"/>
              </w:rPr>
            </w:pPr>
            <w:r w:rsidRPr="00BA1475">
              <w:rPr>
                <w:rFonts w:ascii="Arial Narrow" w:eastAsia="Calibri" w:hAnsi="Arial Narrow" w:cs="Calibri"/>
                <w:noProof/>
                <w:kern w:val="0"/>
                <w:sz w:val="16"/>
                <w:szCs w:val="16"/>
                <w:lang w:val="en-GB"/>
                <w14:ligatures w14:val="none"/>
              </w:rPr>
              <w:t xml:space="preserve">The reports shall also include the selection criteria used to ensure </w:t>
            </w:r>
            <w:r w:rsidRPr="00BA1475">
              <w:rPr>
                <w:rFonts w:ascii="Arial Narrow" w:eastAsia="Calibri" w:hAnsi="Arial Narrow" w:cs="Calibri"/>
                <w:noProof/>
                <w:kern w:val="0"/>
                <w:sz w:val="16"/>
                <w:szCs w:val="16"/>
                <w14:ligatures w14:val="none"/>
              </w:rPr>
              <w:t>compliance with the ‘Do no significant harm’ Technical Guidance (2021/C58/01), as specified in the CID Annex.</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317A290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lastRenderedPageBreak/>
              <w:t xml:space="preserve">Number of trainings on basic digital skills provided to enterprises. </w:t>
            </w:r>
          </w:p>
        </w:tc>
      </w:tr>
      <w:tr w:rsidR="009C5ECA" w:rsidRPr="00BA1475" w14:paraId="47176A63"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24214AB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64</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2C3CD58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2.3.1.2.i. Development of key digital skills of enterprises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4D9787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15EF127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trainings on basic digital skills provided to enterprises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0FA46A0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318344C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3F1C09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628</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3C76FD5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2 080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BE2805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B62AC9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13835FD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sectoral associations, clusters, European Digital Innovation Centre, Central Finance and Contracting Agency</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20180D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7EB7C27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(including all the constitutive elements) was satisfactorily fulfilled, with appropriate links to the underlying evidence. </w:t>
            </w:r>
          </w:p>
          <w:p w14:paraId="6AAC48B0" w14:textId="77777777" w:rsidR="00BA1475" w:rsidRPr="00BA1475" w:rsidRDefault="00BA1475" w:rsidP="00BA1475">
            <w:pPr>
              <w:spacing w:after="0" w:line="240" w:lineRule="auto"/>
              <w:rPr>
                <w:rFonts w:ascii="Arial Narrow" w:eastAsia="Calibri" w:hAnsi="Arial Narrow" w:cs="Times New Roman"/>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w:t>
            </w:r>
            <w:r w:rsidRPr="00BA1475">
              <w:rPr>
                <w:rFonts w:ascii="Arial Narrow" w:eastAsia="Arial Narrow" w:hAnsi="Arial Narrow" w:cs="Arial Narrow"/>
                <w:noProof/>
                <w:kern w:val="0"/>
                <w:sz w:val="16"/>
                <w:szCs w:val="16"/>
                <w:lang w:val="lv"/>
                <w14:ligatures w14:val="none"/>
              </w:rPr>
              <w:t xml:space="preserve">reports signed by the project implementers that include </w:t>
            </w:r>
            <w:r w:rsidRPr="00BA1475">
              <w:rPr>
                <w:rFonts w:ascii="Arial Narrow" w:eastAsia="Calibri" w:hAnsi="Arial Narrow" w:cs="Calibri"/>
                <w:noProof/>
                <w:kern w:val="0"/>
                <w:sz w:val="16"/>
                <w:szCs w:val="16"/>
                <w:lang w:val="en-US"/>
                <w14:ligatures w14:val="none"/>
              </w:rPr>
              <w:t xml:space="preserve">lists of the </w:t>
            </w:r>
            <w:r w:rsidRPr="00BA1475">
              <w:rPr>
                <w:rFonts w:ascii="Arial Narrow" w:eastAsia="Calibri" w:hAnsi="Arial Narrow" w:cs="Times New Roman"/>
                <w:noProof/>
                <w:kern w:val="0"/>
                <w:sz w:val="16"/>
                <w:szCs w:val="16"/>
                <w:lang w:val="en-US"/>
                <w14:ligatures w14:val="none"/>
              </w:rPr>
              <w:t>enterprises to which the acquisition of basic digital skills has been ensured with topics of the trainings specified.</w:t>
            </w:r>
          </w:p>
          <w:p w14:paraId="6E6D72B5" w14:textId="77777777" w:rsidR="00BA1475" w:rsidRPr="00BA1475" w:rsidRDefault="00BA1475" w:rsidP="00BA1475">
            <w:pPr>
              <w:spacing w:after="0" w:line="276" w:lineRule="auto"/>
              <w:rPr>
                <w:rFonts w:ascii="Arial Narrow" w:eastAsia="Calibri" w:hAnsi="Arial Narrow" w:cs="Arial"/>
                <w:noProof/>
                <w:kern w:val="0"/>
                <w:sz w:val="16"/>
                <w14:ligatures w14:val="none"/>
              </w:rPr>
            </w:pPr>
            <w:r w:rsidRPr="00BA1475">
              <w:rPr>
                <w:rFonts w:ascii="Arial Narrow" w:eastAsia="Calibri" w:hAnsi="Arial Narrow" w:cs="Calibri"/>
                <w:noProof/>
                <w:kern w:val="0"/>
                <w:sz w:val="16"/>
                <w:szCs w:val="16"/>
                <w:lang w:val="en-GB"/>
                <w14:ligatures w14:val="none"/>
              </w:rPr>
              <w:t xml:space="preserve">The reports shall also include the selection criteria used to ensure </w:t>
            </w:r>
            <w:r w:rsidRPr="00BA1475">
              <w:rPr>
                <w:rFonts w:ascii="Arial Narrow" w:eastAsia="Calibri" w:hAnsi="Arial Narrow" w:cs="Calibri"/>
                <w:noProof/>
                <w:kern w:val="0"/>
                <w:sz w:val="16"/>
                <w:szCs w:val="16"/>
                <w14:ligatures w14:val="none"/>
              </w:rPr>
              <w:t>compliance with the ‘Do no significant harm’ Technical Guidance (2021/C58/01), as specified in the CID Annex.</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77D683BC"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trainings on basic digital skills provided to enterprises.</w:t>
            </w:r>
          </w:p>
          <w:p w14:paraId="7B88B86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r>
      <w:tr w:rsidR="009C5ECA" w:rsidRPr="00BA1475" w14:paraId="5B880AEA"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6859348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65</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413FF8D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2.3.1.3.i. Development of a self-managed learning approach for ICT specialists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4E3AA1A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3A596BE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ICT specialists trained in a non-formal learning approach</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138E232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4EE7C15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2BF14AE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62D4268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1 000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7FD737B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E80B75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2B07C6B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bookmarkStart w:id="8" w:name="_Hlk89434232"/>
            <w:r w:rsidRPr="00BA1475">
              <w:rPr>
                <w:rFonts w:ascii="Arial Narrow" w:eastAsia="Calibri" w:hAnsi="Arial Narrow" w:cs="Calibri"/>
                <w:noProof/>
                <w:kern w:val="0"/>
                <w:sz w:val="16"/>
                <w:szCs w:val="16"/>
                <w:lang w:val="en-GB"/>
                <w14:ligatures w14:val="none"/>
              </w:rPr>
              <w:t xml:space="preserve">Ministry of Education and Science </w:t>
            </w:r>
            <w:bookmarkEnd w:id="8"/>
            <w:r w:rsidRPr="00BA1475">
              <w:rPr>
                <w:rFonts w:ascii="Arial Narrow" w:eastAsia="Calibri" w:hAnsi="Arial Narrow" w:cs="Calibri"/>
                <w:noProof/>
                <w:kern w:val="0"/>
                <w:sz w:val="16"/>
                <w:szCs w:val="16"/>
                <w:lang w:val="en-GB"/>
                <w14:ligatures w14:val="none"/>
              </w:rPr>
              <w:t>and institutions involved in the project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45E9F5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1D14809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3694DC9F" w14:textId="77777777" w:rsidR="00BA1475" w:rsidRPr="00BA1475" w:rsidRDefault="00BA1475" w:rsidP="00BA1475">
            <w:pPr>
              <w:spacing w:after="0" w:line="240" w:lineRule="auto"/>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This document shall include as an annex the l</w:t>
            </w:r>
            <w:r w:rsidRPr="00BA1475">
              <w:rPr>
                <w:rFonts w:ascii="Arial Narrow" w:eastAsia="Calibri" w:hAnsi="Arial Narrow" w:cs="Calibri"/>
                <w:noProof/>
                <w:kern w:val="0"/>
                <w:sz w:val="16"/>
                <w:szCs w:val="16"/>
                <w:lang w:val="en-US"/>
                <w14:ligatures w14:val="none"/>
              </w:rPr>
              <w:t>ist of certificates issued for completing of the training.</w:t>
            </w:r>
          </w:p>
          <w:p w14:paraId="07E07E1B" w14:textId="77777777" w:rsidR="00BA1475" w:rsidRPr="00BA1475" w:rsidRDefault="00BA1475" w:rsidP="00BA1475">
            <w:pPr>
              <w:spacing w:after="0" w:line="240" w:lineRule="auto"/>
              <w:rPr>
                <w:rFonts w:ascii="Arial Narrow" w:eastAsia="Calibri" w:hAnsi="Arial Narrow" w:cs="Calibri"/>
                <w:noProof/>
                <w:kern w:val="0"/>
                <w:sz w:val="16"/>
                <w:szCs w:val="16"/>
                <w:lang w:val="en-US"/>
                <w14:ligatures w14:val="none"/>
              </w:rPr>
            </w:pP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4A528A1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Professionals involved in self-managed ICT training that have completed at least one learning stage.</w:t>
            </w:r>
          </w:p>
        </w:tc>
      </w:tr>
      <w:tr w:rsidR="009C5ECA" w:rsidRPr="00BA1475" w14:paraId="5E20917C"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0D17913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66</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C29EB0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2.3.1.4.i. Development of the approach to individual learning accounts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4F2955E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7FD1AF9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Adults supported to acquire digital skills through individual learning account resources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2A4A664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0341DE8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103824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4EA949A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1 000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4F7AE86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393195E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3E4F748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936948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DEC899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4667F09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w:t>
            </w:r>
            <w:r w:rsidRPr="00BA1475">
              <w:rPr>
                <w:rFonts w:ascii="Arial Narrow" w:eastAsia="Calibri" w:hAnsi="Arial Narrow" w:cs="Calibri"/>
                <w:noProof/>
                <w:kern w:val="0"/>
                <w:sz w:val="16"/>
                <w:szCs w:val="16"/>
                <w:lang w:val="en-US"/>
                <w14:ligatures w14:val="none"/>
              </w:rPr>
              <w:t>list of certificates issued for completing the training.</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1C86100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Adults supported to acquire digital skills through individual learning account resources</w:t>
            </w:r>
          </w:p>
        </w:tc>
      </w:tr>
      <w:tr w:rsidR="009C5ECA" w:rsidRPr="00BA1475" w14:paraId="7EABA333"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227A38C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67</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45E2333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2.3.1.4.i. Development of the approach to individual learning accounts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1D3B2E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01830D4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Adults supported to acquire digital skills through individual learning account resources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1BA224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365D5C0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6A0F88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1000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586B7C8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3 500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2E95424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F1D561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137CB38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2012A7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71C64BC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(including all the constitutive elements) was satisfactorily fulfilled, with appropriate links to the underlying evidence. This document shall include as an annex the </w:t>
            </w:r>
            <w:r w:rsidRPr="00BA1475">
              <w:rPr>
                <w:rFonts w:ascii="Arial Narrow" w:eastAsia="Calibri" w:hAnsi="Arial Narrow" w:cs="Calibri"/>
                <w:noProof/>
                <w:kern w:val="0"/>
                <w:sz w:val="16"/>
                <w:szCs w:val="16"/>
                <w:lang w:val="en-US"/>
                <w14:ligatures w14:val="none"/>
              </w:rPr>
              <w:t>list of certificates issued for completing the training.</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5F55EE8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Adults supported to acquire digital skills through individual learning account resources</w:t>
            </w:r>
          </w:p>
        </w:tc>
      </w:tr>
      <w:tr w:rsidR="009C5ECA" w:rsidRPr="00BA1475" w14:paraId="68DB4FCC"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9A0E1A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68</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4BFD7C8A"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2.3.2.r. </w:t>
            </w:r>
          </w:p>
          <w:p w14:paraId="569F8EC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Digital skills for the digital transformation of society and government</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4236320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342B05E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Upskilling digital skills 16-74: citizens with at least basic digital skills.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718F097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76B3F8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870C62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43 (2020)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696DC0A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54</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2845FE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1B609C6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645BFF3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859DF5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At the time of the payment request covering this target, the latest available DESI index shall show the targeted improvement.</w:t>
            </w: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6ADA76C1" w14:textId="77777777" w:rsidR="00BA1475" w:rsidRPr="00BA1475" w:rsidRDefault="00BA1475" w:rsidP="00BA1475">
            <w:pPr>
              <w:spacing w:after="0" w:line="240" w:lineRule="auto"/>
              <w:rPr>
                <w:rFonts w:ascii="Arial Narrow" w:eastAsia="Calibri" w:hAnsi="Arial Narrow" w:cs="Calibri"/>
                <w:noProof/>
                <w:kern w:val="0"/>
                <w:sz w:val="16"/>
                <w:szCs w:val="16"/>
                <w:u w:val="single"/>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5A0ABC0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Share of Latvian inhabitants with at least basic digital skills. The achievement of the target is directly linked to the planned reform measures, which include both strengthening the structure of digital skills levels, allowing them to be assessed on the basis of a common approach and the design of appropriate training measures to improve them, as well as to assess the results achieved by these training activities and their relevance to the objectives set.</w:t>
            </w:r>
          </w:p>
        </w:tc>
      </w:tr>
      <w:tr w:rsidR="009C5ECA" w:rsidRPr="00BA1475" w14:paraId="792851D0"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4091325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69</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1D45A075"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2.3.2.r </w:t>
            </w:r>
          </w:p>
          <w:p w14:paraId="1329625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Digital skills for the digital transformation of society and government</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5AED2D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0EDC3C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normative framework strengthens and implements a common framework for assessment of basic digital skills, identification and planning of training needs and assessment</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320FC0B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Regulatory framework entered into force</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161E5F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43C0A76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50E3C0E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4C6B987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6C4B21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52F12AA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8FDD35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CA04F99" w14:textId="77777777" w:rsidR="00BA1475" w:rsidRPr="00BA1475" w:rsidRDefault="00BA1475" w:rsidP="00BA1475">
            <w:pPr>
              <w:spacing w:after="0" w:line="240" w:lineRule="auto"/>
              <w:rPr>
                <w:rFonts w:ascii="Arial Narrow" w:eastAsia="Calibri" w:hAnsi="Arial Narrow" w:cs="Calibri"/>
                <w:noProof/>
                <w:kern w:val="0"/>
                <w:sz w:val="16"/>
                <w:szCs w:val="16"/>
                <w14:ligatures w14:val="none"/>
              </w:rPr>
            </w:pPr>
            <w:r w:rsidRPr="00BA1475">
              <w:rPr>
                <w:rFonts w:ascii="Arial Narrow" w:eastAsia="Calibri" w:hAnsi="Arial Narrow" w:cs="Calibri"/>
                <w:noProof/>
                <w:kern w:val="0"/>
                <w:sz w:val="16"/>
                <w:szCs w:val="16"/>
                <w:lang w:val="en-GB"/>
                <w14:ligatures w14:val="none"/>
              </w:rPr>
              <w:t>A copy of the relevant legislation and a link to the publication in the Official Journal, including a reference to the provision indicating the entry into force, accompanied by a summary document duly justifying how the milestone was satisfactorily fulfilled, with appropriate links to the underlying evidence.</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7D1A688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Legislative acts establishing a common framework for the assessment of basic digital skills, the identification and planning of training needs and the assessment based on DigiComp 2.1 have entered into force. </w:t>
            </w:r>
          </w:p>
        </w:tc>
      </w:tr>
      <w:tr w:rsidR="009C5ECA" w:rsidRPr="00BA1475" w14:paraId="4144A638"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AD78BE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70</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A1DFF31"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2.3.2.r </w:t>
            </w:r>
          </w:p>
          <w:p w14:paraId="4BD3ED7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Digital skills for the digital transformation of society and government</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C48DE7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328A7F7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Amendments have entered into force to normative acts on national higher education standards, envisaging achievement of digital competence study results at the corresponding levels of the Latvian Qualification Framework.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064835E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Amended regulatory framework entered into force</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B495B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850C2D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7D507F6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1433D06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2CEFEB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7A0EC9F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467AD0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3865AF5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relevant legislation and a link to the publication in the Official Journal, including a reference to the provision indicating the entry into force, accompanied by a summary document duly justifying how the milestone was satisfactorily fulfilled, with appropriate links to the underlying evidence.</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3004BFF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Amendments to national higher education standards (State Standard for Higher Academic Education and National Standard for Higher Vocational Education) have entered into force. They shall establish the results to be achieved in the acquisition of digital competences and ensure their application in the development, licensing and accreditation of higher education programmes, providing that study programmes that are drawn up, licensed and accredited after the entry into force of the regulatory framework include such achievable study results and appropriate courses or modules to achieve them.</w:t>
            </w:r>
          </w:p>
        </w:tc>
      </w:tr>
      <w:tr w:rsidR="009C5ECA" w:rsidRPr="00BA1475" w14:paraId="13BD014E"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01A97D20"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71</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E31F2BD"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 xml:space="preserve">2.3.2.1.i </w:t>
            </w:r>
          </w:p>
          <w:p w14:paraId="3D3A2CC1"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Digital skills for people, including youth</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BD3C339"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05F55D1E"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Number of people having participated in a training</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310201AB"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3506D8AF"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2B38A10"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1CC47583"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15 000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7DCD312"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D9A2106"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2024</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CF1A199"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 xml:space="preserve">Ministry of Smart Administration and Regional Development /Municipalities/training providers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CD129D3"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6F3E42D0"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42962A7C"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This document shall include as an annex the following documentary evidence:</w:t>
            </w:r>
          </w:p>
          <w:p w14:paraId="15E8B9E1" w14:textId="77777777" w:rsidR="00BA1475" w:rsidRPr="00BA1475" w:rsidRDefault="00BA1475" w:rsidP="00BA1475">
            <w:pPr>
              <w:spacing w:after="200" w:line="276" w:lineRule="auto"/>
              <w:rPr>
                <w:rFonts w:ascii="Arial Narrow" w:eastAsia="Calibri" w:hAnsi="Arial Narrow" w:cs="Calibri"/>
                <w:noProof/>
                <w:kern w:val="0"/>
                <w:sz w:val="16"/>
                <w:szCs w:val="16"/>
                <w:lang w:val="en-US"/>
                <w14:ligatures w14:val="none"/>
              </w:rPr>
            </w:pPr>
            <w:r w:rsidRPr="00BA1475">
              <w:rPr>
                <w:rFonts w:ascii="Calibri" w:eastAsia="MS Mincho" w:hAnsi="Calibri" w:cs="Arial"/>
                <w:noProof/>
                <w:kern w:val="0"/>
                <w:sz w:val="16"/>
                <w:szCs w:val="16"/>
                <w:lang w:val="en-US"/>
                <w14:ligatures w14:val="none"/>
              </w:rPr>
              <w:t>report on the implementation and results of the organised activities and courses,</w:t>
            </w:r>
          </w:p>
          <w:p w14:paraId="1C2FB69F" w14:textId="77777777" w:rsidR="00BA1475" w:rsidRPr="00BA1475" w:rsidRDefault="00BA1475" w:rsidP="00BA1475">
            <w:pPr>
              <w:spacing w:after="200" w:line="276" w:lineRule="auto"/>
              <w:rPr>
                <w:rFonts w:ascii="Arial Narrow" w:eastAsia="Calibri" w:hAnsi="Arial Narrow" w:cs="Calibri"/>
                <w:noProof/>
                <w:kern w:val="0"/>
                <w:sz w:val="16"/>
                <w:szCs w:val="16"/>
                <w:lang w:val="en-US"/>
                <w14:ligatures w14:val="none"/>
              </w:rPr>
            </w:pPr>
            <w:r w:rsidRPr="00BA1475">
              <w:rPr>
                <w:rFonts w:ascii="Calibri" w:eastAsia="MS Mincho" w:hAnsi="Calibri" w:cs="Arial"/>
                <w:noProof/>
                <w:kern w:val="0"/>
                <w:sz w:val="16"/>
                <w:szCs w:val="16"/>
                <w:lang w:val="en-US"/>
                <w14:ligatures w14:val="none"/>
              </w:rPr>
              <w:t>anonymised list of individuals with unique identifiers who participated in digital self-service skills trainings</w:t>
            </w:r>
            <w:r w:rsidRPr="00BA1475">
              <w:rPr>
                <w:rFonts w:ascii="Calibri" w:eastAsia="MS Mincho" w:hAnsi="Calibri" w:cs="Arial"/>
                <w:strike/>
                <w:noProof/>
                <w:kern w:val="0"/>
                <w:sz w:val="16"/>
                <w:szCs w:val="16"/>
                <w:lang w:val="en-US"/>
                <w14:ligatures w14:val="none"/>
              </w:rPr>
              <w:t xml:space="preserve"> and technological innovation activities in digital youth work, </w:t>
            </w:r>
          </w:p>
          <w:p w14:paraId="6D7DA8FB" w14:textId="77777777" w:rsidR="00BA1475" w:rsidRPr="00BA1475" w:rsidRDefault="00BA1475" w:rsidP="00BA1475">
            <w:pPr>
              <w:spacing w:after="200" w:line="276" w:lineRule="auto"/>
              <w:rPr>
                <w:rFonts w:ascii="Arial Narrow" w:eastAsia="Calibri" w:hAnsi="Arial Narrow" w:cs="Calibri"/>
                <w:noProof/>
                <w:kern w:val="0"/>
                <w:sz w:val="16"/>
                <w:szCs w:val="16"/>
                <w:lang w:val="en-US"/>
                <w14:ligatures w14:val="none"/>
              </w:rPr>
            </w:pP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08C8A05F"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Calibri" w:eastAsia="MS Mincho" w:hAnsi="Calibri" w:cs="Arial"/>
                <w:noProof/>
                <w:kern w:val="0"/>
                <w:sz w:val="16"/>
                <w:szCs w:val="16"/>
                <w:lang w:val="en-GB"/>
                <w14:ligatures w14:val="none"/>
              </w:rPr>
              <w:t xml:space="preserve">Number of people having participated in a training to improve digital self-service skills. </w:t>
            </w:r>
          </w:p>
        </w:tc>
      </w:tr>
      <w:tr w:rsidR="009C5ECA" w:rsidRPr="00BA1475" w14:paraId="387E0198"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54E7C7E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72</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AEDD0F2"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2.3.2.1.i </w:t>
            </w:r>
          </w:p>
          <w:p w14:paraId="7075CBCC" w14:textId="77777777" w:rsidR="00BA1475" w:rsidRPr="00BA1475" w:rsidRDefault="00BA1475" w:rsidP="00BA1475">
            <w:pPr>
              <w:spacing w:after="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Digital skills for people, including youth</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21842E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7CC54A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people having participated in training or in technoclogical innovation activites in digital youth work</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64D7E99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4A2A74F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9D7144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15 000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2B30F59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50 000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104AF5A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6BFDAC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29397BA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Smart Administration and Regional Development /Municipalities/training providers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D48C02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B0185B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5474AC7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1B09B816" w14:textId="77777777" w:rsidR="00BA1475" w:rsidRPr="00BA1475" w:rsidRDefault="00BA1475" w:rsidP="00BA1475">
            <w:pPr>
              <w:numPr>
                <w:ilvl w:val="0"/>
                <w:numId w:val="36"/>
              </w:numPr>
              <w:spacing w:after="0" w:line="240" w:lineRule="auto"/>
              <w:contextualSpacing/>
              <w:rPr>
                <w:rFonts w:ascii="Calibri" w:eastAsia="MS Mincho" w:hAnsi="Calibri" w:cs="Arial"/>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copy of the e-learning course description; </w:t>
            </w:r>
          </w:p>
          <w:p w14:paraId="5EE7EFD1" w14:textId="77777777" w:rsidR="00BA1475" w:rsidRPr="00BA1475" w:rsidRDefault="00BA1475" w:rsidP="00BA1475">
            <w:pPr>
              <w:numPr>
                <w:ilvl w:val="0"/>
                <w:numId w:val="36"/>
              </w:numPr>
              <w:spacing w:after="0" w:line="240" w:lineRule="auto"/>
              <w:contextualSpacing/>
              <w:rPr>
                <w:rFonts w:ascii="Calibri" w:eastAsia="Calibri" w:hAnsi="Calibri" w:cs="Arial"/>
                <w:noProof/>
                <w:kern w:val="0"/>
                <w:sz w:val="16"/>
                <w:szCs w:val="16"/>
                <w:lang w:val="en-US"/>
                <w14:ligatures w14:val="none"/>
              </w:rPr>
            </w:pPr>
            <w:r w:rsidRPr="00BA1475">
              <w:rPr>
                <w:rFonts w:ascii="Arial Narrow" w:eastAsia="Calibri" w:hAnsi="Arial Narrow" w:cs="Times New Roman"/>
                <w:noProof/>
                <w:kern w:val="0"/>
                <w:sz w:val="16"/>
                <w:szCs w:val="16"/>
                <w:lang w:val="en-US"/>
                <w14:ligatures w14:val="none"/>
              </w:rPr>
              <w:t xml:space="preserve">Joint Technology Creativity Guidelines for the development of youth technology and innovation capacity; </w:t>
            </w:r>
          </w:p>
          <w:p w14:paraId="02E81E3D" w14:textId="77777777" w:rsidR="00BA1475" w:rsidRPr="00BA1475" w:rsidDel="00923569" w:rsidRDefault="00BA1475" w:rsidP="00BA1475">
            <w:pPr>
              <w:numPr>
                <w:ilvl w:val="0"/>
                <w:numId w:val="36"/>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anonymised list of individuals </w:t>
            </w:r>
            <w:r w:rsidRPr="00BA1475">
              <w:rPr>
                <w:rFonts w:ascii="Arial Narrow" w:eastAsia="Calibri" w:hAnsi="Arial Narrow" w:cs="Calibri"/>
                <w:noProof/>
                <w:kern w:val="0"/>
                <w:sz w:val="16"/>
                <w:szCs w:val="16"/>
                <w:lang w:val="en-GB"/>
                <w14:ligatures w14:val="none"/>
              </w:rPr>
              <w:t>with unique identifiers</w:t>
            </w:r>
            <w:r w:rsidRPr="00BA1475">
              <w:rPr>
                <w:rFonts w:ascii="Arial Narrow" w:eastAsia="Calibri" w:hAnsi="Arial Narrow" w:cs="Calibri"/>
                <w:noProof/>
                <w:kern w:val="0"/>
                <w:sz w:val="16"/>
                <w:szCs w:val="16"/>
                <w:lang w:val="en-US"/>
                <w14:ligatures w14:val="none"/>
              </w:rPr>
              <w:t>who have participated in digital self-service skills trainings and technological innovation activities in digital youth work,</w:t>
            </w:r>
          </w:p>
          <w:p w14:paraId="1DDCC08F" w14:textId="77777777" w:rsidR="00BA1475" w:rsidRPr="00BA1475" w:rsidRDefault="00BA1475" w:rsidP="00BA1475">
            <w:pPr>
              <w:spacing w:after="0" w:line="240" w:lineRule="auto"/>
              <w:ind w:left="720"/>
              <w:contextualSpacing/>
              <w:rPr>
                <w:rFonts w:ascii="Arial Narrow" w:eastAsia="Calibri" w:hAnsi="Arial Narrow" w:cs="Calibri"/>
                <w:noProof/>
                <w:kern w:val="0"/>
                <w:sz w:val="16"/>
                <w:szCs w:val="16"/>
                <w:lang w:val="en-US"/>
                <w14:ligatures w14:val="none"/>
              </w:rPr>
            </w:pP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38D402D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As a result of the investment, the digital self-service skills learning approach (e-learning course) and the Technological Creativity Guidelines for the development of youth technology and innovation capacity in digital youth work have  been developed and implemented,  At least 40 000 people have taken part in the training to improve digital self-service skills (out of those self-training has reached at least 5 000); and at least 10 000 people have participated in technological innovation activities in digital youth work.</w:t>
            </w:r>
          </w:p>
        </w:tc>
      </w:tr>
      <w:tr w:rsidR="009C5ECA" w:rsidRPr="00BA1475" w14:paraId="1F0FBBC4"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550FF7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73</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60A98198"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2.3.2.1.i </w:t>
            </w:r>
          </w:p>
          <w:p w14:paraId="61DD9881" w14:textId="77777777" w:rsidR="00BA1475" w:rsidRPr="00BA1475" w:rsidRDefault="00BA1475" w:rsidP="00BA1475">
            <w:pPr>
              <w:spacing w:after="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Digital skills for people, including youth</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D30897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1A169D0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municipalities with digital skills development programmes for young people</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7094017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79093B3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230EED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5A487E4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42</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2A22777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074CDC4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2AAA77E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Science/Project data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8C71EB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39F2B3C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2EE82DA4" w14:textId="77777777" w:rsidR="00BA1475" w:rsidRPr="00BA1475" w:rsidRDefault="00BA1475" w:rsidP="00BA1475">
            <w:pPr>
              <w:spacing w:after="0" w:line="240" w:lineRule="auto"/>
              <w:rPr>
                <w:rFonts w:ascii="Arial Narrow" w:eastAsia="Calibri" w:hAnsi="Arial Narrow" w:cs="Arial"/>
                <w:noProof/>
                <w:kern w:val="0"/>
                <w:sz w:val="16"/>
                <w:lang w:val="lv"/>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1C2BBD94" w14:textId="77777777" w:rsidR="00BA1475" w:rsidRPr="00BA1475" w:rsidRDefault="00BA1475" w:rsidP="00BA1475">
            <w:pPr>
              <w:numPr>
                <w:ilvl w:val="0"/>
                <w:numId w:val="42"/>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lv"/>
                <w14:ligatures w14:val="none"/>
              </w:rPr>
              <w:t>copies of the municipal digital skills programmes;</w:t>
            </w:r>
          </w:p>
          <w:p w14:paraId="551497CD" w14:textId="77777777" w:rsidR="00BA1475" w:rsidRPr="00BA1475" w:rsidRDefault="00BA1475" w:rsidP="00BA1475">
            <w:pPr>
              <w:numPr>
                <w:ilvl w:val="0"/>
                <w:numId w:val="42"/>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lv"/>
                <w14:ligatures w14:val="none"/>
              </w:rPr>
              <w:t xml:space="preserve">reports from the municipalities describing the implementation of the programmes. </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121086C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As a result of investments, 42 municipalities had defined and fully implemented programmes of activities to ensure the acquisition and use of digital skills in youth work, the creation of a digital environment for youth work and foster the participation of young people in local government processes</w:t>
            </w:r>
          </w:p>
        </w:tc>
      </w:tr>
      <w:tr w:rsidR="009C5ECA" w:rsidRPr="00BA1475" w14:paraId="223D5B2E"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39A3138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74</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4030631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2.3.2.2.i Development of state and local government digital transformation skills and capabilities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B56C67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6B08C44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Public administration digital skills  framework developed</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4A5DE99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Digital skills framework is available in the State Administration School Training Management system and approved by an internal regulatory act of the School of State </w:t>
            </w:r>
            <w:r w:rsidRPr="009C5ECA">
              <w:rPr>
                <w:rFonts w:ascii="Arial Narrow" w:eastAsia="Calibri" w:hAnsi="Arial Narrow" w:cs="Times New Roman"/>
                <w:noProof/>
                <w:kern w:val="0"/>
                <w:sz w:val="14"/>
                <w:szCs w:val="14"/>
                <w:lang w:val="en-GB"/>
                <w14:ligatures w14:val="none"/>
              </w:rPr>
              <w:t>Administration</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0FD67EE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2CF16D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4DAD304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082196F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0BA8672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568A279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Smart Administrtion and Regional Development/ School of Public Administration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D1CF52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2AF6200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3F37893B" w14:textId="77777777" w:rsidR="00BA1475" w:rsidRPr="00BA1475" w:rsidRDefault="00BA1475" w:rsidP="00BA1475">
            <w:pPr>
              <w:spacing w:after="0" w:line="240" w:lineRule="auto"/>
              <w:rPr>
                <w:rFonts w:ascii="Arial Narrow" w:eastAsia="Calibri" w:hAnsi="Arial Narrow" w:cs="Calibri"/>
                <w:noProof/>
                <w:kern w:val="0"/>
                <w:lang w:val="en-US"/>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50986A5C" w14:textId="77777777" w:rsidR="00BA1475" w:rsidRPr="00BA1475" w:rsidRDefault="00BA1475" w:rsidP="00BA1475">
            <w:pPr>
              <w:spacing w:after="0" w:line="240" w:lineRule="auto"/>
              <w:rPr>
                <w:rFonts w:ascii="Arial Narrow" w:eastAsia="Calibri" w:hAnsi="Arial Narrow" w:cs="Calibri"/>
                <w:noProof/>
                <w:kern w:val="0"/>
                <w:lang w:val="en-US"/>
                <w14:ligatures w14:val="none"/>
              </w:rPr>
            </w:pPr>
            <w:r w:rsidRPr="00BA1475">
              <w:rPr>
                <w:rFonts w:ascii="Arial Narrow" w:eastAsia="Calibri" w:hAnsi="Arial Narrow" w:cs="Calibri"/>
                <w:noProof/>
                <w:kern w:val="0"/>
                <w:sz w:val="16"/>
                <w:szCs w:val="16"/>
                <w:lang w:val="en-US"/>
                <w14:ligatures w14:val="none"/>
              </w:rPr>
              <w:t xml:space="preserve">copy of the digital skills plan and framework, including curricula. </w:t>
            </w:r>
          </w:p>
          <w:p w14:paraId="023521AB" w14:textId="77777777" w:rsidR="00BA1475" w:rsidRPr="00BA1475" w:rsidDel="003C5BFB"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b)list of trainings provided; </w:t>
            </w:r>
          </w:p>
          <w:p w14:paraId="4B595338" w14:textId="77777777" w:rsidR="00BA1475" w:rsidRPr="00BA1475" w:rsidRDefault="00BA1475" w:rsidP="00BA1475">
            <w:pPr>
              <w:spacing w:after="0" w:line="240" w:lineRule="auto"/>
              <w:ind w:left="720"/>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C) list of certificates issued for completing the training.</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3CDA6A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Public administration digital skills framework, including curricula, shall be developed.</w:t>
            </w:r>
          </w:p>
        </w:tc>
      </w:tr>
      <w:tr w:rsidR="009C5ECA" w:rsidRPr="00BA1475" w14:paraId="64FFADBB"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26DFC5F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75</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71BB18F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2.3.2.2.i Development of state and local government digital transformation skills and capabilities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31B942A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B3DC2E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trainings in digital skills  areas completed by public administration employees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7B69E18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7FE66F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5C1DB7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590E339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25 160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10DEC26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4CD50EB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24A22A6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 School of Public Administration</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C421D9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F76181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4086723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00D93FC4" w14:textId="77777777" w:rsidR="00BA1475" w:rsidRPr="00BA1475" w:rsidRDefault="00BA1475" w:rsidP="00BA1475">
            <w:pPr>
              <w:numPr>
                <w:ilvl w:val="0"/>
                <w:numId w:val="35"/>
              </w:numPr>
              <w:spacing w:after="0" w:line="240" w:lineRule="auto"/>
              <w:contextualSpacing/>
              <w:rPr>
                <w:rFonts w:ascii="Calibri" w:eastAsia="Calibri" w:hAnsi="Calibri" w:cs="Arial"/>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list of training programmes organised;</w:t>
            </w:r>
          </w:p>
          <w:p w14:paraId="296FFF1F" w14:textId="77777777" w:rsidR="00BA1475" w:rsidRPr="00BA1475" w:rsidRDefault="00BA1475" w:rsidP="00BA1475">
            <w:pPr>
              <w:numPr>
                <w:ilvl w:val="0"/>
                <w:numId w:val="35"/>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list of certificates with unique identifiers for completion of on-site or online trainings of individuals in digital skills framework areas </w:t>
            </w:r>
          </w:p>
          <w:p w14:paraId="489B1597" w14:textId="77777777" w:rsidR="00BA1475" w:rsidRPr="00BA1475" w:rsidRDefault="00BA1475" w:rsidP="00BA1475">
            <w:pPr>
              <w:numPr>
                <w:ilvl w:val="0"/>
                <w:numId w:val="35"/>
              </w:numPr>
              <w:spacing w:after="0" w:line="240" w:lineRule="auto"/>
              <w:contextualSpacing/>
              <w:rPr>
                <w:rFonts w:ascii="Arial Narrow" w:eastAsia="Calibri" w:hAnsi="Arial Narrow" w:cs="Calibri"/>
                <w:noProof/>
                <w:kern w:val="0"/>
                <w:sz w:val="16"/>
                <w:szCs w:val="16"/>
                <w:lang w:val="en-US"/>
                <w14:ligatures w14:val="none"/>
              </w:rPr>
            </w:pP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00981238" w14:textId="77777777" w:rsidR="00BA1475" w:rsidRPr="00BA1475" w:rsidRDefault="00BA1475" w:rsidP="00BA1475">
            <w:pPr>
              <w:spacing w:after="200" w:line="276" w:lineRule="auto"/>
              <w:rPr>
                <w:rFonts w:ascii="Arial Narrow" w:eastAsia="Calibri" w:hAnsi="Arial Narrow" w:cs="Arial"/>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on-site and online trainings in digital skills framework areas of 1) digitalisation management and development; 2) digital content creation; 3) cybersecurity; 4) communication and collaboration; 5) information and data literacy; 6) transversal skills completed by public administration employees.  </w:t>
            </w:r>
          </w:p>
        </w:tc>
      </w:tr>
      <w:tr w:rsidR="009C5ECA" w:rsidRPr="00BA1475" w14:paraId="143D3FC4"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3FB8D26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76</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306C74D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2.3.2.2.i. Development of state and local government digital transformation skills and capabilities</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4BCB112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485DF61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trainings in digital skills competence framework areas completed by public administration employees</w:t>
            </w:r>
            <w:r w:rsidRPr="00BA1475" w:rsidDel="00975C4A">
              <w:rPr>
                <w:rFonts w:ascii="Arial Narrow" w:eastAsia="Calibri" w:hAnsi="Arial Narrow" w:cs="Times New Roman"/>
                <w:noProof/>
                <w:kern w:val="0"/>
                <w:sz w:val="16"/>
                <w:szCs w:val="16"/>
                <w:lang w:val="en-GB"/>
                <w14:ligatures w14:val="none"/>
              </w:rPr>
              <w:t xml:space="preserve">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57B6799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0E6285C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74B2A51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25 160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04744AF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62 900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7C6D611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0B337EE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51978CE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 School of Public Administration</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E063E5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1093163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75C8A1D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2CF65941" w14:textId="77777777" w:rsidR="00BA1475" w:rsidRPr="00BA1475" w:rsidRDefault="00BA1475" w:rsidP="00BA1475">
            <w:pPr>
              <w:numPr>
                <w:ilvl w:val="0"/>
                <w:numId w:val="34"/>
              </w:numPr>
              <w:spacing w:after="0" w:line="240" w:lineRule="auto"/>
              <w:contextualSpacing/>
              <w:rPr>
                <w:rFonts w:ascii="Calibri" w:eastAsia="Calibri" w:hAnsi="Calibri" w:cs="Arial"/>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list of training programmes organised;</w:t>
            </w:r>
          </w:p>
          <w:p w14:paraId="01CACE7C" w14:textId="77777777" w:rsidR="00BA1475" w:rsidRPr="00BA1475" w:rsidRDefault="00BA1475" w:rsidP="00BA1475">
            <w:pPr>
              <w:numPr>
                <w:ilvl w:val="0"/>
                <w:numId w:val="34"/>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list of certificates with unique identifiers for completion of on-site or online trainings of individuals in digital skills framework areas </w:t>
            </w:r>
          </w:p>
          <w:p w14:paraId="5C60238B" w14:textId="77777777" w:rsidR="00BA1475" w:rsidRPr="00BA1475" w:rsidRDefault="00BA1475" w:rsidP="00BA1475">
            <w:pPr>
              <w:numPr>
                <w:ilvl w:val="0"/>
                <w:numId w:val="34"/>
              </w:numPr>
              <w:spacing w:after="0" w:line="240" w:lineRule="auto"/>
              <w:contextualSpacing/>
              <w:rPr>
                <w:rFonts w:ascii="Arial Narrow" w:eastAsia="Calibri" w:hAnsi="Arial Narrow" w:cs="Calibri"/>
                <w:noProof/>
                <w:kern w:val="0"/>
                <w:sz w:val="16"/>
                <w:szCs w:val="16"/>
                <w:lang w:val="en-GB"/>
                <w14:ligatures w14:val="none"/>
              </w:rPr>
            </w:pP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6F4063B0"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on-site and online trainings in digital skills framework areas of 1) digitalisation management and development; 2) digital content creation; 3) cybersecurity; 4) communication and collaboration; 5) information and data literacy; 6) transversal skills completed by public administration employees.</w:t>
            </w:r>
          </w:p>
        </w:tc>
      </w:tr>
      <w:tr w:rsidR="009C5ECA" w:rsidRPr="00BA1475" w14:paraId="0A415E70"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0CC3FA2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77</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55615E1F"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2.3.2.3.i </w:t>
            </w:r>
          </w:p>
          <w:p w14:paraId="1364B9E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Closing the digital divide for socially vulnerable pupils and educational institutions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1A3DC42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4E9B5DE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Entry into force of a regulatory framework laying down procedures for the organisation and </w:t>
            </w:r>
            <w:r w:rsidRPr="009C5ECA">
              <w:rPr>
                <w:rFonts w:ascii="Arial Narrow" w:eastAsia="Calibri" w:hAnsi="Arial Narrow" w:cs="Times New Roman"/>
                <w:noProof/>
                <w:kern w:val="0"/>
                <w:sz w:val="14"/>
                <w:szCs w:val="14"/>
                <w:lang w:val="en-GB"/>
                <w14:ligatures w14:val="none"/>
              </w:rPr>
              <w:t>implementation</w:t>
            </w:r>
            <w:r w:rsidRPr="00BA1475">
              <w:rPr>
                <w:rFonts w:ascii="Arial Narrow" w:eastAsia="Calibri" w:hAnsi="Arial Narrow" w:cs="Times New Roman"/>
                <w:noProof/>
                <w:kern w:val="0"/>
                <w:sz w:val="16"/>
                <w:szCs w:val="16"/>
                <w:lang w:val="en-GB"/>
                <w14:ligatures w14:val="none"/>
              </w:rPr>
              <w:t xml:space="preserve"> of remote learning</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396DDD7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Entry into force of a regulatory framework laying down procedures for the organisation and </w:t>
            </w:r>
            <w:r w:rsidRPr="009C5ECA">
              <w:rPr>
                <w:rFonts w:ascii="Arial Narrow" w:eastAsia="Calibri" w:hAnsi="Arial Narrow" w:cs="Times New Roman"/>
                <w:noProof/>
                <w:kern w:val="0"/>
                <w:sz w:val="14"/>
                <w:szCs w:val="14"/>
                <w:lang w:val="en-GB"/>
                <w14:ligatures w14:val="none"/>
              </w:rPr>
              <w:t>implementation</w:t>
            </w:r>
            <w:r w:rsidRPr="00BA1475">
              <w:rPr>
                <w:rFonts w:ascii="Arial Narrow" w:eastAsia="Calibri" w:hAnsi="Arial Narrow" w:cs="Times New Roman"/>
                <w:noProof/>
                <w:kern w:val="0"/>
                <w:sz w:val="16"/>
                <w:szCs w:val="16"/>
                <w:lang w:val="en-GB"/>
                <w14:ligatures w14:val="none"/>
              </w:rPr>
              <w:t xml:space="preserve"> of remote learning</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46D66F8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2B808E1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7DD6F2B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A2A872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0C9015B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2021</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E9E2E4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5622B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023E6CB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relevant legislation and a link to the publication in the Official Journal, including a reference to the provision indicating the entry into force, accompanied by a summary document duly justifying how the milestone was satisfactorily fulfilled, with appropriate links to the underlying evidence.</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2FDD8039"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regulations of the Cabinet of Ministers laying down criteria and conditions for the organisation and conduct of remote learning to ensure that remote learning is organised and implemented in all Latvian educational institutions and levels of education (except at pre-school level).</w:t>
            </w:r>
          </w:p>
          <w:p w14:paraId="5F8CD915"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educational establishment shall  include in its internal rules a framework for the organisation and implementation of remote learning, including:</w:t>
            </w:r>
          </w:p>
          <w:p w14:paraId="3970EB52"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 the procedure by which the educational establishment shall identify whether technical means are available to learners for the provision of remote learning, as well as the procedures for providing these technical means if they are not available to learners;</w:t>
            </w:r>
          </w:p>
          <w:p w14:paraId="3C0089D2"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 the procedure for recording students’ participation in remote learning and the performance of the tasks assigned;</w:t>
            </w:r>
          </w:p>
          <w:p w14:paraId="7BB41FBE"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 in cases where the participation of the learner in remote learning is not possible or is hampered for technical reasons;</w:t>
            </w:r>
          </w:p>
          <w:p w14:paraId="4832AFCA"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 the procedures for ensuring compliance with safety requirements during remote learning and the procedures for communication with the legal representatives of the learner in the event of safety or health risks;</w:t>
            </w:r>
          </w:p>
          <w:p w14:paraId="5B8EA44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 The procedure by which learners make use of educational institution resources and infrastructure (premises, libraries, etc.) as part of remote learning.</w:t>
            </w:r>
          </w:p>
        </w:tc>
      </w:tr>
      <w:tr w:rsidR="009C5ECA" w:rsidRPr="00BA1475" w14:paraId="7F4874C3"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08D0A0F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79</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46BBF900"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2.3.2.3.i </w:t>
            </w:r>
          </w:p>
          <w:p w14:paraId="344C439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Closing the digital divide for socially vulnerable pupils and educational institutions </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CCA332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241A231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ICT equipment units for the target group (learners)</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19C0BF7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27DDBC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1640BF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762C244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26 620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167882F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8446A7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63B5F87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709591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1CAB0D1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was satisfactorily fulfilled, with appropriate links to the underlying evidence.</w:t>
            </w:r>
          </w:p>
          <w:p w14:paraId="6920EC8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2F1E454B" w14:textId="77777777" w:rsidR="00BA1475" w:rsidRPr="00BA1475" w:rsidRDefault="00BA1475" w:rsidP="00BA1475">
            <w:pPr>
              <w:numPr>
                <w:ilvl w:val="0"/>
                <w:numId w:val="48"/>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a copy of and link to the technical specification included in the terms of reference for the procurement of the project; </w:t>
            </w:r>
          </w:p>
          <w:p w14:paraId="375510B5" w14:textId="77777777" w:rsidR="00BA1475" w:rsidRPr="00BA1475" w:rsidRDefault="00BA1475" w:rsidP="00BA1475">
            <w:pPr>
              <w:numPr>
                <w:ilvl w:val="0"/>
                <w:numId w:val="48"/>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copies of </w:t>
            </w:r>
            <w:r w:rsidRPr="00BA1475" w:rsidDel="00D57217">
              <w:rPr>
                <w:rFonts w:ascii="Arial Narrow" w:eastAsia="Calibri" w:hAnsi="Arial Narrow" w:cs="Calibri"/>
                <w:noProof/>
                <w:kern w:val="0"/>
                <w:sz w:val="16"/>
                <w:szCs w:val="16"/>
                <w:lang w:val="en-US"/>
                <w14:ligatures w14:val="none"/>
              </w:rPr>
              <w:t xml:space="preserve">contracts </w:t>
            </w:r>
            <w:r w:rsidRPr="00BA1475" w:rsidDel="00DB5D57">
              <w:rPr>
                <w:rFonts w:ascii="Arial Narrow" w:eastAsia="Calibri" w:hAnsi="Arial Narrow" w:cs="Calibri"/>
                <w:noProof/>
                <w:kern w:val="0"/>
                <w:sz w:val="16"/>
                <w:szCs w:val="16"/>
                <w:lang w:val="en-US"/>
                <w14:ligatures w14:val="none"/>
              </w:rPr>
              <w:t>concluded for the implementation of the investment</w:t>
            </w:r>
            <w:r w:rsidRPr="00BA1475">
              <w:rPr>
                <w:rFonts w:ascii="Arial Narrow" w:eastAsia="Calibri" w:hAnsi="Arial Narrow" w:cs="Calibri"/>
                <w:noProof/>
                <w:kern w:val="0"/>
                <w:sz w:val="16"/>
                <w:szCs w:val="16"/>
                <w:lang w:val="en-US"/>
                <w14:ligatures w14:val="none"/>
              </w:rPr>
              <w:t xml:space="preserve">; </w:t>
            </w:r>
          </w:p>
          <w:p w14:paraId="556ECE03" w14:textId="77777777" w:rsidR="00BA1475" w:rsidRPr="00BA1475" w:rsidRDefault="00BA1475" w:rsidP="00BA1475">
            <w:pPr>
              <w:numPr>
                <w:ilvl w:val="0"/>
                <w:numId w:val="48"/>
              </w:numPr>
              <w:spacing w:after="0" w:line="240" w:lineRule="auto"/>
              <w:contextualSpacing/>
              <w:rPr>
                <w:rFonts w:ascii="Arial Narrow" w:eastAsia="Calibri" w:hAnsi="Arial Narrow" w:cs="Calibri"/>
                <w:noProof/>
                <w:kern w:val="0"/>
                <w:sz w:val="16"/>
                <w:szCs w:val="16"/>
                <w:lang w:val="en-GB"/>
                <w14:ligatures w14:val="none"/>
              </w:rPr>
            </w:pPr>
            <w:r w:rsidRPr="00BA1475" w:rsidDel="00E84A01">
              <w:rPr>
                <w:rFonts w:ascii="Arial Narrow" w:eastAsia="Calibri" w:hAnsi="Arial Narrow" w:cs="Calibri"/>
                <w:noProof/>
                <w:kern w:val="0"/>
                <w:sz w:val="16"/>
                <w:szCs w:val="16"/>
                <w:lang w:val="en-US"/>
                <w14:ligatures w14:val="none"/>
              </w:rPr>
              <w:t>list of ICT equipment acquired and mapping of their location.</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16E2364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ICT equipment units purchased and delivered to municipalities or directly to educational institutions for general education.</w:t>
            </w:r>
          </w:p>
        </w:tc>
      </w:tr>
      <w:tr w:rsidR="009C5ECA" w:rsidRPr="00BA1475" w14:paraId="6109D354"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19B4678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80</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38F4AEA3"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2.4.1.r </w:t>
            </w:r>
          </w:p>
          <w:p w14:paraId="1DDC821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Broadband infrastructure development</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2F76EB1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0025C98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technical requirement for connected and automated driving</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44B19A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of common technical requirements </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6C7F66D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6E99941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14D2D03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768A4E5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32ECCF6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2021</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41DC794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Transport in cooperation with SJSC "The Latvia State Radio and Television Centre"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226809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Technical requirements shall be understood as equivalent to technical specifications.</w:t>
            </w:r>
            <w:r w:rsidRPr="00BA1475" w:rsidDel="007D1F19">
              <w:rPr>
                <w:rFonts w:ascii="Arial Narrow" w:eastAsia="Calibri" w:hAnsi="Arial Narrow" w:cs="Times New Roman"/>
                <w:noProof/>
                <w:kern w:val="0"/>
                <w:sz w:val="16"/>
                <w:szCs w:val="16"/>
                <w:lang w:val="en-GB"/>
                <w14:ligatures w14:val="none"/>
              </w:rPr>
              <w:t xml:space="preserve"> </w:t>
            </w: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5A205090" w14:textId="77777777" w:rsidR="00BA1475" w:rsidRPr="00BA1475" w:rsidRDefault="00BA1475" w:rsidP="00BA1475">
            <w:pPr>
              <w:spacing w:after="0" w:line="240" w:lineRule="auto"/>
              <w:rPr>
                <w:rFonts w:ascii="Arial Narrow" w:eastAsia="MS Mincho" w:hAnsi="Arial Narrow" w:cs="Arial"/>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A summary document duly justifying how the milestone (including all the constitutive elements) was satisfactorily fulfilled, with appropriate links to the underlying evidence. This document shall include as an annex the following documents: the copy of common technical requirements for infrastructure (optics, towers, electrical connection, etc.) to support connected and automated driving in Latvian section of Via Baltica corridor.</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24BF7C2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1. The SJSC “Latvian State Radio and Television Centre” identifies the common technical requirements for electronic communications operators to allow for connected and automated driving.  This shall take into account the needs of operators in cooperation with representatives of Estonia, Lithuania and Poland to facilitate the development of a connected and automated driving corridor along the Via Baltica track. Following that common technical requirements are adopted by the procurement committee.  </w:t>
            </w:r>
          </w:p>
        </w:tc>
      </w:tr>
      <w:tr w:rsidR="009C5ECA" w:rsidRPr="00BA1475" w14:paraId="2A6B14D8"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50FD397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81</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1D91B4E4"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2.4.1.r </w:t>
            </w:r>
          </w:p>
          <w:p w14:paraId="79D5469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Broadband infrastructure development</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060154A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7C18C5F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a common model for the development of the last mile</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5D6F328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of a common model for the development of the last mile </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0DF3307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459694D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3CD855D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526113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13EE0D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2021</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1444BE9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Transport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C50BE7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new draft model for the development of the last mile included in the electronic communications sector development plan and submitted by the Ministry of Transport for public consultation and approved by the Cabinet of Ministers.</w:t>
            </w: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30A693C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milestone (including all the constitutive elements) was satisfactorily fulfilled, with appropriate links to the underlying evidence.</w:t>
            </w:r>
          </w:p>
          <w:p w14:paraId="017FD88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20A2F629" w14:textId="77777777" w:rsidR="00BA1475" w:rsidRPr="00BA1475" w:rsidRDefault="00BA1475" w:rsidP="00BA1475">
            <w:pPr>
              <w:numPr>
                <w:ilvl w:val="0"/>
                <w:numId w:val="33"/>
              </w:num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copy of and link to the decision of the Cabinet of </w:t>
            </w:r>
            <w:r w:rsidRPr="00BA1475">
              <w:rPr>
                <w:rFonts w:ascii="Arial Narrow" w:eastAsia="Calibri" w:hAnsi="Arial Narrow" w:cs="Calibri"/>
                <w:noProof/>
                <w:kern w:val="0"/>
                <w:sz w:val="16"/>
                <w:szCs w:val="16"/>
                <w:lang w:val="en-US"/>
                <w14:ligatures w14:val="none"/>
              </w:rPr>
              <w:t>Ministers</w:t>
            </w:r>
            <w:r w:rsidRPr="00BA1475">
              <w:rPr>
                <w:rFonts w:ascii="Arial Narrow" w:eastAsia="Calibri" w:hAnsi="Arial Narrow" w:cs="Calibri"/>
                <w:noProof/>
                <w:kern w:val="0"/>
                <w:sz w:val="16"/>
                <w:szCs w:val="16"/>
                <w:lang w:val="en-GB"/>
                <w14:ligatures w14:val="none"/>
              </w:rPr>
              <w:t xml:space="preserve"> on a common model for the development of the last mile; </w:t>
            </w:r>
          </w:p>
          <w:p w14:paraId="26CA3613" w14:textId="77777777" w:rsidR="00BA1475" w:rsidRPr="00BA1475" w:rsidRDefault="00BA1475" w:rsidP="00BA1475">
            <w:pPr>
              <w:numPr>
                <w:ilvl w:val="0"/>
                <w:numId w:val="33"/>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copies of the studies on which the development plan for the electronic communications sector is based; </w:t>
            </w:r>
          </w:p>
          <w:p w14:paraId="36893834" w14:textId="77777777" w:rsidR="00BA1475" w:rsidRPr="00BA1475" w:rsidRDefault="00BA1475" w:rsidP="00BA1475">
            <w:pPr>
              <w:numPr>
                <w:ilvl w:val="0"/>
                <w:numId w:val="33"/>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a report on the results and link to the documents of the public consultation on the Electronic communications sector policy for years 2021-2027. </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493DF50D"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1. On the basis of the studies carried out, the Ministry of Transport shall draw up a development plan for the electronic communications sector, which shall include a draft model. </w:t>
            </w:r>
          </w:p>
          <w:p w14:paraId="68EEC0E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 The outcome of the public consultation shall lead to a final decision on the model, which shall be adopted and implemented.</w:t>
            </w:r>
          </w:p>
        </w:tc>
      </w:tr>
      <w:tr w:rsidR="009C5ECA" w:rsidRPr="00BA1475" w14:paraId="6901A6E5" w14:textId="77777777" w:rsidTr="009C5ECA">
        <w:trPr>
          <w:jc w:val="center"/>
        </w:trPr>
        <w:tc>
          <w:tcPr>
            <w:tcW w:w="414" w:type="dxa"/>
            <w:tcBorders>
              <w:top w:val="single" w:sz="8" w:space="0" w:color="auto"/>
              <w:left w:val="single" w:sz="8" w:space="0" w:color="auto"/>
              <w:bottom w:val="single" w:sz="8" w:space="0" w:color="auto"/>
              <w:right w:val="single" w:sz="8" w:space="0" w:color="auto"/>
            </w:tcBorders>
            <w:shd w:val="clear" w:color="auto" w:fill="C6EFCE"/>
          </w:tcPr>
          <w:p w14:paraId="690B5B6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83</w:t>
            </w:r>
          </w:p>
        </w:tc>
        <w:tc>
          <w:tcPr>
            <w:tcW w:w="1458" w:type="dxa"/>
            <w:tcBorders>
              <w:top w:val="single" w:sz="8" w:space="0" w:color="auto"/>
              <w:left w:val="single" w:sz="8" w:space="0" w:color="auto"/>
              <w:bottom w:val="single" w:sz="8" w:space="0" w:color="auto"/>
              <w:right w:val="single" w:sz="8" w:space="0" w:color="auto"/>
            </w:tcBorders>
            <w:shd w:val="clear" w:color="auto" w:fill="C6EFCE"/>
          </w:tcPr>
          <w:p w14:paraId="73BECD24"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2.4.1.2.i </w:t>
            </w:r>
          </w:p>
          <w:p w14:paraId="79D0E3E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Broadband or very high capacity network “last mile” infrastructure development</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5DC3D84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8" w:space="0" w:color="auto"/>
              <w:left w:val="single" w:sz="8" w:space="0" w:color="auto"/>
              <w:bottom w:val="single" w:sz="8" w:space="0" w:color="auto"/>
              <w:right w:val="single" w:sz="8" w:space="0" w:color="auto"/>
            </w:tcBorders>
            <w:shd w:val="clear" w:color="auto" w:fill="C6EFCE"/>
          </w:tcPr>
          <w:p w14:paraId="3D4D010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households, businesses, schools, hospitals and other public buildings which have access to the very high capacity broadband network </w:t>
            </w:r>
          </w:p>
        </w:tc>
        <w:tc>
          <w:tcPr>
            <w:tcW w:w="992" w:type="dxa"/>
            <w:tcBorders>
              <w:top w:val="single" w:sz="8" w:space="0" w:color="auto"/>
              <w:left w:val="single" w:sz="8" w:space="0" w:color="auto"/>
              <w:bottom w:val="single" w:sz="8" w:space="0" w:color="auto"/>
              <w:right w:val="single" w:sz="8" w:space="0" w:color="auto"/>
            </w:tcBorders>
            <w:shd w:val="clear" w:color="auto" w:fill="C6EFCE"/>
          </w:tcPr>
          <w:p w14:paraId="4E2D05D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3046E27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0" w:type="dxa"/>
            <w:tcBorders>
              <w:top w:val="single" w:sz="8" w:space="0" w:color="auto"/>
              <w:left w:val="single" w:sz="8" w:space="0" w:color="auto"/>
              <w:bottom w:val="single" w:sz="8" w:space="0" w:color="auto"/>
              <w:right w:val="single" w:sz="8" w:space="0" w:color="auto"/>
            </w:tcBorders>
            <w:shd w:val="clear" w:color="auto" w:fill="C6EFCE"/>
          </w:tcPr>
          <w:p w14:paraId="2A6A369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993" w:type="dxa"/>
            <w:tcBorders>
              <w:top w:val="single" w:sz="8" w:space="0" w:color="auto"/>
              <w:left w:val="single" w:sz="8" w:space="0" w:color="auto"/>
              <w:bottom w:val="single" w:sz="8" w:space="0" w:color="auto"/>
              <w:right w:val="single" w:sz="8" w:space="0" w:color="auto"/>
            </w:tcBorders>
            <w:shd w:val="clear" w:color="auto" w:fill="C6EFCE"/>
          </w:tcPr>
          <w:p w14:paraId="47BCE60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6 200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4D20DC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966BC8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755BFE0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Transport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52C6093" w14:textId="77777777" w:rsidR="00BA1475" w:rsidRPr="00BA1475" w:rsidRDefault="00BA1475" w:rsidP="00BA1475">
            <w:pPr>
              <w:spacing w:after="0" w:line="240" w:lineRule="auto"/>
              <w:rPr>
                <w:rFonts w:ascii="Arial Narrow" w:eastAsia="Calibri" w:hAnsi="Arial Narrow" w:cs="Calibri"/>
                <w:kern w:val="0"/>
                <w:sz w:val="16"/>
                <w:szCs w:val="16"/>
                <w:lang w:val="en-GB"/>
                <w14:ligatures w14:val="none"/>
              </w:rPr>
            </w:pPr>
            <w:r w:rsidRPr="00BA1475">
              <w:rPr>
                <w:rFonts w:ascii="Arial Narrow" w:eastAsia="Calibri" w:hAnsi="Arial Narrow" w:cs="Calibri"/>
                <w:kern w:val="0"/>
                <w:sz w:val="16"/>
                <w:szCs w:val="16"/>
                <w:lang w:val="en-GB"/>
                <w14:ligatures w14:val="none"/>
              </w:rPr>
              <w:t>Access is referring to the possibility to conclude a contract to start receiving VHCN service]</w:t>
            </w:r>
          </w:p>
        </w:tc>
        <w:tc>
          <w:tcPr>
            <w:tcW w:w="2102" w:type="dxa"/>
            <w:tcBorders>
              <w:top w:val="single" w:sz="4" w:space="0" w:color="auto"/>
              <w:left w:val="single" w:sz="4" w:space="0" w:color="auto"/>
              <w:bottom w:val="single" w:sz="4" w:space="0" w:color="auto"/>
              <w:right w:val="single" w:sz="4" w:space="0" w:color="auto"/>
            </w:tcBorders>
            <w:shd w:val="clear" w:color="auto" w:fill="C6EFCE"/>
          </w:tcPr>
          <w:p w14:paraId="7281DD1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elements) was satisfactorily fulfilled, with appropriate links to the underlying evidence.</w:t>
            </w:r>
          </w:p>
          <w:p w14:paraId="7B0C891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2AF3EC08" w14:textId="77777777" w:rsidR="00BA1475" w:rsidRPr="00BA1475" w:rsidRDefault="00BA1475" w:rsidP="00BA1475">
            <w:pPr>
              <w:numPr>
                <w:ilvl w:val="0"/>
                <w:numId w:val="32"/>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 xml:space="preserve">reports submitted by the project implementer (based on information from electronic communication operators) and accepted by the contracting authority providing the number of beneficiaries as defined in the target description; </w:t>
            </w:r>
          </w:p>
          <w:p w14:paraId="6AB2BD0E" w14:textId="77777777" w:rsidR="00BA1475" w:rsidRPr="00BA1475" w:rsidRDefault="00BA1475" w:rsidP="00BA1475">
            <w:pPr>
              <w:numPr>
                <w:ilvl w:val="0"/>
                <w:numId w:val="32"/>
              </w:num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Calibri"/>
                <w:noProof/>
                <w:kern w:val="0"/>
                <w:sz w:val="16"/>
                <w:szCs w:val="16"/>
                <w:lang w:val="en-US"/>
                <w14:ligatures w14:val="none"/>
              </w:rPr>
              <w:t>mapping of the investments specifying the location of households, businesses, schools and other public buildings with new broadband access to very high capacity broadband network with speeds of at least 100 Mbps.</w:t>
            </w:r>
          </w:p>
        </w:tc>
        <w:tc>
          <w:tcPr>
            <w:tcW w:w="2409" w:type="dxa"/>
            <w:tcBorders>
              <w:top w:val="single" w:sz="4" w:space="0" w:color="auto"/>
              <w:left w:val="single" w:sz="4" w:space="0" w:color="auto"/>
              <w:bottom w:val="single" w:sz="4" w:space="0" w:color="auto"/>
              <w:right w:val="single" w:sz="4" w:space="0" w:color="auto"/>
            </w:tcBorders>
            <w:shd w:val="clear" w:color="auto" w:fill="C6EFCE"/>
          </w:tcPr>
          <w:p w14:paraId="660BAD3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indicator is defined as the number of households, businesses, schools, hospitals and other public buildings which have access to a very high capacity broadband network with speeds of at least 100 Mbps.</w:t>
            </w:r>
          </w:p>
        </w:tc>
      </w:tr>
    </w:tbl>
    <w:p w14:paraId="7F6C7FB2" w14:textId="77777777" w:rsidR="00BA1475" w:rsidRPr="00BA1475" w:rsidRDefault="00BA1475" w:rsidP="00BA1475">
      <w:pPr>
        <w:spacing w:before="120" w:after="120" w:line="240" w:lineRule="auto"/>
        <w:jc w:val="both"/>
        <w:rPr>
          <w:rFonts w:ascii="Arial Narrow" w:eastAsia="Calibri" w:hAnsi="Arial Narrow" w:cs="Times New Roman"/>
          <w:noProof/>
          <w:kern w:val="0"/>
          <w:sz w:val="24"/>
          <w:szCs w:val="24"/>
          <w:lang w:val="en-GB"/>
          <w14:ligatures w14:val="none"/>
        </w:rPr>
      </w:pPr>
    </w:p>
    <w:p w14:paraId="006BCE13" w14:textId="77777777" w:rsidR="00BA1475" w:rsidRPr="00BA1475" w:rsidRDefault="00BA1475" w:rsidP="00BA1475">
      <w:pPr>
        <w:spacing w:before="120" w:after="120" w:line="240" w:lineRule="auto"/>
        <w:ind w:left="709"/>
        <w:jc w:val="both"/>
        <w:rPr>
          <w:rFonts w:ascii="Arial Narrow" w:eastAsia="Calibri" w:hAnsi="Arial Narrow" w:cs="Times New Roman"/>
          <w:noProof/>
          <w:kern w:val="0"/>
          <w:sz w:val="24"/>
          <w:lang w:val="en-GB"/>
          <w14:ligatures w14:val="none"/>
        </w:rPr>
        <w:sectPr w:rsidR="00BA1475" w:rsidRPr="00BA1475" w:rsidSect="00BA1475">
          <w:headerReference w:type="even" r:id="rId32"/>
          <w:headerReference w:type="default" r:id="rId33"/>
          <w:footerReference w:type="even" r:id="rId34"/>
          <w:footerReference w:type="default" r:id="rId35"/>
          <w:headerReference w:type="first" r:id="rId36"/>
          <w:footerReference w:type="first" r:id="rId37"/>
          <w:pgSz w:w="16839" w:h="11907" w:orient="landscape"/>
          <w:pgMar w:top="720" w:right="720" w:bottom="720" w:left="720" w:header="709" w:footer="709" w:gutter="0"/>
          <w:cols w:space="720"/>
          <w:docGrid w:linePitch="360"/>
        </w:sectPr>
      </w:pPr>
    </w:p>
    <w:p w14:paraId="42CD4C80" w14:textId="77777777" w:rsidR="00BA1475" w:rsidRPr="00BA1475" w:rsidRDefault="00BA1475" w:rsidP="00BA1475">
      <w:pPr>
        <w:keepNext/>
        <w:keepLines/>
        <w:numPr>
          <w:ilvl w:val="1"/>
          <w:numId w:val="0"/>
        </w:numPr>
        <w:spacing w:before="40" w:after="0"/>
        <w:ind w:left="850"/>
        <w:outlineLvl w:val="1"/>
        <w:rPr>
          <w:rFonts w:ascii="Arial Narrow" w:eastAsia="MS Mincho" w:hAnsi="Arial Narrow" w:cs="Times New Roman"/>
          <w:b/>
          <w:bCs/>
          <w:noProof/>
          <w:kern w:val="0"/>
          <w:sz w:val="24"/>
          <w:szCs w:val="26"/>
          <w:lang w:val="en-GB"/>
          <w14:ligatures w14:val="none"/>
        </w:rPr>
      </w:pPr>
      <w:r w:rsidRPr="00BA1475">
        <w:rPr>
          <w:rFonts w:ascii="Arial Narrow" w:eastAsia="MS Mincho" w:hAnsi="Arial Narrow" w:cs="Times New Roman"/>
          <w:b/>
          <w:bCs/>
          <w:noProof/>
          <w:kern w:val="0"/>
          <w:sz w:val="24"/>
          <w:szCs w:val="26"/>
          <w:lang w:val="en-GB"/>
          <w14:ligatures w14:val="none"/>
        </w:rPr>
        <w:t xml:space="preserve">C. COMPONENT 3: </w:t>
      </w:r>
      <w:r w:rsidRPr="00BA1475">
        <w:rPr>
          <w:rFonts w:ascii="Arial Narrow" w:eastAsia="Times New Roman" w:hAnsi="Arial Narrow" w:cs="Times New Roman"/>
          <w:b/>
          <w:bCs/>
          <w:noProof/>
          <w:kern w:val="0"/>
          <w:sz w:val="24"/>
          <w:szCs w:val="26"/>
          <w:lang w:val="en-GB"/>
          <w14:ligatures w14:val="none"/>
        </w:rPr>
        <w:t>REDUCTION OF INEQUALITY</w:t>
      </w:r>
      <w:r w:rsidRPr="00BA1475">
        <w:rPr>
          <w:rFonts w:ascii="Arial Narrow" w:eastAsia="MS Mincho" w:hAnsi="Arial Narrow" w:cs="Times New Roman"/>
          <w:b/>
          <w:bCs/>
          <w:noProof/>
          <w:kern w:val="0"/>
          <w:sz w:val="24"/>
          <w:szCs w:val="26"/>
          <w:lang w:val="en-GB"/>
          <w14:ligatures w14:val="none"/>
        </w:rPr>
        <w:t xml:space="preserve"> </w:t>
      </w:r>
    </w:p>
    <w:tbl>
      <w:tblPr>
        <w:tblW w:w="15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1297"/>
        <w:gridCol w:w="851"/>
        <w:gridCol w:w="1134"/>
        <w:gridCol w:w="1134"/>
        <w:gridCol w:w="850"/>
        <w:gridCol w:w="709"/>
        <w:gridCol w:w="567"/>
        <w:gridCol w:w="425"/>
        <w:gridCol w:w="567"/>
        <w:gridCol w:w="1276"/>
        <w:gridCol w:w="1276"/>
        <w:gridCol w:w="2693"/>
        <w:gridCol w:w="2444"/>
      </w:tblGrid>
      <w:tr w:rsidR="00B27E64" w:rsidRPr="00BA1475" w14:paraId="290DCED0" w14:textId="77777777" w:rsidTr="00B27E64">
        <w:trPr>
          <w:trHeight w:val="300"/>
          <w:tblHeader/>
          <w:jc w:val="center"/>
        </w:trPr>
        <w:tc>
          <w:tcPr>
            <w:tcW w:w="581" w:type="dxa"/>
            <w:vMerge w:val="restart"/>
            <w:shd w:val="clear" w:color="auto" w:fill="BDD7EE"/>
            <w:vAlign w:val="center"/>
          </w:tcPr>
          <w:p w14:paraId="58FC9AAC" w14:textId="77777777" w:rsidR="00BA1475" w:rsidRPr="00BA1475" w:rsidRDefault="00BA1475" w:rsidP="00BA1475">
            <w:pPr>
              <w:spacing w:after="0" w:line="240" w:lineRule="auto"/>
              <w:jc w:val="center"/>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w:t>
            </w:r>
          </w:p>
        </w:tc>
        <w:tc>
          <w:tcPr>
            <w:tcW w:w="1297" w:type="dxa"/>
            <w:vMerge w:val="restart"/>
            <w:shd w:val="clear" w:color="auto" w:fill="BDD7EE"/>
            <w:vAlign w:val="center"/>
          </w:tcPr>
          <w:p w14:paraId="6DC6AB6C" w14:textId="77777777" w:rsidR="00BA1475" w:rsidRPr="00BA1475" w:rsidRDefault="00BA1475" w:rsidP="00BA1475">
            <w:pPr>
              <w:spacing w:after="0" w:line="240" w:lineRule="auto"/>
              <w:jc w:val="center"/>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Related Measure (Reform or Investment)</w:t>
            </w:r>
          </w:p>
        </w:tc>
        <w:tc>
          <w:tcPr>
            <w:tcW w:w="851" w:type="dxa"/>
            <w:vMerge w:val="restart"/>
            <w:shd w:val="clear" w:color="auto" w:fill="BDD7EE"/>
            <w:vAlign w:val="center"/>
          </w:tcPr>
          <w:p w14:paraId="79AB407F" w14:textId="77777777" w:rsidR="00BA1475" w:rsidRPr="00BA1475" w:rsidRDefault="00BA1475" w:rsidP="00BA1475">
            <w:pPr>
              <w:spacing w:after="0" w:line="240" w:lineRule="auto"/>
              <w:jc w:val="center"/>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M/T</w:t>
            </w:r>
          </w:p>
        </w:tc>
        <w:tc>
          <w:tcPr>
            <w:tcW w:w="1134" w:type="dxa"/>
            <w:vMerge w:val="restart"/>
            <w:shd w:val="clear" w:color="auto" w:fill="BDD7EE"/>
            <w:vAlign w:val="center"/>
          </w:tcPr>
          <w:p w14:paraId="39D6487D" w14:textId="77777777" w:rsidR="00BA1475" w:rsidRPr="00BA1475" w:rsidRDefault="00BA1475" w:rsidP="00BA1475">
            <w:pPr>
              <w:spacing w:after="0" w:line="240" w:lineRule="auto"/>
              <w:jc w:val="center"/>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Name</w:t>
            </w:r>
          </w:p>
        </w:tc>
        <w:tc>
          <w:tcPr>
            <w:tcW w:w="1134" w:type="dxa"/>
            <w:vMerge w:val="restart"/>
            <w:shd w:val="clear" w:color="auto" w:fill="BDD7EE"/>
            <w:vAlign w:val="center"/>
          </w:tcPr>
          <w:p w14:paraId="6CA7C317" w14:textId="77777777" w:rsidR="00BA1475" w:rsidRPr="00BA1475" w:rsidRDefault="00BA1475" w:rsidP="00BA1475">
            <w:pPr>
              <w:spacing w:after="0" w:line="240" w:lineRule="auto"/>
              <w:jc w:val="center"/>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 xml:space="preserve">Qualitative indicators </w:t>
            </w:r>
            <w:r w:rsidRPr="00BA1475">
              <w:rPr>
                <w:rFonts w:ascii="Arial Narrow" w:eastAsia="Calibri" w:hAnsi="Arial Narrow" w:cs="Times New Roman"/>
                <w:noProof/>
                <w:kern w:val="0"/>
                <w:sz w:val="14"/>
                <w:szCs w:val="14"/>
                <w:lang w:val="en-GB"/>
                <w14:ligatures w14:val="none"/>
              </w:rPr>
              <w:br/>
            </w:r>
            <w:r w:rsidRPr="00BA1475">
              <w:rPr>
                <w:rFonts w:ascii="Arial Narrow" w:eastAsia="Times New Roman" w:hAnsi="Arial Narrow" w:cs="Times New Roman"/>
                <w:noProof/>
                <w:kern w:val="0"/>
                <w:sz w:val="14"/>
                <w:szCs w:val="14"/>
                <w:lang w:val="en-GB"/>
                <w14:ligatures w14:val="none"/>
              </w:rPr>
              <w:t xml:space="preserve"> </w:t>
            </w:r>
            <w:r w:rsidRPr="00BA1475">
              <w:rPr>
                <w:rFonts w:ascii="Arial Narrow" w:eastAsia="Times New Roman" w:hAnsi="Arial Narrow" w:cs="Times New Roman"/>
                <w:b/>
                <w:noProof/>
                <w:kern w:val="0"/>
                <w:sz w:val="14"/>
                <w:szCs w:val="14"/>
                <w:lang w:val="en-GB"/>
                <w14:ligatures w14:val="none"/>
              </w:rPr>
              <w:t>(for milestones)</w:t>
            </w:r>
          </w:p>
        </w:tc>
        <w:tc>
          <w:tcPr>
            <w:tcW w:w="2126" w:type="dxa"/>
            <w:gridSpan w:val="3"/>
            <w:shd w:val="clear" w:color="auto" w:fill="BDD7EE"/>
            <w:vAlign w:val="center"/>
          </w:tcPr>
          <w:p w14:paraId="7AF447D5" w14:textId="77777777" w:rsidR="00BA1475" w:rsidRPr="00BA1475" w:rsidRDefault="00BA1475" w:rsidP="00BA1475">
            <w:pPr>
              <w:spacing w:after="0" w:line="240" w:lineRule="auto"/>
              <w:jc w:val="center"/>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 xml:space="preserve">Quantitative indicators </w:t>
            </w:r>
            <w:r w:rsidRPr="00BA1475">
              <w:rPr>
                <w:rFonts w:ascii="Arial Narrow" w:eastAsia="Calibri" w:hAnsi="Arial Narrow" w:cs="Times New Roman"/>
                <w:noProof/>
                <w:kern w:val="0"/>
                <w:sz w:val="14"/>
                <w:szCs w:val="14"/>
                <w:lang w:val="en-GB"/>
                <w14:ligatures w14:val="none"/>
              </w:rPr>
              <w:br/>
            </w:r>
            <w:r w:rsidRPr="00BA1475">
              <w:rPr>
                <w:rFonts w:ascii="Arial Narrow" w:eastAsia="Times New Roman" w:hAnsi="Arial Narrow" w:cs="Times New Roman"/>
                <w:noProof/>
                <w:kern w:val="0"/>
                <w:sz w:val="14"/>
                <w:szCs w:val="14"/>
                <w:lang w:val="en-GB"/>
                <w14:ligatures w14:val="none"/>
              </w:rPr>
              <w:t xml:space="preserve"> </w:t>
            </w:r>
            <w:r w:rsidRPr="00BA1475">
              <w:rPr>
                <w:rFonts w:ascii="Arial Narrow" w:eastAsia="Times New Roman" w:hAnsi="Arial Narrow" w:cs="Times New Roman"/>
                <w:b/>
                <w:noProof/>
                <w:kern w:val="0"/>
                <w:sz w:val="14"/>
                <w:szCs w:val="14"/>
                <w:lang w:val="en-GB"/>
                <w14:ligatures w14:val="none"/>
              </w:rPr>
              <w:t>(for targets)</w:t>
            </w:r>
          </w:p>
        </w:tc>
        <w:tc>
          <w:tcPr>
            <w:tcW w:w="992" w:type="dxa"/>
            <w:gridSpan w:val="2"/>
            <w:shd w:val="clear" w:color="auto" w:fill="BDD7EE"/>
            <w:vAlign w:val="center"/>
          </w:tcPr>
          <w:p w14:paraId="0874A799" w14:textId="77777777" w:rsidR="00BA1475" w:rsidRPr="00BA1475" w:rsidRDefault="00BA1475" w:rsidP="00BA1475">
            <w:pPr>
              <w:spacing w:after="0" w:line="240" w:lineRule="auto"/>
              <w:jc w:val="center"/>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Indicative timeline for completion</w:t>
            </w:r>
          </w:p>
        </w:tc>
        <w:tc>
          <w:tcPr>
            <w:tcW w:w="1276" w:type="dxa"/>
            <w:vMerge w:val="restart"/>
            <w:shd w:val="clear" w:color="auto" w:fill="BDD7EE"/>
            <w:vAlign w:val="center"/>
          </w:tcPr>
          <w:p w14:paraId="7E4E5DBD"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Calibri" w:hAnsi="Arial Narrow" w:cs="Calibri"/>
                <w:b/>
                <w:noProof/>
                <w:kern w:val="0"/>
                <w:sz w:val="14"/>
                <w:szCs w:val="14"/>
                <w:lang w:val="en-GB"/>
                <w14:ligatures w14:val="none"/>
              </w:rPr>
              <w:t>Responsibility for reporting and implementation</w:t>
            </w:r>
          </w:p>
        </w:tc>
        <w:tc>
          <w:tcPr>
            <w:tcW w:w="1276" w:type="dxa"/>
            <w:vMerge w:val="restart"/>
            <w:shd w:val="clear" w:color="auto" w:fill="BDD7EE"/>
            <w:vAlign w:val="center"/>
          </w:tcPr>
          <w:p w14:paraId="1F6F0E9A"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Calibri" w:hAnsi="Arial Narrow" w:cs="Calibri"/>
                <w:b/>
                <w:noProof/>
                <w:kern w:val="0"/>
                <w:sz w:val="14"/>
                <w:szCs w:val="14"/>
                <w:lang w:val="en-GB"/>
                <w14:ligatures w14:val="none"/>
              </w:rPr>
              <w:t>Further specification (if necessary)</w:t>
            </w:r>
          </w:p>
        </w:tc>
        <w:tc>
          <w:tcPr>
            <w:tcW w:w="2693" w:type="dxa"/>
            <w:vMerge w:val="restart"/>
            <w:shd w:val="clear" w:color="auto" w:fill="BDD7EE"/>
            <w:vAlign w:val="center"/>
          </w:tcPr>
          <w:p w14:paraId="028FF600" w14:textId="77777777" w:rsidR="00BA1475" w:rsidRPr="00BA1475" w:rsidRDefault="00BA1475" w:rsidP="00BA1475">
            <w:pPr>
              <w:spacing w:after="0" w:line="240" w:lineRule="auto"/>
              <w:jc w:val="center"/>
              <w:rPr>
                <w:rFonts w:ascii="Arial Narrow" w:eastAsia="Times New Roman" w:hAnsi="Arial Narrow" w:cs="Times New Roman"/>
                <w:b/>
                <w:noProof/>
                <w:kern w:val="0"/>
                <w:sz w:val="14"/>
                <w:szCs w:val="14"/>
                <w:lang w:val="en-GB"/>
                <w14:ligatures w14:val="none"/>
              </w:rPr>
            </w:pPr>
            <w:r w:rsidRPr="00BA1475">
              <w:rPr>
                <w:rFonts w:ascii="Arial Narrow" w:eastAsia="Calibri" w:hAnsi="Arial Narrow" w:cs="Calibri"/>
                <w:b/>
                <w:noProof/>
                <w:kern w:val="0"/>
                <w:sz w:val="14"/>
                <w:szCs w:val="14"/>
                <w:lang w:val="en-GB"/>
                <w14:ligatures w14:val="none"/>
              </w:rPr>
              <w:t>Verification mechanism</w:t>
            </w:r>
          </w:p>
        </w:tc>
        <w:tc>
          <w:tcPr>
            <w:tcW w:w="2444" w:type="dxa"/>
            <w:vMerge w:val="restart"/>
            <w:shd w:val="clear" w:color="auto" w:fill="BDD7EE"/>
            <w:vAlign w:val="center"/>
          </w:tcPr>
          <w:p w14:paraId="67DD1F7C" w14:textId="77777777" w:rsidR="00BA1475" w:rsidRPr="00BA1475" w:rsidRDefault="00BA1475" w:rsidP="00BA1475">
            <w:pPr>
              <w:spacing w:after="0" w:line="240" w:lineRule="auto"/>
              <w:jc w:val="center"/>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noProof/>
                <w:kern w:val="0"/>
                <w:sz w:val="14"/>
                <w:szCs w:val="14"/>
                <w:lang w:val="en-GB"/>
                <w14:ligatures w14:val="none"/>
              </w:rPr>
              <w:t>Description of each milestone and target</w:t>
            </w:r>
          </w:p>
        </w:tc>
      </w:tr>
      <w:tr w:rsidR="00B27E64" w:rsidRPr="00BA1475" w14:paraId="282B7B75" w14:textId="77777777" w:rsidTr="00B27E64">
        <w:trPr>
          <w:trHeight w:val="300"/>
          <w:tblHeader/>
          <w:jc w:val="center"/>
        </w:trPr>
        <w:tc>
          <w:tcPr>
            <w:tcW w:w="581" w:type="dxa"/>
            <w:vMerge/>
            <w:vAlign w:val="center"/>
          </w:tcPr>
          <w:p w14:paraId="11C3C839"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p>
        </w:tc>
        <w:tc>
          <w:tcPr>
            <w:tcW w:w="1297" w:type="dxa"/>
            <w:vMerge/>
            <w:vAlign w:val="center"/>
          </w:tcPr>
          <w:p w14:paraId="1EE4F133"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p>
        </w:tc>
        <w:tc>
          <w:tcPr>
            <w:tcW w:w="851" w:type="dxa"/>
            <w:vMerge/>
            <w:vAlign w:val="center"/>
          </w:tcPr>
          <w:p w14:paraId="5005F7BC"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p>
        </w:tc>
        <w:tc>
          <w:tcPr>
            <w:tcW w:w="1134" w:type="dxa"/>
            <w:vMerge/>
            <w:vAlign w:val="center"/>
          </w:tcPr>
          <w:p w14:paraId="0FFDC8B5"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p>
        </w:tc>
        <w:tc>
          <w:tcPr>
            <w:tcW w:w="1134" w:type="dxa"/>
            <w:vMerge/>
            <w:vAlign w:val="center"/>
          </w:tcPr>
          <w:p w14:paraId="16098054"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p>
        </w:tc>
        <w:tc>
          <w:tcPr>
            <w:tcW w:w="850" w:type="dxa"/>
            <w:shd w:val="clear" w:color="auto" w:fill="BDD7EE"/>
            <w:vAlign w:val="center"/>
          </w:tcPr>
          <w:p w14:paraId="058CCF51" w14:textId="77777777" w:rsidR="00BA1475" w:rsidRPr="00BA1475" w:rsidRDefault="00BA1475" w:rsidP="00BA1475">
            <w:pPr>
              <w:spacing w:after="0" w:line="240" w:lineRule="auto"/>
              <w:jc w:val="center"/>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bCs/>
                <w:noProof/>
                <w:kern w:val="0"/>
                <w:sz w:val="14"/>
                <w:szCs w:val="14"/>
                <w:lang w:val="en-GB"/>
                <w14:ligatures w14:val="none"/>
              </w:rPr>
              <w:t>Unit</w:t>
            </w:r>
          </w:p>
        </w:tc>
        <w:tc>
          <w:tcPr>
            <w:tcW w:w="709" w:type="dxa"/>
            <w:shd w:val="clear" w:color="auto" w:fill="BDD7EE"/>
            <w:vAlign w:val="center"/>
          </w:tcPr>
          <w:p w14:paraId="05F9FDC4" w14:textId="77777777" w:rsidR="00BA1475" w:rsidRPr="00BA1475" w:rsidRDefault="00BA1475" w:rsidP="00BA1475">
            <w:pPr>
              <w:spacing w:after="0" w:line="240" w:lineRule="auto"/>
              <w:rPr>
                <w:rFonts w:ascii="Arial Narrow" w:eastAsia="Times New Roman" w:hAnsi="Arial Narrow" w:cs="Times New Roman"/>
                <w:b/>
                <w:bCs/>
                <w:noProof/>
                <w:kern w:val="0"/>
                <w:sz w:val="14"/>
                <w:szCs w:val="14"/>
                <w:lang w:val="en-GB"/>
                <w14:ligatures w14:val="none"/>
              </w:rPr>
            </w:pPr>
            <w:r w:rsidRPr="00BA1475">
              <w:rPr>
                <w:rFonts w:ascii="Arial Narrow" w:eastAsia="Times New Roman" w:hAnsi="Arial Narrow" w:cs="Times New Roman"/>
                <w:b/>
                <w:bCs/>
                <w:noProof/>
                <w:kern w:val="0"/>
                <w:sz w:val="14"/>
                <w:szCs w:val="14"/>
                <w:lang w:val="en-GB"/>
                <w14:ligatures w14:val="none"/>
              </w:rPr>
              <w:t xml:space="preserve">Baseline </w:t>
            </w:r>
          </w:p>
        </w:tc>
        <w:tc>
          <w:tcPr>
            <w:tcW w:w="567" w:type="dxa"/>
            <w:shd w:val="clear" w:color="auto" w:fill="BDD7EE"/>
            <w:vAlign w:val="center"/>
          </w:tcPr>
          <w:p w14:paraId="6289098A"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bCs/>
                <w:noProof/>
                <w:kern w:val="0"/>
                <w:sz w:val="14"/>
                <w:szCs w:val="14"/>
                <w:lang w:val="en-GB"/>
                <w14:ligatures w14:val="none"/>
              </w:rPr>
              <w:t xml:space="preserve">Goal </w:t>
            </w:r>
          </w:p>
        </w:tc>
        <w:tc>
          <w:tcPr>
            <w:tcW w:w="425" w:type="dxa"/>
            <w:shd w:val="clear" w:color="auto" w:fill="BDD7EE"/>
            <w:vAlign w:val="center"/>
          </w:tcPr>
          <w:p w14:paraId="3E3FDBF5"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bCs/>
                <w:noProof/>
                <w:kern w:val="0"/>
                <w:sz w:val="14"/>
                <w:szCs w:val="14"/>
                <w:lang w:val="en-GB"/>
                <w14:ligatures w14:val="none"/>
              </w:rPr>
              <w:t>Q</w:t>
            </w:r>
            <w:r w:rsidRPr="00BA1475">
              <w:rPr>
                <w:rFonts w:ascii="Arial Narrow" w:eastAsia="Times New Roman" w:hAnsi="Arial Narrow" w:cs="Times New Roman"/>
                <w:noProof/>
                <w:kern w:val="0"/>
                <w:sz w:val="14"/>
                <w:szCs w:val="14"/>
                <w:lang w:val="en-GB"/>
                <w14:ligatures w14:val="none"/>
              </w:rPr>
              <w:t xml:space="preserve"> </w:t>
            </w:r>
          </w:p>
        </w:tc>
        <w:tc>
          <w:tcPr>
            <w:tcW w:w="567" w:type="dxa"/>
            <w:shd w:val="clear" w:color="auto" w:fill="BDD7EE"/>
            <w:vAlign w:val="center"/>
          </w:tcPr>
          <w:p w14:paraId="32E62444"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r w:rsidRPr="00BA1475">
              <w:rPr>
                <w:rFonts w:ascii="Arial Narrow" w:eastAsia="Times New Roman" w:hAnsi="Arial Narrow" w:cs="Times New Roman"/>
                <w:b/>
                <w:bCs/>
                <w:noProof/>
                <w:kern w:val="0"/>
                <w:sz w:val="14"/>
                <w:szCs w:val="14"/>
                <w:lang w:val="en-GB"/>
                <w14:ligatures w14:val="none"/>
              </w:rPr>
              <w:t>Year</w:t>
            </w:r>
            <w:r w:rsidRPr="00BA1475">
              <w:rPr>
                <w:rFonts w:ascii="Arial Narrow" w:eastAsia="Times New Roman" w:hAnsi="Arial Narrow" w:cs="Times New Roman"/>
                <w:noProof/>
                <w:kern w:val="0"/>
                <w:sz w:val="14"/>
                <w:szCs w:val="14"/>
                <w:lang w:val="en-GB"/>
                <w14:ligatures w14:val="none"/>
              </w:rPr>
              <w:t xml:space="preserve"> </w:t>
            </w:r>
          </w:p>
        </w:tc>
        <w:tc>
          <w:tcPr>
            <w:tcW w:w="1276" w:type="dxa"/>
            <w:vMerge/>
          </w:tcPr>
          <w:p w14:paraId="420A0B83"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p>
        </w:tc>
        <w:tc>
          <w:tcPr>
            <w:tcW w:w="1276" w:type="dxa"/>
            <w:vMerge/>
          </w:tcPr>
          <w:p w14:paraId="16686D05"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p>
        </w:tc>
        <w:tc>
          <w:tcPr>
            <w:tcW w:w="2693" w:type="dxa"/>
            <w:vMerge/>
          </w:tcPr>
          <w:p w14:paraId="3F2B16C8"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p>
        </w:tc>
        <w:tc>
          <w:tcPr>
            <w:tcW w:w="2444" w:type="dxa"/>
            <w:vMerge/>
            <w:vAlign w:val="center"/>
          </w:tcPr>
          <w:p w14:paraId="7315D8CF" w14:textId="77777777" w:rsidR="00BA1475" w:rsidRPr="00BA1475" w:rsidRDefault="00BA1475" w:rsidP="00BA1475">
            <w:pPr>
              <w:spacing w:after="0" w:line="240" w:lineRule="auto"/>
              <w:rPr>
                <w:rFonts w:ascii="Arial Narrow" w:eastAsia="Calibri" w:hAnsi="Arial Narrow" w:cs="Times New Roman"/>
                <w:noProof/>
                <w:kern w:val="0"/>
                <w:sz w:val="14"/>
                <w:szCs w:val="14"/>
                <w:lang w:val="en-GB"/>
                <w14:ligatures w14:val="none"/>
              </w:rPr>
            </w:pPr>
          </w:p>
        </w:tc>
      </w:tr>
      <w:tr w:rsidR="00B27E64" w:rsidRPr="00BA1475" w14:paraId="21BB6764"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272BED8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84</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5B442C75" w14:textId="77777777" w:rsidR="00BA1475" w:rsidRPr="00BA1475" w:rsidRDefault="00BA1475" w:rsidP="00BA1475">
            <w:pPr>
              <w:spacing w:after="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 xml:space="preserve">3.1.1.r. Administrative territorial reform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16A6B3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AA0916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a new “Municipality Law”</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CF6BD2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Entry into force of the new “Municipality Law”  </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70C3B63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F31700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6A2E0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189B94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B95AB4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2023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7D90F4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D2BBEA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423DFEC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w:t>
            </w:r>
            <w:r w:rsidRPr="00BA1475">
              <w:rPr>
                <w:rFonts w:ascii="Arial Narrow" w:eastAsia="Calibri" w:hAnsi="Arial Narrow" w:cs="Times New Roman"/>
                <w:noProof/>
                <w:kern w:val="0"/>
                <w:sz w:val="16"/>
                <w:szCs w:val="16"/>
                <w:lang w:val="en-GB"/>
                <w14:ligatures w14:val="none"/>
              </w:rPr>
              <w:t>Municipality</w:t>
            </w:r>
            <w:r w:rsidRPr="00BA1475">
              <w:rPr>
                <w:rFonts w:ascii="Arial Narrow" w:eastAsia="Calibri" w:hAnsi="Arial Narrow" w:cs="Calibri"/>
                <w:noProof/>
                <w:kern w:val="0"/>
                <w:sz w:val="16"/>
                <w:szCs w:val="16"/>
                <w:lang w:val="en-GB"/>
                <w14:ligatures w14:val="none"/>
              </w:rPr>
              <w:t xml:space="preserve"> law and a link to the publication in the Official Journal, including a reference to the provision indicating the entry into force, accompanied by a summary document duly justifying how the milestone was satisfactorily fulfilled, with appropriate links to the underlying evidence.</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5F64311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the “Municipality Law” which shall review the functions and tasks of local governments, to align them with the  outcome of the administrative territorial reform (replacing the Law on Local Government of 19.05.1994). It shall ensure improved governance after the administrative territorial reform of the municipalities, promoting democratisation and a clearer separation of the decision-making power from the executive, establishing a clear division of competences and functions, reducing the concentration of powers and increasing the participation of the local community on a regular basis.</w:t>
            </w:r>
          </w:p>
        </w:tc>
      </w:tr>
      <w:tr w:rsidR="00B27E64" w:rsidRPr="00BA1475" w14:paraId="22022922"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2D7A37B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85</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44B8B09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3.1.1.1.i. Improvement of the network of regional and local roads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C5B586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75B9FE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Renovated or rebuilt regional and local roads for the safe accessibility of the county </w:t>
            </w:r>
            <w:r w:rsidRPr="009C5ECA">
              <w:rPr>
                <w:rFonts w:ascii="Arial Narrow" w:eastAsia="Calibri" w:hAnsi="Arial Narrow" w:cs="Times New Roman"/>
                <w:noProof/>
                <w:kern w:val="0"/>
                <w:sz w:val="14"/>
                <w:szCs w:val="14"/>
                <w:lang w:val="en-GB"/>
                <w14:ligatures w14:val="none"/>
              </w:rPr>
              <w:t>administrative</w:t>
            </w:r>
            <w:r w:rsidRPr="00BA1475">
              <w:rPr>
                <w:rFonts w:ascii="Arial Narrow" w:eastAsia="Calibri" w:hAnsi="Arial Narrow" w:cs="Times New Roman"/>
                <w:noProof/>
                <w:kern w:val="0"/>
                <w:sz w:val="16"/>
                <w:szCs w:val="16"/>
                <w:lang w:val="en-GB"/>
                <w14:ligatures w14:val="none"/>
              </w:rPr>
              <w:t xml:space="preserve"> centres and their services and jobs and for the full functioning of the new municipalities.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11CF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350AF5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Km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96395E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C7B0EC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70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7F270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AD130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2022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65136B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Transport,</w:t>
            </w:r>
            <w:r w:rsidRPr="009C5ECA">
              <w:rPr>
                <w:rFonts w:ascii="Arial Narrow" w:eastAsia="Calibri" w:hAnsi="Arial Narrow" w:cs="Calibri"/>
                <w:noProof/>
                <w:kern w:val="0"/>
                <w:sz w:val="14"/>
                <w:szCs w:val="14"/>
                <w:lang w:val="en-GB"/>
                <w14:ligatures w14:val="none"/>
              </w:rPr>
              <w:t xml:space="preserve">State </w:t>
            </w:r>
            <w:r w:rsidRPr="00BA1475">
              <w:rPr>
                <w:rFonts w:ascii="Arial Narrow" w:eastAsia="Calibri" w:hAnsi="Arial Narrow" w:cs="Calibri"/>
                <w:noProof/>
                <w:kern w:val="0"/>
                <w:sz w:val="16"/>
                <w:szCs w:val="16"/>
                <w:lang w:val="en-GB"/>
                <w14:ligatures w14:val="none"/>
              </w:rPr>
              <w:t>Ltd. State Roads of Latvia, Ministry of Smart Administration and Regional Development, Planning Regions, Local Governments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4AE193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60B7A41"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target to renovate or rebuild 70 km of state regional and local roads (including all the constitutive elements) was satisfactorily fulfilled, with appropriate links to the underlying evidence.</w:t>
            </w:r>
          </w:p>
          <w:p w14:paraId="015DC67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05937536" w14:textId="77777777" w:rsidR="00BA1475" w:rsidRPr="00BA1475" w:rsidRDefault="00BA1475" w:rsidP="00BA1475">
            <w:pPr>
              <w:spacing w:after="0" w:line="240" w:lineRule="auto"/>
              <w:contextualSpacing/>
              <w:rPr>
                <w:rFonts w:ascii="Arial Narrow" w:eastAsia="Calibri" w:hAnsi="Arial Narrow" w:cs="Arial"/>
                <w:noProof/>
                <w:kern w:val="0"/>
                <w:sz w:val="16"/>
                <w:lang w:val="en-US"/>
                <w14:ligatures w14:val="none"/>
              </w:rPr>
            </w:pPr>
            <w:r w:rsidRPr="00BA1475">
              <w:rPr>
                <w:rFonts w:ascii="Arial Narrow" w:eastAsia="Arial Narrow" w:hAnsi="Arial Narrow" w:cs="Arial Narrow"/>
                <w:noProof/>
                <w:kern w:val="0"/>
                <w:sz w:val="16"/>
                <w:szCs w:val="16"/>
                <w14:ligatures w14:val="none"/>
              </w:rPr>
              <w:t>a) the list of projects and for each of them:  - a brief description including on</w:t>
            </w:r>
            <w:r w:rsidRPr="00BA1475">
              <w:rPr>
                <w:rFonts w:ascii="Arial Narrow" w:eastAsia="Calibri" w:hAnsi="Arial Narrow" w:cs="Times New Roman"/>
                <w:noProof/>
                <w:kern w:val="0"/>
                <w:sz w:val="16"/>
                <w:szCs w:val="16"/>
                <w:lang w:val="en-GB"/>
                <w14:ligatures w14:val="none"/>
              </w:rPr>
              <w:t xml:space="preserve"> the accessibility to the administrative centres of the counties and their services and jobs and for the full functioning of the relevant municipalities</w:t>
            </w:r>
            <w:r w:rsidRPr="00BA1475">
              <w:rPr>
                <w:rFonts w:ascii="Arial Narrow" w:eastAsia="Arial Narrow" w:hAnsi="Arial Narrow" w:cs="Arial Narrow"/>
                <w:noProof/>
                <w:kern w:val="0"/>
                <w:sz w:val="16"/>
                <w:szCs w:val="16"/>
                <w14:ligatures w14:val="none"/>
              </w:rPr>
              <w:t>;</w:t>
            </w:r>
          </w:p>
          <w:p w14:paraId="0504520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 - </w:t>
            </w:r>
            <w:r w:rsidRPr="00BA1475">
              <w:rPr>
                <w:rFonts w:ascii="Arial Narrow" w:eastAsia="Calibri" w:hAnsi="Arial Narrow" w:cs="Calibri"/>
                <w:noProof/>
                <w:kern w:val="0"/>
                <w:sz w:val="16"/>
                <w:szCs w:val="16"/>
                <w:lang w:val="en-GB"/>
                <w14:ligatures w14:val="none"/>
              </w:rPr>
              <w:t>their length in km and nature (renovation or new construction), proof that each project is operational.</w:t>
            </w:r>
            <w:r w:rsidRPr="00BA1475">
              <w:rPr>
                <w:rFonts w:ascii="Arial Narrow" w:eastAsia="Arial Narrow" w:hAnsi="Arial Narrow" w:cs="Arial Narrow"/>
                <w:noProof/>
                <w:kern w:val="0"/>
                <w:sz w:val="16"/>
                <w:szCs w:val="16"/>
                <w14:ligatures w14:val="none"/>
              </w:rPr>
              <w:t xml:space="preserve"> </w:t>
            </w:r>
          </w:p>
          <w:p w14:paraId="11CB27AC" w14:textId="77777777" w:rsidR="00BA1475" w:rsidRPr="00BA1475" w:rsidRDefault="00BA1475" w:rsidP="00BA1475">
            <w:pPr>
              <w:spacing w:after="0" w:line="240" w:lineRule="auto"/>
              <w:ind w:left="31"/>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b) a copy of the certificate of completion of 70 km of renovated or rebuilt roads including </w:t>
            </w:r>
            <w:r w:rsidRPr="00BA1475">
              <w:rPr>
                <w:rFonts w:ascii="Arial Narrow" w:eastAsia="Calibri" w:hAnsi="Arial Narrow" w:cs="Calibri"/>
                <w:noProof/>
                <w:kern w:val="0"/>
                <w:sz w:val="16"/>
                <w:szCs w:val="16"/>
                <w:lang w:val="en-GB"/>
                <w14:ligatures w14:val="none"/>
              </w:rPr>
              <w:t xml:space="preserve">documents on. acceptance-transfer act or other opinion on completed works on the road section concerned, issued in accordance with national legislation; </w:t>
            </w:r>
          </w:p>
          <w:p w14:paraId="39BDBF3D" w14:textId="77777777" w:rsidR="00BA1475" w:rsidRPr="00BA1475" w:rsidRDefault="00BA1475" w:rsidP="00BA1475">
            <w:pPr>
              <w:spacing w:after="0" w:line="240" w:lineRule="auto"/>
              <w:ind w:left="31"/>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c) the reference to the regional and local roads and location where the project is implemented; </w:t>
            </w:r>
          </w:p>
          <w:p w14:paraId="3F5E4FB1" w14:textId="77777777" w:rsidR="00BA1475" w:rsidRPr="00BA1475" w:rsidRDefault="00BA1475" w:rsidP="00BA1475">
            <w:pPr>
              <w:spacing w:after="0" w:line="240" w:lineRule="auto"/>
              <w:ind w:left="31"/>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d) evidence that the roads are on a priority list of the Ministry of Environmental Protection and Regional Development.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20240C8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state regional and local roads have been renovated or rebuilt for the accessibility to the administrative centres of the counties and their services and jobs and for the full functioning of the new municipalities. Road construction works shall involve investments that improve road safety.</w:t>
            </w:r>
          </w:p>
        </w:tc>
      </w:tr>
      <w:tr w:rsidR="00B27E64" w:rsidRPr="00BA1475" w14:paraId="4759B3B7"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47F0C1C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86</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7A4629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3.1.1.1.i. Improvement of the network of regional and local roads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0B1629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0211DA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Renovated or rebuilt regional and local roads for the safe accessibility of the county </w:t>
            </w:r>
            <w:r w:rsidRPr="009C5ECA">
              <w:rPr>
                <w:rFonts w:ascii="Arial Narrow" w:eastAsia="Calibri" w:hAnsi="Arial Narrow" w:cs="Times New Roman"/>
                <w:noProof/>
                <w:kern w:val="0"/>
                <w:sz w:val="14"/>
                <w:szCs w:val="14"/>
                <w:lang w:val="en-GB"/>
                <w14:ligatures w14:val="none"/>
              </w:rPr>
              <w:t>administrative</w:t>
            </w:r>
            <w:r w:rsidRPr="00BA1475">
              <w:rPr>
                <w:rFonts w:ascii="Arial Narrow" w:eastAsia="Calibri" w:hAnsi="Arial Narrow" w:cs="Times New Roman"/>
                <w:noProof/>
                <w:kern w:val="0"/>
                <w:sz w:val="16"/>
                <w:szCs w:val="16"/>
                <w:lang w:val="en-GB"/>
                <w14:ligatures w14:val="none"/>
              </w:rPr>
              <w:t xml:space="preserve"> centres and their services and jobs and for the full functioning of the new municipalities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7AF91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 /A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5B3B3E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Km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A08EA1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70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3309AA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210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14E7A61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5DCB31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2024 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ECFBCF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Transport, State Ltd. State Roads of Latvia, Ministry of  Smart Administration and Regional Development,, Planning Regions, Local Governments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292403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FB6D6C0"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target to renovate or rebuild 210 km of state regional and local roads (including all the constitutive elements) was satisfactorily fulfilled, with appropriate links to the underlying evidence.</w:t>
            </w:r>
          </w:p>
          <w:p w14:paraId="745949E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20743D8B" w14:textId="77777777" w:rsidR="00BA1475" w:rsidRPr="00BA1475" w:rsidRDefault="00BA1475" w:rsidP="00BA1475">
            <w:pPr>
              <w:spacing w:after="0" w:line="240" w:lineRule="auto"/>
              <w:ind w:left="39"/>
              <w:contextualSpacing/>
              <w:rPr>
                <w:rFonts w:ascii="Arial Narrow" w:eastAsia="Calibri" w:hAnsi="Arial Narrow" w:cs="Calibri"/>
                <w:noProof/>
                <w:kern w:val="0"/>
                <w:sz w:val="16"/>
                <w:szCs w:val="16"/>
                <w:lang w:val="en-US"/>
                <w14:ligatures w14:val="none"/>
              </w:rPr>
            </w:pPr>
            <w:r w:rsidRPr="00BA1475">
              <w:rPr>
                <w:rFonts w:ascii="Arial Narrow" w:eastAsia="Arial Narrow" w:hAnsi="Arial Narrow" w:cs="Arial Narrow"/>
                <w:noProof/>
                <w:kern w:val="0"/>
                <w:sz w:val="16"/>
                <w:szCs w:val="16"/>
                <w14:ligatures w14:val="none"/>
              </w:rPr>
              <w:t xml:space="preserve">a) the list of projects and for each of them: </w:t>
            </w:r>
          </w:p>
          <w:p w14:paraId="2669BA4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a brief description including on</w:t>
            </w:r>
            <w:r w:rsidRPr="00BA1475">
              <w:rPr>
                <w:rFonts w:ascii="Arial Narrow" w:eastAsia="Calibri" w:hAnsi="Arial Narrow" w:cs="Times New Roman"/>
                <w:noProof/>
                <w:kern w:val="0"/>
                <w:sz w:val="16"/>
                <w:szCs w:val="16"/>
                <w:lang w:val="en-GB"/>
                <w14:ligatures w14:val="none"/>
              </w:rPr>
              <w:t xml:space="preserve"> the accessibility to the administrative centres of the counties and their services and jobs and for the full functioning of the relevant municipalities</w:t>
            </w:r>
            <w:r w:rsidRPr="00BA1475">
              <w:rPr>
                <w:rFonts w:ascii="Arial Narrow" w:eastAsia="Arial Narrow" w:hAnsi="Arial Narrow" w:cs="Arial Narrow"/>
                <w:noProof/>
                <w:kern w:val="0"/>
                <w:sz w:val="16"/>
                <w:szCs w:val="16"/>
                <w14:ligatures w14:val="none"/>
              </w:rPr>
              <w:t>;</w:t>
            </w:r>
          </w:p>
          <w:p w14:paraId="411B821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 - </w:t>
            </w:r>
            <w:r w:rsidRPr="00BA1475">
              <w:rPr>
                <w:rFonts w:ascii="Arial Narrow" w:eastAsia="Calibri" w:hAnsi="Arial Narrow" w:cs="Calibri"/>
                <w:noProof/>
                <w:kern w:val="0"/>
                <w:sz w:val="16"/>
                <w:szCs w:val="16"/>
                <w:lang w:val="en-GB"/>
                <w14:ligatures w14:val="none"/>
              </w:rPr>
              <w:t>their length in km and nature (renovation or new construction), proof that each project is operational.</w:t>
            </w:r>
            <w:r w:rsidRPr="00BA1475">
              <w:rPr>
                <w:rFonts w:ascii="Arial Narrow" w:eastAsia="Arial Narrow" w:hAnsi="Arial Narrow" w:cs="Arial Narrow"/>
                <w:noProof/>
                <w:kern w:val="0"/>
                <w:sz w:val="16"/>
                <w:szCs w:val="16"/>
                <w14:ligatures w14:val="none"/>
              </w:rPr>
              <w:t xml:space="preserve"> </w:t>
            </w:r>
          </w:p>
          <w:p w14:paraId="575A9FD2" w14:textId="77777777" w:rsidR="00BA1475" w:rsidRPr="00BA1475" w:rsidRDefault="00BA1475" w:rsidP="00BA1475">
            <w:pPr>
              <w:spacing w:after="0" w:line="240" w:lineRule="auto"/>
              <w:ind w:left="31"/>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b) a copy of the certificate of completion of 210 km of renovated or rebuilt roads including </w:t>
            </w:r>
            <w:r w:rsidRPr="00BA1475">
              <w:rPr>
                <w:rFonts w:ascii="Arial Narrow" w:eastAsia="Calibri" w:hAnsi="Arial Narrow" w:cs="Calibri"/>
                <w:noProof/>
                <w:kern w:val="0"/>
                <w:sz w:val="16"/>
                <w:szCs w:val="16"/>
                <w:lang w:val="en-GB"/>
                <w14:ligatures w14:val="none"/>
              </w:rPr>
              <w:t>documents on. acceptance-transfer act or other opinion on completed works on the road section concerned, issued in accordance with national legislation.</w:t>
            </w:r>
          </w:p>
          <w:p w14:paraId="4AB2119B" w14:textId="77777777" w:rsidR="00BA1475" w:rsidRPr="00BA1475" w:rsidRDefault="00BA1475" w:rsidP="00BA1475">
            <w:pPr>
              <w:spacing w:after="0" w:line="240" w:lineRule="auto"/>
              <w:ind w:left="31"/>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c) the reference to the regional and local roads and location where the project is implemented, </w:t>
            </w:r>
          </w:p>
          <w:p w14:paraId="2C5A4ABD" w14:textId="77777777" w:rsidR="00BA1475" w:rsidRPr="00BA1475" w:rsidRDefault="00BA1475" w:rsidP="00BA1475">
            <w:pPr>
              <w:spacing w:after="0" w:line="240" w:lineRule="auto"/>
              <w:ind w:left="31"/>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 d) evidence that the roads are on a priority list of the Ministry of Environmental Protection and Regional Development.</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1EF20FE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state regional and local roads have been renovated or rebuilt for the accessibility to the administrative centres of the counties and their services and jobs and for the full functioning of the new municipalities. Road construction works shall involve investments that improve road safety.</w:t>
            </w:r>
            <w:r w:rsidRPr="00BA1475">
              <w:rPr>
                <w:rFonts w:ascii="Arial Narrow" w:eastAsia="Calibri" w:hAnsi="Arial Narrow" w:cs="Times New Roman"/>
                <w:noProof/>
                <w:kern w:val="0"/>
                <w:sz w:val="16"/>
                <w:szCs w:val="16"/>
                <w14:ligatures w14:val="none"/>
              </w:rPr>
              <w:t xml:space="preserve"> </w:t>
            </w:r>
          </w:p>
        </w:tc>
      </w:tr>
      <w:tr w:rsidR="00B27E64" w:rsidRPr="00BA1475" w14:paraId="7D3B8053"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57504B4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89</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3E6577F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3.1.1.2.i. Strengthening the capacity of municipalities to improve the efficiency and quality of their operations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5B7A13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0B058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legal basis for implementing support for capacity building of local governments has been adopted</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848B5A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Regulations of the Cabinet of Ministers have been adopted</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686EB37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9E6FC9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D74D25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5B566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B33170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2022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2086F7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8AA14D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4FEE03F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R</w:t>
            </w:r>
            <w:r w:rsidRPr="00BA1475">
              <w:rPr>
                <w:rFonts w:ascii="Arial Narrow" w:eastAsia="Calibri" w:hAnsi="Arial Narrow" w:cs="Times New Roman"/>
                <w:noProof/>
                <w:kern w:val="0"/>
                <w:sz w:val="16"/>
                <w:szCs w:val="16"/>
                <w:lang w:val="en-GB"/>
                <w14:ligatures w14:val="none"/>
              </w:rPr>
              <w:t>egulations of the Cabinet of Ministers</w:t>
            </w:r>
            <w:r w:rsidRPr="00BA1475">
              <w:rPr>
                <w:rFonts w:ascii="Arial Narrow" w:eastAsia="Calibri" w:hAnsi="Arial Narrow" w:cs="Calibri"/>
                <w:noProof/>
                <w:kern w:val="0"/>
                <w:sz w:val="16"/>
                <w:szCs w:val="16"/>
                <w:lang w:val="en-GB"/>
                <w14:ligatures w14:val="none"/>
              </w:rPr>
              <w:t xml:space="preserve"> and a link to the publication in the Official Journal, including a reference to the provision indicating the entry into force, accompanied by a summary document duly justifying how the milestone was satisfactorily fulfilled, with appropriate links to the underlying evidence.</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791B5B11"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Cabinet Regulations have been adopted for the implementation of support for capacity building of local governments, including:</w:t>
            </w:r>
          </w:p>
          <w:p w14:paraId="2981A5CB"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xml:space="preserve">(a) defining the scope and parameters of the capacity building actions in the municipalities; </w:t>
            </w:r>
          </w:p>
          <w:p w14:paraId="6DC23815"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(b) municipal public service assessments;</w:t>
            </w:r>
            <w:r w:rsidRPr="00BA1475">
              <w:rPr>
                <w:rFonts w:ascii="Arial Narrow" w:eastAsia="Calibri" w:hAnsi="Arial Narrow" w:cs="Times New Roman"/>
                <w:noProof/>
                <w:kern w:val="0"/>
                <w:sz w:val="16"/>
                <w:szCs w:val="16"/>
                <w14:ligatures w14:val="none"/>
              </w:rPr>
              <w:t xml:space="preserve"> </w:t>
            </w:r>
          </w:p>
          <w:p w14:paraId="4EEE6794"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(c) provision of methodological support and capacity-building;</w:t>
            </w:r>
            <w:r w:rsidRPr="00BA1475">
              <w:rPr>
                <w:rFonts w:ascii="Arial Narrow" w:eastAsia="Calibri" w:hAnsi="Arial Narrow" w:cs="Times New Roman"/>
                <w:noProof/>
                <w:kern w:val="0"/>
                <w:sz w:val="16"/>
                <w:szCs w:val="16"/>
                <w14:ligatures w14:val="none"/>
              </w:rPr>
              <w:t xml:space="preserve"> </w:t>
            </w:r>
          </w:p>
          <w:p w14:paraId="2B086C9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 piloting ways of planning and providing municipal public services.</w:t>
            </w:r>
            <w:r w:rsidRPr="00BA1475">
              <w:rPr>
                <w:rFonts w:ascii="Arial Narrow" w:eastAsia="Calibri" w:hAnsi="Arial Narrow" w:cs="Times New Roman"/>
                <w:noProof/>
                <w:kern w:val="0"/>
                <w:sz w:val="16"/>
                <w:szCs w:val="16"/>
                <w14:ligatures w14:val="none"/>
              </w:rPr>
              <w:t xml:space="preserve"> </w:t>
            </w:r>
          </w:p>
        </w:tc>
      </w:tr>
      <w:tr w:rsidR="00B27E64" w:rsidRPr="00BA1475" w14:paraId="002258D1"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6EB6E05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90</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78C8807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3.1.1.2.i. Strengthening the capacity of municipalities to improve the efficiency and quality of their operations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EF5CEA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70643D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Completion of the assessment of local government public services, identifying shortcomings and measures to improve them</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664B6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Completion of  assessment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20CCF0B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13C3A8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E9F46C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F6A4CF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C17FE1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2024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F7CA2E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 and Regional Development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B83831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F48E226"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A summary document du</w:t>
            </w:r>
            <w:r w:rsidRPr="00BA1475">
              <w:rPr>
                <w:rFonts w:ascii="Arial Narrow" w:eastAsia="Arial Narrow" w:hAnsi="Arial Narrow" w:cs="Arial Narrow"/>
                <w:noProof/>
                <w:kern w:val="0"/>
                <w:sz w:val="16"/>
                <w:szCs w:val="16"/>
                <w14:ligatures w14:val="none"/>
              </w:rPr>
              <w:t xml:space="preserve">ly justifying how the milestone (including all the constitutive elements) was satisfactorily fulfilled, with appropriate links to the underlying evidence. </w:t>
            </w:r>
          </w:p>
          <w:p w14:paraId="7A1888A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a copy of the completed report assessing the efficiency of the provision of </w:t>
            </w:r>
            <w:r w:rsidRPr="00BA1475">
              <w:rPr>
                <w:rFonts w:ascii="Arial Narrow" w:eastAsia="Calibri" w:hAnsi="Arial Narrow" w:cs="Times New Roman"/>
                <w:noProof/>
                <w:kern w:val="0"/>
                <w:sz w:val="16"/>
                <w:szCs w:val="16"/>
                <w:lang w:val="en-GB"/>
                <w14:ligatures w14:val="none"/>
              </w:rPr>
              <w:t>local government public services and identifying shortcomings and measures to improve them.</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1A3F0E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Completion of the assessment of the efficiency of the provision of local government public services in accordance with the provisions of the Cabinet of Ministers Regulations on Implementation of Local Government Capacity Building Support.</w:t>
            </w:r>
            <w:r w:rsidRPr="00BA1475">
              <w:rPr>
                <w:rFonts w:ascii="Arial Narrow" w:eastAsia="Calibri" w:hAnsi="Arial Narrow" w:cs="Times New Roman"/>
                <w:noProof/>
                <w:kern w:val="0"/>
                <w:sz w:val="16"/>
                <w:szCs w:val="16"/>
                <w14:ligatures w14:val="none"/>
              </w:rPr>
              <w:t xml:space="preserve"> </w:t>
            </w:r>
          </w:p>
        </w:tc>
      </w:tr>
      <w:tr w:rsidR="00B27E64" w:rsidRPr="00BA1475" w14:paraId="55428E12"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40B6013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91</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2159C37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3.1.1.2.i. Strengthening the capacity of municipalities to improve the efficiency and quality of their operations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BADB48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1F4882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local government employees trained</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D16F39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348CAC8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3C3460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56260F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750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6A2EEF8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5A8A57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2024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1E0139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 and Regional Development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C5BF6B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F13F404"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target (including all the constitutive elements) was satisfactorily fulfilled, with appropriate links to the underlying evidence.</w:t>
            </w:r>
          </w:p>
          <w:p w14:paraId="0B84FFC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0854D288" w14:textId="77777777" w:rsidR="00BA1475" w:rsidRPr="00BA1475" w:rsidRDefault="00BA1475" w:rsidP="00BA1475">
            <w:pPr>
              <w:spacing w:after="0" w:line="240" w:lineRule="auto"/>
              <w:rPr>
                <w:rFonts w:ascii="Arial Narrow" w:eastAsia="MS Mincho" w:hAnsi="Arial Narrow" w:cs="Arial"/>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w:t>
            </w:r>
            <w:r w:rsidRPr="00BA1475">
              <w:rPr>
                <w:rFonts w:ascii="Arial Narrow" w:eastAsia="MS Mincho" w:hAnsi="Arial Narrow" w:cs="Arial"/>
                <w:noProof/>
                <w:kern w:val="0"/>
                <w:sz w:val="16"/>
                <w:szCs w:val="16"/>
                <w14:ligatures w14:val="none"/>
              </w:rPr>
              <w:t xml:space="preserve">an anonymised list of local government employees trained in at least one of the training programmes, including unique identifier of the government employees enrolled in training actions and the references of issued certificates or other documents indicating completion of training action, ensuring the characteristics of the training relevant for verifying compliance with the description of the target; </w:t>
            </w:r>
          </w:p>
          <w:p w14:paraId="391D5418"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MS Mincho" w:hAnsi="Arial Narrow" w:cs="Arial"/>
                <w:noProof/>
                <w:kern w:val="0"/>
                <w:sz w:val="16"/>
                <w:szCs w:val="16"/>
                <w14:ligatures w14:val="none"/>
              </w:rPr>
              <w:t>b) the type of training provided to 750 government employees, with a description of its content and how th</w:t>
            </w:r>
            <w:r w:rsidRPr="00BA1475">
              <w:rPr>
                <w:rFonts w:ascii="Arial Narrow" w:eastAsia="Arial Narrow" w:hAnsi="Arial Narrow" w:cs="Arial Narrow"/>
                <w:noProof/>
                <w:kern w:val="0"/>
                <w:sz w:val="16"/>
                <w:szCs w:val="16"/>
                <w14:ligatures w14:val="none"/>
              </w:rPr>
              <w:t xml:space="preserve">e knowledge and qualifications of government employees have been improved, based on an assessment of municipal specialists conducted by the relevant ministry; </w:t>
            </w:r>
          </w:p>
          <w:p w14:paraId="352FE866" w14:textId="77777777" w:rsidR="00BA1475" w:rsidRPr="00BA1475" w:rsidRDefault="00BA1475" w:rsidP="00BA1475">
            <w:pPr>
              <w:spacing w:after="0" w:line="240" w:lineRule="auto"/>
              <w:rPr>
                <w:rFonts w:ascii="Arial Narrow" w:eastAsia="Arial Narrow" w:hAnsi="Arial Narrow" w:cs="Arial Narrow"/>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 report on the </w:t>
            </w:r>
            <w:r w:rsidRPr="00BA1475">
              <w:rPr>
                <w:rFonts w:ascii="Arial Narrow" w:eastAsia="Calibri" w:hAnsi="Arial Narrow" w:cs="Times New Roman"/>
                <w:noProof/>
                <w:kern w:val="0"/>
                <w:sz w:val="16"/>
                <w:szCs w:val="16"/>
                <w:lang w:val="en-GB"/>
                <w14:ligatures w14:val="none"/>
              </w:rPr>
              <w:t>methodological support provided to work in municipalities following the administrative territorial reform.</w:t>
            </w:r>
            <w:r w:rsidRPr="00BA1475" w:rsidDel="00A56F34">
              <w:rPr>
                <w:rFonts w:ascii="Arial Narrow" w:eastAsia="Calibri" w:hAnsi="Arial Narrow" w:cs="Calibri"/>
                <w:noProof/>
                <w:kern w:val="0"/>
                <w:sz w:val="16"/>
                <w:szCs w:val="16"/>
                <w:lang w:val="en-GB"/>
                <w14:ligatures w14:val="none"/>
              </w:rPr>
              <w:t xml:space="preserve">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09F3561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local government employees trained, improving their knowledge and qualifications, methodological support provided to work in municipalities following the administrative territorial reform. </w:t>
            </w:r>
          </w:p>
          <w:p w14:paraId="573988D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training and other capacity building measures have been carried out on the basis of an assessment of  services and local government capacity.</w:t>
            </w:r>
            <w:r w:rsidRPr="00BA1475">
              <w:rPr>
                <w:rFonts w:ascii="Arial Narrow" w:eastAsia="Calibri" w:hAnsi="Arial Narrow" w:cs="Times New Roman"/>
                <w:noProof/>
                <w:kern w:val="0"/>
                <w:sz w:val="16"/>
                <w:szCs w:val="16"/>
                <w14:ligatures w14:val="none"/>
              </w:rPr>
              <w:t xml:space="preserve"> </w:t>
            </w:r>
          </w:p>
        </w:tc>
      </w:tr>
      <w:tr w:rsidR="00B27E64" w:rsidRPr="00BA1475" w14:paraId="44FA0593"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755121B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92</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4486D61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Times New Roman" w:eastAsia="Calibri" w:hAnsi="Times New Roman" w:cs="Times New Roman"/>
                <w:b/>
                <w:bCs/>
                <w:noProof/>
                <w:kern w:val="0"/>
                <w:sz w:val="16"/>
                <w:szCs w:val="16"/>
                <w:lang w:val="en-GB"/>
                <w14:ligatures w14:val="none"/>
              </w:rPr>
              <w:t>3.1.1.2.i. Strengthening the capacity of municipalities to improve the efficiency and quality of their operations</w:t>
            </w:r>
            <w:r w:rsidRPr="00BA1475">
              <w:rPr>
                <w:rFonts w:ascii="Times New Roman" w:eastAsia="Calibri" w:hAnsi="Times New Roman"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3CF6F1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Times New Roman" w:eastAsia="Calibri" w:hAnsi="Times New Roman"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7E5BD8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Times New Roman" w:eastAsia="Calibri" w:hAnsi="Times New Roman" w:cs="Times New Roman"/>
                <w:noProof/>
                <w:kern w:val="0"/>
                <w:sz w:val="16"/>
                <w:szCs w:val="16"/>
                <w:lang w:val="en-GB"/>
                <w14:ligatures w14:val="none"/>
              </w:rPr>
              <w:t>Number of local government employees trained</w:t>
            </w:r>
            <w:r w:rsidRPr="00BA1475">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3A53E7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Times New Roman" w:eastAsia="Calibri" w:hAnsi="Times New Roman"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0559FADB" w14:textId="77777777" w:rsidR="00BA1475" w:rsidRPr="00B27E64" w:rsidRDefault="00BA1475" w:rsidP="00BA1475">
            <w:pPr>
              <w:spacing w:after="0" w:line="240" w:lineRule="auto"/>
              <w:rPr>
                <w:rFonts w:ascii="Arial Narrow" w:eastAsia="Calibri" w:hAnsi="Arial Narrow" w:cs="Times New Roman"/>
                <w:noProof/>
                <w:kern w:val="0"/>
                <w:sz w:val="14"/>
                <w:szCs w:val="14"/>
                <w:lang w:val="en-GB"/>
                <w14:ligatures w14:val="none"/>
              </w:rPr>
            </w:pPr>
            <w:r w:rsidRPr="00B27E64">
              <w:rPr>
                <w:rFonts w:ascii="Times New Roman" w:eastAsia="Calibri" w:hAnsi="Times New Roman" w:cs="Times New Roman"/>
                <w:noProof/>
                <w:kern w:val="0"/>
                <w:sz w:val="14"/>
                <w:szCs w:val="14"/>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7F949B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Times New Roman" w:eastAsia="Calibri" w:hAnsi="Times New Roman" w:cs="Times New Roman"/>
                <w:noProof/>
                <w:kern w:val="0"/>
                <w:sz w:val="16"/>
                <w:szCs w:val="16"/>
                <w:lang w:val="en-GB"/>
                <w14:ligatures w14:val="none"/>
              </w:rPr>
              <w:t xml:space="preserve">750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18D1CF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Times New Roman" w:eastAsia="Calibri" w:hAnsi="Times New Roman" w:cs="Times New Roman"/>
                <w:noProof/>
                <w:kern w:val="0"/>
                <w:sz w:val="16"/>
                <w:szCs w:val="16"/>
                <w:lang w:val="en-GB"/>
                <w14:ligatures w14:val="none"/>
              </w:rPr>
              <w:t xml:space="preserve">1300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D9CE76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Times New Roman" w:eastAsia="Calibri" w:hAnsi="Times New Roman" w:cs="Times New Roman"/>
                <w:noProof/>
                <w:kern w:val="0"/>
                <w:sz w:val="16"/>
                <w:szCs w:val="16"/>
                <w:lang w:val="en-GB"/>
                <w14:ligatures w14:val="none"/>
              </w:rPr>
              <w:t xml:space="preserve">Q3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76632B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Times New Roman" w:eastAsia="Calibri" w:hAnsi="Times New Roman" w:cs="Times New Roman"/>
                <w:noProof/>
                <w:kern w:val="0"/>
                <w:sz w:val="16"/>
                <w:szCs w:val="16"/>
                <w:lang w:val="en-GB"/>
                <w14:ligatures w14:val="none"/>
              </w:rPr>
              <w:t xml:space="preserve">2026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6B33C8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 and Regional Development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5255E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5B01091"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target (including all the constitutive elements) was satisfactorily fulfilled, with appropriate links to the underlying evidence.</w:t>
            </w:r>
          </w:p>
          <w:p w14:paraId="1E783BF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05A1D398"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w:t>
            </w:r>
            <w:r w:rsidRPr="00BA1475">
              <w:rPr>
                <w:rFonts w:ascii="Arial Narrow" w:eastAsia="MS Mincho" w:hAnsi="Arial Narrow" w:cs="Arial"/>
                <w:noProof/>
                <w:kern w:val="0"/>
                <w:sz w:val="16"/>
                <w:szCs w:val="16"/>
                <w14:ligatures w14:val="none"/>
              </w:rPr>
              <w:t>an anonymised list of local government employees trained in at least one of the training programmes (in addition to those reported under Target 91), including unique identifier of the government employees enrolled in training actions and the references of issued certificates or other documents indicating completion of training action, ensuring the characteristics of the training relevant for verifying compliance with the description of the target</w:t>
            </w:r>
            <w:r w:rsidRPr="00BA1475">
              <w:rPr>
                <w:rFonts w:ascii="Arial Narrow" w:eastAsia="Arial Narrow" w:hAnsi="Arial Narrow" w:cs="Arial Narrow"/>
                <w:noProof/>
                <w:kern w:val="0"/>
                <w:sz w:val="16"/>
                <w:szCs w:val="16"/>
                <w14:ligatures w14:val="none"/>
              </w:rPr>
              <w:t>;</w:t>
            </w:r>
          </w:p>
          <w:p w14:paraId="2C3F25AB"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b) the type of training provided to 1300 government employees, with a description of its content and  how the knowledge and qualifications of government employees have been improved, based on an assessment of municipal specialists conducted by the relevant ministry;</w:t>
            </w:r>
          </w:p>
          <w:p w14:paraId="0D94D47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 report on the </w:t>
            </w:r>
            <w:r w:rsidRPr="00BA1475">
              <w:rPr>
                <w:rFonts w:ascii="Arial Narrow" w:eastAsia="Calibri" w:hAnsi="Arial Narrow" w:cs="Times New Roman"/>
                <w:noProof/>
                <w:kern w:val="0"/>
                <w:sz w:val="16"/>
                <w:szCs w:val="16"/>
                <w:lang w:val="en-GB"/>
                <w14:ligatures w14:val="none"/>
              </w:rPr>
              <w:t>methodological support provided to work in municipalities following the administrative territorial reform.</w:t>
            </w:r>
            <w:r w:rsidRPr="00BA1475">
              <w:rPr>
                <w:rFonts w:ascii="Arial Narrow" w:eastAsia="Calibri" w:hAnsi="Arial Narrow" w:cs="Calibri"/>
                <w:noProof/>
                <w:kern w:val="0"/>
                <w:sz w:val="16"/>
                <w:szCs w:val="16"/>
                <w:lang w:val="en-GB"/>
                <w14:ligatures w14:val="none"/>
              </w:rPr>
              <w:t xml:space="preserve">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21A857D7"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local government employees trained, improving their knowledge and qualifications, methodological support provided to work in municipalities following the administrative territorial reform. </w:t>
            </w:r>
          </w:p>
          <w:p w14:paraId="523E8ED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Training and other capacity building measures have been carried out on the basis of an assessment of services and local government capacity.</w:t>
            </w:r>
          </w:p>
        </w:tc>
      </w:tr>
      <w:tr w:rsidR="00B27E64" w:rsidRPr="00BA1475" w14:paraId="5E440E0C"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46B4B8D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93</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1E23BAD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3.1.1.3.i. Investments in business public infrastructure for the development of industrial parks and areas in regions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BC2ABE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64AB8A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of a support programme for the development of industrial parks and territories in the regions </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B9ACDCA"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Cabinet Regulations and coordinated aid programme adopted</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4CD5802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5A2DDE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4275FB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35902BA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6E676C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2022 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267D8D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 Ministry of Economics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4F5444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304A4CA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A copy of the Regulations of the Cabinet of Ministers </w:t>
            </w:r>
            <w:r w:rsidRPr="00BA1475">
              <w:rPr>
                <w:rFonts w:ascii="Arial Narrow" w:eastAsia="Calibri" w:hAnsi="Arial Narrow" w:cs="Calibri"/>
                <w:noProof/>
                <w:kern w:val="0"/>
                <w:sz w:val="16"/>
                <w:szCs w:val="16"/>
                <w:lang w:val="en-GB"/>
                <w14:ligatures w14:val="none"/>
              </w:rPr>
              <w:t xml:space="preserve">and a link to the publication in the Official Journal, including a reference to the provision indicating the entry into force, as well as a copy of </w:t>
            </w:r>
            <w:r w:rsidRPr="00BA1475">
              <w:rPr>
                <w:rFonts w:ascii="Arial Narrow" w:eastAsia="Arial Narrow" w:hAnsi="Arial Narrow" w:cs="Arial Narrow"/>
                <w:noProof/>
                <w:kern w:val="0"/>
                <w:sz w:val="16"/>
                <w:szCs w:val="16"/>
                <w14:ligatures w14:val="none"/>
              </w:rPr>
              <w:t xml:space="preserve">a </w:t>
            </w:r>
            <w:r w:rsidRPr="00BA1475">
              <w:rPr>
                <w:rFonts w:ascii="Arial Narrow" w:eastAsia="Calibri" w:hAnsi="Arial Narrow" w:cs="Times New Roman"/>
                <w:noProof/>
                <w:kern w:val="0"/>
                <w:sz w:val="16"/>
                <w:szCs w:val="16"/>
                <w:lang w:val="en-GB"/>
                <w14:ligatures w14:val="none"/>
              </w:rPr>
              <w:t>support programme for the development of industrial parks and territories in the regions</w:t>
            </w:r>
            <w:r w:rsidRPr="00BA1475">
              <w:rPr>
                <w:rFonts w:ascii="Arial Narrow" w:eastAsia="Calibri" w:hAnsi="Arial Narrow" w:cs="Calibri"/>
                <w:noProof/>
                <w:kern w:val="0"/>
                <w:sz w:val="16"/>
                <w:szCs w:val="16"/>
                <w:lang w:val="en-GB"/>
                <w14:ligatures w14:val="none"/>
              </w:rPr>
              <w:t>, accompanied by a summary document duly justifying how the milestone was satisfactorily fulfilled, with appropriate links to the underlying evidence.</w:t>
            </w:r>
          </w:p>
          <w:p w14:paraId="2D6AF41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sidDel="4A96C94F">
              <w:rPr>
                <w:rFonts w:ascii="Arial Narrow" w:eastAsia="Calibri" w:hAnsi="Arial Narrow" w:cs="Calibri"/>
                <w:noProof/>
                <w:kern w:val="0"/>
                <w:sz w:val="16"/>
                <w:szCs w:val="16"/>
                <w:lang w:val="en-GB"/>
                <w14:ligatures w14:val="none"/>
              </w:rPr>
              <w:t>The summary document shall include evidence on</w:t>
            </w:r>
            <w:r w:rsidRPr="00BA1475" w:rsidDel="69055986">
              <w:rPr>
                <w:rFonts w:ascii="Arial Narrow" w:eastAsia="Calibri" w:hAnsi="Arial Narrow" w:cs="Calibri"/>
                <w:noProof/>
                <w:kern w:val="0"/>
                <w:sz w:val="16"/>
                <w:szCs w:val="16"/>
                <w:lang w:val="en-GB"/>
                <w14:ligatures w14:val="none"/>
              </w:rPr>
              <w:t xml:space="preserve"> t</w:t>
            </w:r>
            <w:r w:rsidRPr="00BA1475" w:rsidDel="16F05A99">
              <w:rPr>
                <w:rFonts w:ascii="Arial Narrow" w:eastAsia="Calibri" w:hAnsi="Arial Narrow" w:cs="Times New Roman"/>
                <w:noProof/>
                <w:kern w:val="0"/>
                <w:sz w:val="16"/>
                <w:szCs w:val="16"/>
                <w:lang w:val="en-GB"/>
                <w14:ligatures w14:val="none"/>
              </w:rPr>
              <w:t>he selection criteria for the provision of aid to ind</w:t>
            </w:r>
            <w:r w:rsidRPr="00BA1475" w:rsidDel="2138DB05">
              <w:rPr>
                <w:rFonts w:ascii="Arial Narrow" w:eastAsia="Calibri" w:hAnsi="Arial Narrow" w:cs="Times New Roman"/>
                <w:noProof/>
                <w:kern w:val="0"/>
                <w:sz w:val="16"/>
                <w:szCs w:val="16"/>
                <w:lang w:val="en-GB"/>
                <w14:ligatures w14:val="none"/>
              </w:rPr>
              <w:t xml:space="preserve">ustrial areas </w:t>
            </w:r>
            <w:r w:rsidRPr="00BA1475" w:rsidDel="7DE44622">
              <w:rPr>
                <w:rFonts w:ascii="Arial Narrow" w:eastAsia="Calibri" w:hAnsi="Arial Narrow" w:cs="Times New Roman"/>
                <w:noProof/>
                <w:kern w:val="0"/>
                <w:sz w:val="16"/>
                <w:szCs w:val="16"/>
                <w:lang w:val="en-GB"/>
                <w14:ligatures w14:val="none"/>
              </w:rPr>
              <w:t>and explanation how the criteria en</w:t>
            </w:r>
            <w:r w:rsidRPr="00BA1475" w:rsidDel="16F05A99">
              <w:rPr>
                <w:rFonts w:ascii="Arial Narrow" w:eastAsia="Calibri" w:hAnsi="Arial Narrow" w:cs="Times New Roman"/>
                <w:noProof/>
                <w:kern w:val="0"/>
                <w:sz w:val="16"/>
                <w:szCs w:val="16"/>
                <w:lang w:val="en-GB"/>
                <w14:ligatures w14:val="none"/>
              </w:rPr>
              <w:t>sure t</w:t>
            </w:r>
            <w:r w:rsidRPr="00BA1475" w:rsidDel="0B1DA766">
              <w:rPr>
                <w:rFonts w:ascii="Arial Narrow" w:eastAsia="Calibri" w:hAnsi="Arial Narrow" w:cs="Times New Roman"/>
                <w:noProof/>
                <w:kern w:val="0"/>
                <w:sz w:val="16"/>
                <w:szCs w:val="16"/>
                <w:lang w:val="en-GB"/>
                <w14:ligatures w14:val="none"/>
              </w:rPr>
              <w:t xml:space="preserve">he </w:t>
            </w:r>
            <w:r w:rsidRPr="00BA1475">
              <w:rPr>
                <w:rFonts w:ascii="Arial Narrow" w:eastAsia="Calibri" w:hAnsi="Arial Narrow" w:cs="Times New Roman"/>
                <w:noProof/>
                <w:kern w:val="0"/>
                <w:sz w:val="16"/>
                <w:szCs w:val="16"/>
                <w:lang w:val="en-GB"/>
                <w14:ligatures w14:val="none"/>
              </w:rPr>
              <w:t>compliance</w:t>
            </w:r>
            <w:r w:rsidRPr="00BA1475" w:rsidDel="0B1DA766">
              <w:rPr>
                <w:rFonts w:ascii="Arial Narrow" w:eastAsia="Calibri" w:hAnsi="Arial Narrow" w:cs="Times New Roman"/>
                <w:noProof/>
                <w:kern w:val="0"/>
                <w:sz w:val="16"/>
                <w:szCs w:val="16"/>
                <w:lang w:val="en-GB"/>
                <w14:ligatures w14:val="none"/>
              </w:rPr>
              <w:t xml:space="preserve"> of the </w:t>
            </w:r>
            <w:r w:rsidRPr="00BA1475" w:rsidDel="16F05A99">
              <w:rPr>
                <w:rFonts w:ascii="Arial Narrow" w:eastAsia="Calibri" w:hAnsi="Arial Narrow" w:cs="Times New Roman"/>
                <w:noProof/>
                <w:kern w:val="0"/>
                <w:sz w:val="16"/>
                <w:szCs w:val="16"/>
                <w:lang w:val="en-GB"/>
                <w14:ligatures w14:val="none"/>
              </w:rPr>
              <w:t xml:space="preserve">selected projects with the ‘Do no significant harm’ Technical Guidance (2021/C58/01) </w:t>
            </w:r>
            <w:r w:rsidRPr="00BA1475" w:rsidDel="7115547F">
              <w:rPr>
                <w:rFonts w:ascii="Arial Narrow" w:eastAsia="Arial Narrow" w:hAnsi="Arial Narrow" w:cs="Arial Narrow"/>
                <w:noProof/>
                <w:kern w:val="0"/>
                <w:sz w:val="16"/>
                <w:szCs w:val="16"/>
                <w14:ligatures w14:val="none"/>
              </w:rPr>
              <w:t>as specified in the CID Annex</w:t>
            </w:r>
            <w:r w:rsidRPr="00BA1475" w:rsidDel="16F05A99">
              <w:rPr>
                <w:rFonts w:ascii="Arial Narrow" w:eastAsia="Calibri" w:hAnsi="Arial Narrow" w:cs="Times New Roman"/>
                <w:noProof/>
                <w:kern w:val="0"/>
                <w:sz w:val="16"/>
                <w:szCs w:val="16"/>
                <w:lang w:val="en-GB"/>
                <w14:ligatures w14:val="none"/>
              </w:rPr>
              <w:t xml:space="preserve"> and the requirement of compliance with the relevant EU and national environmental legislation</w:t>
            </w:r>
            <w:r w:rsidRPr="00BA1475">
              <w:rPr>
                <w:rFonts w:ascii="Arial Narrow" w:eastAsia="Calibri" w:hAnsi="Arial Narrow" w:cs="Times New Roman"/>
                <w:noProof/>
                <w:kern w:val="0"/>
                <w:sz w:val="16"/>
                <w:szCs w:val="16"/>
                <w:lang w:val="en-GB"/>
                <w14:ligatures w14:val="none"/>
              </w:rPr>
              <w:t>.</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7B21E46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Regulations of the Cabinet of Ministers laying down the conditions and criteria for the provision of aid to industrial areas have been drawn up and adopted. The selection criteria shall ensure that the selected projects comply with the ‘Do no significant harm’ Technical Guidance (2021/C58/01) through the use of an exclusion list and the requirement of compliance with the relevant EU and national environmental legislation.</w:t>
            </w:r>
          </w:p>
        </w:tc>
      </w:tr>
      <w:tr w:rsidR="00B27E64" w:rsidRPr="00BA1475" w14:paraId="2D54900F"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73DBB8E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94</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4F5147E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3.1.1.3.i. Investments in business public infrastructure for the development of industrial parks and areas in regions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C3FC4E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570B76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Award of contracts for the development of industrial parks in the regions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039490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Award of contracts for the projects’ implementation</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70B3847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1EE54F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F3DC84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038B85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3B03A63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2023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60C3498"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 Ministry of Economics, Central Finance and Contracting Agency</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D4A6FE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5BB4C697"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milestone (including all the constitutive elements) was satisfactorily fulfilled, with appropriate links to the underlying evidence.</w:t>
            </w:r>
          </w:p>
          <w:p w14:paraId="4133737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a list of the publications of the awards </w:t>
            </w:r>
            <w:r w:rsidRPr="00BA1475">
              <w:rPr>
                <w:rFonts w:ascii="Arial Narrow" w:eastAsia="Calibri" w:hAnsi="Arial Narrow" w:cs="Times New Roman"/>
                <w:noProof/>
                <w:kern w:val="0"/>
                <w:sz w:val="16"/>
                <w:szCs w:val="16"/>
                <w:lang w:val="en-GB"/>
                <w14:ligatures w14:val="none"/>
              </w:rPr>
              <w:t xml:space="preserve">of contracts for the development of industrial park </w:t>
            </w:r>
            <w:r w:rsidRPr="00BA1475">
              <w:rPr>
                <w:rFonts w:ascii="Arial Narrow" w:eastAsia="Arial Narrow" w:hAnsi="Arial Narrow" w:cs="Arial Narrow"/>
                <w:noProof/>
                <w:kern w:val="0"/>
                <w:sz w:val="16"/>
                <w:szCs w:val="16"/>
                <w14:ligatures w14:val="none"/>
              </w:rPr>
              <w:t>indicating for each of the awards:</w:t>
            </w:r>
          </w:p>
          <w:p w14:paraId="6DE233B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a) the reference and link of the Official Journal or data base (e.g. Cohesion Policy Funds Management Information System) where the award has been published; </w:t>
            </w:r>
          </w:p>
          <w:p w14:paraId="19E6BAE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b) extract of the relevant parts of the tender specifications of the call proving alignment with the description of the target and investment in the CID; </w:t>
            </w:r>
          </w:p>
          <w:p w14:paraId="439C745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c) </w:t>
            </w:r>
            <w:r w:rsidRPr="00BA1475">
              <w:rPr>
                <w:rFonts w:ascii="Arial Narrow" w:eastAsia="Calibri" w:hAnsi="Arial Narrow" w:cs="Times New Roman"/>
                <w:noProof/>
                <w:kern w:val="0"/>
                <w:sz w:val="16"/>
                <w:szCs w:val="16"/>
                <w:lang w:val="en-GB"/>
                <w14:ligatures w14:val="none"/>
              </w:rPr>
              <w:t xml:space="preserve">explanation how the criteria ensure the compliance of the selected projects with the ‘Do no significant harm’ Technical Guidance (2021/C58/01) </w:t>
            </w:r>
            <w:r w:rsidRPr="00BA1475">
              <w:rPr>
                <w:rFonts w:ascii="Arial Narrow" w:eastAsia="Arial Narrow" w:hAnsi="Arial Narrow" w:cs="Arial Narrow"/>
                <w:noProof/>
                <w:kern w:val="0"/>
                <w:sz w:val="16"/>
                <w:szCs w:val="16"/>
                <w14:ligatures w14:val="none"/>
              </w:rPr>
              <w:t>as specified in the CID Annex</w:t>
            </w:r>
            <w:r w:rsidRPr="00BA1475">
              <w:rPr>
                <w:rFonts w:ascii="Arial Narrow" w:eastAsia="Calibri" w:hAnsi="Arial Narrow" w:cs="Times New Roman"/>
                <w:noProof/>
                <w:kern w:val="0"/>
                <w:sz w:val="16"/>
                <w:szCs w:val="16"/>
                <w:lang w:val="en-GB"/>
                <w14:ligatures w14:val="none"/>
              </w:rPr>
              <w:t xml:space="preserve"> and the requirement of compliance with the relevant EU and national environmental legislation.</w:t>
            </w:r>
          </w:p>
          <w:p w14:paraId="64286B0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p w14:paraId="7D9EA63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In the cases of ETS installations, this document shall contain the following information: </w:t>
            </w:r>
          </w:p>
          <w:p w14:paraId="4A5B481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1) Installation ID/Aircraft Operator ID in the European Union Transaction Log (EUTL) as established by Art. 5 of the Commission Regulation (EU) 389/2013; </w:t>
            </w:r>
          </w:p>
          <w:p w14:paraId="2AE8CE7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2) The projected level of GHG emissions per unit of product for awarded projects with activities under the EU ETS; </w:t>
            </w:r>
          </w:p>
          <w:p w14:paraId="404511E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3) Brief description of the project and technologies used.</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34CCBBF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Award of contracts for the development of industrial parks in the regions to private or public sector beneficiaries who have developed an industrial park development strategy or business plan. The selection criteria shall ensure that the selected projects comply with the ‘Do no significant harm’ Technical Guidance (2021/C58/01) through the use of an exclusion list and the requirement of compliance with the relevant EU and national environmental legislation.</w:t>
            </w:r>
          </w:p>
        </w:tc>
      </w:tr>
      <w:tr w:rsidR="00B27E64" w:rsidRPr="00BA1475" w14:paraId="306ECC11"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20275D4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95</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2133224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3.1.1.3.i. Investments in business public infrastructure for the development of industrial parks and areas in regions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1B5AB7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7FF99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Letters of intent/contracts concluded</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5976F1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2D8CF58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3B537A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A23FCA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4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41A11C8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CCFB91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2025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7FD5A1D"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bookmarkStart w:id="9" w:name="_Hlk89434687"/>
            <w:r w:rsidRPr="00BA1475">
              <w:rPr>
                <w:rFonts w:ascii="Arial Narrow" w:eastAsia="Calibri" w:hAnsi="Arial Narrow" w:cs="Calibri"/>
                <w:noProof/>
                <w:kern w:val="0"/>
                <w:sz w:val="16"/>
                <w:szCs w:val="16"/>
                <w:lang w:val="en-GB"/>
                <w14:ligatures w14:val="none"/>
              </w:rPr>
              <w:t>Municipalities of Ministry of Smart Administration and Regional Development</w:t>
            </w:r>
            <w:bookmarkEnd w:id="9"/>
            <w:r w:rsidRPr="00BA1475">
              <w:rPr>
                <w:rFonts w:ascii="Arial Narrow" w:eastAsia="Calibri" w:hAnsi="Arial Narrow" w:cs="Calibri"/>
                <w:noProof/>
                <w:kern w:val="0"/>
                <w:sz w:val="16"/>
                <w:szCs w:val="16"/>
                <w:lang w:val="en-GB"/>
                <w14:ligatures w14:val="none"/>
              </w:rPr>
              <w:t>, Ministry of Economics, Investment and Development Agency of Latvia, Central Finance and Contracting Agency</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D76D67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30D609B"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target (including all the constitutive elements) was satisfactorily fulfilled, with appropriate links to the underlying evidence. </w:t>
            </w:r>
          </w:p>
          <w:p w14:paraId="033FCC9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41986BC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a) a copy of the f</w:t>
            </w:r>
            <w:r w:rsidRPr="00BA1475">
              <w:rPr>
                <w:rFonts w:ascii="Arial Narrow" w:eastAsia="Calibri" w:hAnsi="Arial Narrow" w:cs="Times New Roman"/>
                <w:noProof/>
                <w:kern w:val="0"/>
                <w:sz w:val="16"/>
                <w:szCs w:val="16"/>
                <w:lang w:val="en-GB"/>
                <w14:ligatures w14:val="none"/>
              </w:rPr>
              <w:t xml:space="preserve">our letters of intent/contracts signed with internationally recognised industrial park operators and/or potential investors to carry out non-financial investments of at least EUR 85 741 349; </w:t>
            </w:r>
          </w:p>
          <w:p w14:paraId="0F6AE67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b) an extract of the official documents containing the selection criteria that ensure compliance with the ‘Do no significant harm’ Technical Guidance (2021/C58/01), as specified in the CID Annex </w:t>
            </w:r>
            <w:r w:rsidRPr="00BA1475">
              <w:rPr>
                <w:rFonts w:ascii="Arial Narrow" w:eastAsia="Calibri" w:hAnsi="Arial Narrow" w:cs="Times New Roman"/>
                <w:noProof/>
                <w:kern w:val="0"/>
                <w:sz w:val="16"/>
                <w:szCs w:val="16"/>
                <w:lang w:val="en-GB"/>
                <w14:ligatures w14:val="none"/>
              </w:rPr>
              <w:t>and the requirement of compliance with the relevant EU and national environmental legislation.</w:t>
            </w:r>
          </w:p>
          <w:p w14:paraId="13175C4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p w14:paraId="023C313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In the cases of ETS installations, this document shall contain the following information: </w:t>
            </w:r>
          </w:p>
          <w:p w14:paraId="5A37E20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1) Installation ID/Aircraft Operator ID in the European Union Transaction Log (EUTL) as established by Art. 5 of the Commission Regulation (EU) 389/2013; </w:t>
            </w:r>
          </w:p>
          <w:p w14:paraId="2CE69CA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2) The projected level of GHG emissions per unit of product for awarded projects with activities under the EU ETS; </w:t>
            </w:r>
          </w:p>
          <w:p w14:paraId="2614A46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3) Brief description of the project and technologies used.</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00F41FA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At least four letters of intent/contracts signed with internationally recognised industrial park operators and/or potential investors by attracting/carrying out non-financial investments of at least EUR 85 741 349.  The selection criteria shall ensure that the selected projects comply with the ‘Do no significant harm’ Technical Guidance (2021/C58/01) through the use of an exclusion list and the requirement of compliance with the relevant EU and national environmental legislation.</w:t>
            </w:r>
          </w:p>
        </w:tc>
      </w:tr>
      <w:tr w:rsidR="00B27E64" w:rsidRPr="00BA1475" w14:paraId="227BBE97"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25977AD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96</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3F4FBD0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3.1.1.3.i. Investments in business public infrastructure for the development of industrial parks and areas in regions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141C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B9C507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Construction completed of industrial parks/territories where public infrastructure is developed in the regions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6C7D3C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B13438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D1205D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7767EE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4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67EFBC3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31532D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2025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F4C7BA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 Ministry of Economics, Central Finance and Contracting Agency, municipalities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42FD6B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3A4DBED1"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target (including all the constitutive elements) was satisfactorily fulfilled, with appropriate links to the underlying evidence. </w:t>
            </w:r>
          </w:p>
          <w:p w14:paraId="539E2D91"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7647051D"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w:t>
            </w:r>
            <w:r w:rsidRPr="00BA1475">
              <w:rPr>
                <w:rFonts w:ascii="Arial Narrow" w:eastAsia="Arial Narrow" w:hAnsi="Arial Narrow" w:cs="Arial Narrow"/>
                <w:noProof/>
                <w:kern w:val="0"/>
                <w:sz w:val="16"/>
                <w:szCs w:val="16"/>
                <w:lang w:val="en-GB"/>
                <w14:ligatures w14:val="none"/>
              </w:rPr>
              <w:t>copies of the ‘Certificates of readiness for operation of engineering construction or building’ (in LV in the Construction Information System (BIS): ‘Apliecinājums par inženierbūves   gatavību ekspluatācijai’ or ‘Apliecinājums par ēkas vai tās daļas gatavību ekspluatācijā’</w:t>
            </w:r>
            <w:bookmarkStart w:id="10" w:name="_Hlk87515215"/>
            <w:r w:rsidRPr="00BA1475">
              <w:rPr>
                <w:rFonts w:ascii="Arial Narrow" w:eastAsia="Arial Narrow" w:hAnsi="Arial Narrow" w:cs="Arial Narrow"/>
                <w:noProof/>
                <w:kern w:val="0"/>
                <w:sz w:val="16"/>
                <w:szCs w:val="16"/>
                <w14:ligatures w14:val="none"/>
              </w:rPr>
              <w:t xml:space="preserve"> signed by the contracting authority </w:t>
            </w:r>
            <w:r w:rsidRPr="00BA1475">
              <w:rPr>
                <w:rFonts w:ascii="Arial Narrow" w:eastAsia="Arial Narrow" w:hAnsi="Arial Narrow" w:cs="Arial Narrow"/>
                <w:noProof/>
                <w:kern w:val="0"/>
                <w:sz w:val="16"/>
                <w:szCs w:val="16"/>
                <w:lang w:val="en-GB"/>
                <w14:ligatures w14:val="none"/>
              </w:rPr>
              <w:t>(project promoter, construction initiator), construction contractor, responsible construction manager, construction supervisor (if supervision was carried out), and author supervisor (if author supervision was carried out),</w:t>
            </w:r>
            <w:r w:rsidRPr="00BA1475">
              <w:rPr>
                <w:rFonts w:ascii="Arial Narrow" w:eastAsia="Arial Narrow" w:hAnsi="Arial Narrow" w:cs="Arial Narrow"/>
                <w:noProof/>
                <w:kern w:val="0"/>
                <w:sz w:val="16"/>
                <w:szCs w:val="16"/>
                <w14:ligatures w14:val="none"/>
              </w:rPr>
              <w:t xml:space="preserve"> indicating performed works and date of actual completion of at least </w:t>
            </w:r>
            <w:r w:rsidRPr="00BA1475">
              <w:rPr>
                <w:rFonts w:ascii="Arial Narrow" w:eastAsia="Calibri" w:hAnsi="Arial Narrow" w:cs="Times New Roman"/>
                <w:noProof/>
                <w:kern w:val="0"/>
                <w:sz w:val="16"/>
                <w:szCs w:val="16"/>
                <w:lang w:val="en-GB"/>
                <w14:ligatures w14:val="none"/>
              </w:rPr>
              <w:t>four national industrial parks/territories</w:t>
            </w:r>
            <w:r w:rsidRPr="00BA1475">
              <w:rPr>
                <w:rFonts w:ascii="Arial Narrow" w:eastAsia="Arial Narrow" w:hAnsi="Arial Narrow" w:cs="Arial Narrow"/>
                <w:noProof/>
                <w:kern w:val="0"/>
                <w:sz w:val="16"/>
                <w:szCs w:val="16"/>
                <w14:ligatures w14:val="none"/>
              </w:rPr>
              <w:t>,.</w:t>
            </w:r>
          </w:p>
          <w:bookmarkEnd w:id="10"/>
          <w:p w14:paraId="1D9C29E4"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b) the name, the location, a brief description of the intervention in accordance with the CID Annex; </w:t>
            </w:r>
          </w:p>
          <w:p w14:paraId="0AFFC92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c)  list ofcompanies/entities </w:t>
            </w:r>
            <w:r w:rsidRPr="00BA1475">
              <w:rPr>
                <w:rFonts w:ascii="Arial Narrow" w:eastAsia="Arial Narrow" w:hAnsi="Arial Narrow" w:cs="Arial Narrow"/>
                <w:noProof/>
                <w:kern w:val="0"/>
                <w:sz w:val="16"/>
                <w:szCs w:val="16"/>
                <w:lang w:val="en-GB"/>
                <w14:ligatures w14:val="none"/>
              </w:rPr>
              <w:t>(industrial park operators or private investors) already attracted in at least four national industrial parks/territories</w:t>
            </w:r>
            <w:r w:rsidRPr="00BA1475">
              <w:rPr>
                <w:rFonts w:ascii="Arial Narrow" w:eastAsia="Arial Narrow" w:hAnsi="Arial Narrow" w:cs="Arial Narrow"/>
                <w:noProof/>
                <w:kern w:val="0"/>
                <w:sz w:val="16"/>
                <w:szCs w:val="16"/>
                <w14:ligatures w14:val="none"/>
              </w:rPr>
              <w:t xml:space="preserve">d) extract of the relevant parts of the completed project specifications proving alignment with the description of the target and investment in the CID (e.g. </w:t>
            </w:r>
            <w:r w:rsidRPr="00BA1475">
              <w:rPr>
                <w:rFonts w:ascii="Arial Narrow" w:eastAsia="Calibri" w:hAnsi="Arial Narrow" w:cs="Times New Roman"/>
                <w:noProof/>
                <w:kern w:val="0"/>
                <w:sz w:val="16"/>
                <w:szCs w:val="16"/>
                <w:lang w:val="en-GB"/>
                <w14:ligatures w14:val="none"/>
              </w:rPr>
              <w:t>establishment of necessary industrial connections and increase of their related capacity (including heating, water and sewerage, electricity), renewal or installation of access roads near industrial areas, development of buildings for commercial purposes and their related infrastructure).</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11D48EE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Construction completed of at least four national industrial parks/territories, including establishment of necessary industrial connections and increase of their related capacity (including heating, water and sewerage, electricity), renewal or installation of access roads near industrial areas, as well as development of buildings for commercial purposes and their related infrastructure.</w:t>
            </w:r>
            <w:r w:rsidRPr="00BA1475">
              <w:rPr>
                <w:rFonts w:ascii="Arial Narrow" w:eastAsia="Calibri" w:hAnsi="Arial Narrow" w:cs="Times New Roman"/>
                <w:noProof/>
                <w:kern w:val="0"/>
                <w:sz w:val="16"/>
                <w:szCs w:val="16"/>
                <w14:ligatures w14:val="none"/>
              </w:rPr>
              <w:t xml:space="preserve"> </w:t>
            </w:r>
          </w:p>
        </w:tc>
      </w:tr>
      <w:tr w:rsidR="00B27E64" w:rsidRPr="00BA1475" w14:paraId="07525ECD"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004B6BF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97</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6878C22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3.1.1.3.i. Investments in business public infrastructure for the development of industrial parks and areas in regions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BBD6EE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D55154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Creation of new jobs in the industrial parks with average salaries above the average salary in the respective economic sector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41EDC0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ECB79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A4BDF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BD0655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328</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14CD43C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1ADFC7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ABB2C8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Adminsitration and Regional Development,, Ministry of Economics; Central Finance and Contracting Agency, municipalities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9A84C4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883F937"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target (including all the constitutive elements) was satisfactorily fulfilled, with appropriate links to the underlying evidence.</w:t>
            </w:r>
          </w:p>
          <w:p w14:paraId="79FCAB9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a single list of: </w:t>
            </w:r>
          </w:p>
          <w:p w14:paraId="6D5090F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a)</w:t>
            </w:r>
            <w:r w:rsidRPr="00BA1475">
              <w:rPr>
                <w:rFonts w:ascii="Arial Narrow" w:eastAsia="Calibri" w:hAnsi="Arial Narrow" w:cs="Times New Roman"/>
                <w:noProof/>
                <w:kern w:val="0"/>
                <w:sz w:val="16"/>
                <w:szCs w:val="16"/>
                <w:lang w:val="en-GB"/>
                <w14:ligatures w14:val="none"/>
              </w:rPr>
              <w:t xml:space="preserve"> published vacancy notices advertised to potential applicants by the industrial parks operator or private investor (including job descriptions and salary or salary range that is </w:t>
            </w:r>
            <w:r w:rsidRPr="00BA1475">
              <w:rPr>
                <w:rFonts w:ascii="Arial Narrow" w:eastAsia="Calibri" w:hAnsi="Arial Narrow" w:cs="Calibri"/>
                <w:noProof/>
                <w:kern w:val="0"/>
                <w:sz w:val="16"/>
                <w:szCs w:val="16"/>
                <w:lang w:val="en-GB"/>
                <w14:ligatures w14:val="none"/>
              </w:rPr>
              <w:t xml:space="preserve">above the average salary in the respective economic sector); </w:t>
            </w:r>
          </w:p>
          <w:p w14:paraId="46D5E8A3"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references of the signed contracts with unique identifier, as well as: title of the position; salary; date of conclusion of the contract with the employee</w:t>
            </w:r>
            <w:r w:rsidRPr="00BA1475">
              <w:rPr>
                <w:rFonts w:ascii="Arial Narrow" w:eastAsia="Calibri" w:hAnsi="Arial Narrow" w:cs="Arial"/>
                <w:noProof/>
                <w:kern w:val="0"/>
                <w:sz w:val="16"/>
                <w:szCs w:val="16"/>
                <w:lang w:val="en-GB"/>
                <w14:ligatures w14:val="none"/>
              </w:rPr>
              <w:t xml:space="preserve">. </w:t>
            </w:r>
          </w:p>
          <w:p w14:paraId="174A82C5"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208772F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Submission of a list of the jobs created by the park operators or private investors and salaries, certifying the creation of new jobs with salaries above average salaries in the respective economic sector.</w:t>
            </w:r>
          </w:p>
        </w:tc>
      </w:tr>
      <w:tr w:rsidR="00B27E64" w:rsidRPr="00BA1475" w14:paraId="3A0D350D"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7E0B959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98</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1D77C29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3.1.1.4.i. Establishing a financing fund for the construction of low-rent dwellings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671D06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754272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the law balancing the rights of tenants and landlords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26EDE0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the Rental Law of housing premises</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249A59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E6257E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DD37F7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45CE52A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745704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2021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DF1936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7B001E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5645B29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law and link of the publication in the Official Journal, including a reference to the provision indicating the entry into force, accompanied by a summary document and reference to the relevant provisions indicating entry into force and duly justifying how the milestone (including all the constitutive elements) was satisfactorily fulfilled, with appropriate links to the underlying evidence.</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4AE1231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Entry into force of a new legal framework for rents to ensure a fair balance between the interests of the tenant and the landlord and to speed up the resolution of disputes over the term of the rent and the settlement of rents, which is particularly important in order to promote the construction of renting housing and consequently to facilitate affordability of housing. </w:t>
            </w:r>
            <w:r w:rsidRPr="00BA1475">
              <w:rPr>
                <w:rFonts w:ascii="Arial Narrow" w:eastAsia="Calibri" w:hAnsi="Arial Narrow" w:cs="Times New Roman"/>
                <w:noProof/>
                <w:kern w:val="0"/>
                <w:sz w:val="16"/>
                <w:szCs w:val="16"/>
                <w14:ligatures w14:val="none"/>
              </w:rPr>
              <w:t xml:space="preserve"> </w:t>
            </w:r>
          </w:p>
        </w:tc>
      </w:tr>
      <w:tr w:rsidR="00B27E64" w:rsidRPr="00BA1475" w14:paraId="08FCC972"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27B916E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99</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02B16ED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3.1.1.4.i. Establishing a financing fund for the construction of low-rent dwellings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BF5374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95628C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of a  housing affordability </w:t>
            </w:r>
            <w:r w:rsidRPr="00BA1475">
              <w:rPr>
                <w:rFonts w:ascii="Arial Narrow" w:eastAsia="Calibri" w:hAnsi="Arial Narrow" w:cs="Times New Roman"/>
                <w:noProof/>
                <w:kern w:val="0"/>
                <w:sz w:val="16"/>
                <w:szCs w:val="16"/>
                <w14:ligatures w14:val="none"/>
              </w:rPr>
              <w:t>strategy</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966916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government has adopted housing, affordability strategy</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2EE466E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B4D2B0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A7957D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C2C470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9AC87B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2022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ADE701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27ECD3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25938CE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w:t>
            </w:r>
            <w:r w:rsidRPr="00BA1475">
              <w:rPr>
                <w:rFonts w:ascii="Arial Narrow" w:eastAsia="Calibri" w:hAnsi="Arial Narrow" w:cs="Times New Roman"/>
                <w:noProof/>
                <w:kern w:val="0"/>
                <w:sz w:val="16"/>
                <w:szCs w:val="16"/>
                <w:lang w:val="en-GB"/>
                <w14:ligatures w14:val="none"/>
              </w:rPr>
              <w:t xml:space="preserve">housing affordability </w:t>
            </w:r>
            <w:r w:rsidRPr="00BA1475">
              <w:rPr>
                <w:rFonts w:ascii="Arial Narrow" w:eastAsia="Calibri" w:hAnsi="Arial Narrow" w:cs="Times New Roman"/>
                <w:noProof/>
                <w:kern w:val="0"/>
                <w:sz w:val="16"/>
                <w:szCs w:val="16"/>
                <w14:ligatures w14:val="none"/>
              </w:rPr>
              <w:t>strategy</w:t>
            </w:r>
            <w:r w:rsidRPr="00BA1475">
              <w:rPr>
                <w:rFonts w:ascii="Arial Narrow" w:eastAsia="Calibri" w:hAnsi="Arial Narrow" w:cs="Calibri"/>
                <w:noProof/>
                <w:kern w:val="0"/>
                <w:sz w:val="16"/>
                <w:szCs w:val="16"/>
                <w:lang w:val="en-GB"/>
                <w14:ligatures w14:val="none"/>
              </w:rPr>
              <w:t xml:space="preserve"> and a link in the Official Journal, including a reference to the provision indicating the entry into force, accompanied by a summary document duly justifying how the milestone (including all the constitutive elements) was satisfactorily fulfilled, with appropriate links to the underlying evidence.</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289220B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housing affordability strategy shall include directions of action, policy indicators and set of tasks for promoting access to housing, providing solutions for providing housing affordability support to households of different types and income levels, including the lowest-income households, and that support mechanisms and regulations promote both the repair of the existing housing stock and the development of a new housing stock. </w:t>
            </w:r>
          </w:p>
        </w:tc>
      </w:tr>
      <w:tr w:rsidR="00B27E64" w:rsidRPr="00BA1475" w14:paraId="590B01F7"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64C8D52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100</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07A648F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3.1.1.4.i. Establishing a financing fund for the construction of low-rent dwellings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149A84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1C9C4B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Government regulation on the construction of low-rent dwellings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48CBCA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government regulation on construction of low-rent dwellings</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662D5B0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509327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CE2F2A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983B34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Q3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3C81971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2022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28D2CB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Altum</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CF90B2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492E74A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Regulation of the Cabinet of Ministers  and a link in the Official Journal, including a reference to the provision indicating the entry into force, accompanied by a summary document and reference to the relevant provisions indicating entry into force and duly justifying how the milestone (including all the constitutive elements) was satisfactorily fulfilled, with appropriate links to the underlying evidence.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163DB9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Regulation of the Cabinet of Ministers on the construction of low-rent dwellings has entered into force in order to define size, scope and type of support and criteria for beneficiaries.</w:t>
            </w:r>
          </w:p>
        </w:tc>
      </w:tr>
      <w:tr w:rsidR="00B27E64" w:rsidRPr="00BA1475" w14:paraId="27D87E91"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1657421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101</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2C8E37C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3.1.1.4.i. Establishing a financing fund for the construction of low-rent dwellings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6FEB09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3C8C4B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apartments within approved projects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82FFEC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444E88D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3E36FF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74A95B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300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35D8E0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71E7D8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2024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7C1AB5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Altum</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BD6C42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2930EC8F"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 xml:space="preserve">A summary document duly justifying how the target (including all the constitutive elements) was satisfactorily fulfilled, with appropriate links to the underlying evidence. </w:t>
            </w:r>
          </w:p>
          <w:p w14:paraId="54EFE751"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lang w:val="en-GB"/>
                <w14:ligatures w14:val="none"/>
              </w:rPr>
              <w:t>This document shall include as an annex a</w:t>
            </w:r>
            <w:r w:rsidRPr="00BA1475">
              <w:rPr>
                <w:rFonts w:ascii="Arial Narrow" w:eastAsia="Arial Narrow" w:hAnsi="Arial Narrow" w:cs="Arial Narrow"/>
                <w:noProof/>
                <w:kern w:val="0"/>
                <w:sz w:val="16"/>
                <w:szCs w:val="16"/>
                <w14:ligatures w14:val="none"/>
              </w:rPr>
              <w:t xml:space="preserve"> list of approved projects for 300 apartments and for each of the projects: </w:t>
            </w:r>
          </w:p>
          <w:p w14:paraId="1289DF34"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a brief description of the action proving alignment with the description of the target and investment in the CID;</w:t>
            </w:r>
          </w:p>
          <w:p w14:paraId="4E447A0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b) information on energy efficiency requirements and rent level confirming the fulfilment of the relevant elements of the milestone.</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340A117F"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funding shall have been approved by national development institution Altum for the projects of at least 300 apartments.</w:t>
            </w:r>
          </w:p>
          <w:p w14:paraId="014DFC6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As part of the approved projects, housing shall be provided for a low rent (indicatively, EUR 4.40/m²). The approved projects shall meet high quality requirements: (1) the building shall be a nearly zero-energy building; (2) Appropriate quality tests (acoustic measurements, building air permeability test) shall be carried out at the time of entry into service.</w:t>
            </w:r>
            <w:r w:rsidRPr="00BA1475">
              <w:rPr>
                <w:rFonts w:ascii="Arial Narrow" w:eastAsia="Calibri" w:hAnsi="Arial Narrow" w:cs="Times New Roman"/>
                <w:noProof/>
                <w:kern w:val="0"/>
                <w:sz w:val="16"/>
                <w:szCs w:val="16"/>
                <w14:ligatures w14:val="none"/>
              </w:rPr>
              <w:t xml:space="preserve"> </w:t>
            </w:r>
          </w:p>
        </w:tc>
      </w:tr>
      <w:tr w:rsidR="00B27E64" w:rsidRPr="00BA1475" w14:paraId="62BA7BF4"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377C4C4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102</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36872FB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3.1.1.4.i. Establishing a financing fund for the construction of low-rent dwellings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B3DB76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9B1A7F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apartments within approved projects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F845A9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394E3E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1F79E2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300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37A654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467</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98D2AD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Q3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7B15B3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2026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A05100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Altum</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F453F4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6E9952FE"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 xml:space="preserve"> A summary document duly justifying how the target (including all the constitutive elements) was satisfactorily fulfilled, with appropriate links to the underlying evidence. </w:t>
            </w:r>
          </w:p>
          <w:p w14:paraId="0B11D010"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lang w:val="en-GB"/>
                <w14:ligatures w14:val="none"/>
              </w:rPr>
              <w:t>This document shall include as an annex a</w:t>
            </w:r>
            <w:r w:rsidRPr="00BA1475">
              <w:rPr>
                <w:rFonts w:ascii="Arial Narrow" w:eastAsia="Arial Narrow" w:hAnsi="Arial Narrow" w:cs="Arial Narrow"/>
                <w:noProof/>
                <w:kern w:val="0"/>
                <w:sz w:val="16"/>
                <w:szCs w:val="16"/>
                <w14:ligatures w14:val="none"/>
              </w:rPr>
              <w:t xml:space="preserve"> list of approved projects for apartments in addition to those in Target 101, and for each of the projects: </w:t>
            </w:r>
          </w:p>
          <w:p w14:paraId="4567BDF8"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a brief description of the action proving alignment with the description of the target and investment in the CID, </w:t>
            </w:r>
          </w:p>
          <w:p w14:paraId="37EFA9DD"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b) information on energy efficiency requirements and rent level confirming the fulfilment of the relevant elements of the milestone.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005443CD"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funding shall have been approved by national development institution Altum for the projects of at least 467 apartments.</w:t>
            </w:r>
          </w:p>
          <w:p w14:paraId="3BB9D202"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As part of the approved projects, housing shall be provided for a low rent (indicatively, EUR 4.40/m²). The approved projects shall meet high quality requirements: (1) the building shall be a nearly zero-energy building; (2) appropriate quality tests (acoustic measurements, building air permeability test) shall be carried out at the time of entry into service.</w:t>
            </w:r>
          </w:p>
        </w:tc>
      </w:tr>
      <w:tr w:rsidR="00B27E64" w:rsidRPr="00BA1475" w14:paraId="177CCDA2"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2732371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103</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4C77C24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3.1.1.4.i. Establishing a financing fund for the construction of low-rent dwellings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964C04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930931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apartments built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787E7D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33D71BE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E56F25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89BE9F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300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06C8ED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Q3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FAF9DB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2026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F42AC1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Altum</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BD06E6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562952C4"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target (including all the constitutive elements) was satisfactorily fulfilled, with appropriate links to the underlying evidence.</w:t>
            </w:r>
          </w:p>
          <w:p w14:paraId="0A591D1F"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list of apartments built including </w:t>
            </w:r>
          </w:p>
          <w:p w14:paraId="17BEE1AA"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 the references of the certificates of entry into operation for each building; </w:t>
            </w:r>
          </w:p>
          <w:p w14:paraId="10E40177"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 the official references of the individual energy performance certificates for each building showing compliance with the conditions specified in the CID Annex; </w:t>
            </w:r>
          </w:p>
          <w:p w14:paraId="1618E96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 the official references of </w:t>
            </w:r>
            <w:r w:rsidRPr="00BA1475">
              <w:rPr>
                <w:rFonts w:ascii="Arial Narrow" w:eastAsia="Arial Narrow" w:hAnsi="Arial Narrow" w:cs="Arial Narrow"/>
                <w:noProof/>
                <w:kern w:val="0"/>
                <w:sz w:val="16"/>
                <w:szCs w:val="16"/>
                <w:lang w:val="en-GB"/>
                <w14:ligatures w14:val="none"/>
              </w:rPr>
              <w:t xml:space="preserve">quality tests.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54BDFC1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Projects finished with 300 apartments built and delivered in line with the following specifications:  (1) the building shall be a nearly zero-energy building; (2) appropriate quality tests (acoustic measurements, building air permeability test) shall be carried out at the time of entry into service.</w:t>
            </w:r>
          </w:p>
        </w:tc>
      </w:tr>
      <w:tr w:rsidR="00B27E64" w:rsidRPr="00BA1475" w14:paraId="4A7028A5"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29E97A1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104</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7CFCE38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3.1.1.5.i. Development and equipping of educational institutions’ infrastructure</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CB257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0E64E9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Definition of qualitative and quantitative criteria adopted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E60D95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legal framework has entered into force</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347F593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48F698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CD131B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606E38F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F8C27A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2021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ED94BC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13C76D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7A811B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w:t>
            </w:r>
            <w:r w:rsidRPr="00BA1475">
              <w:rPr>
                <w:rFonts w:ascii="Arial Narrow" w:eastAsia="Calibri" w:hAnsi="Arial Narrow" w:cs="Times New Roman"/>
                <w:noProof/>
                <w:kern w:val="0"/>
                <w:sz w:val="16"/>
                <w:szCs w:val="16"/>
                <w:lang w:val="en-GB"/>
                <w14:ligatures w14:val="none"/>
              </w:rPr>
              <w:t xml:space="preserve">legislative acts and a link to the </w:t>
            </w:r>
            <w:r w:rsidRPr="00BA1475">
              <w:rPr>
                <w:rFonts w:ascii="Arial Narrow" w:eastAsia="Calibri" w:hAnsi="Arial Narrow" w:cs="Calibri"/>
                <w:noProof/>
                <w:kern w:val="0"/>
                <w:sz w:val="16"/>
                <w:szCs w:val="16"/>
                <w:lang w:val="en-GB"/>
                <w14:ligatures w14:val="none"/>
              </w:rPr>
              <w:t xml:space="preserve">publication in the Official Journal, including a reference to the provision indicating the entry into force, accompanied by a summary document duly justifying how the milestone (including all the constitutive elements) was satisfactorily fulfilled, with appropriate links to the underlying evidence.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05BD4E4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Entry into force of a legal framework adopted by the government promoting the provision of high-quality education by promoting a comprehensive offer of educational programmes at regional level, as well as by creating a network of general secondary education institutions in line with the demographic situation. The legal framework shall establish minimum quantitative and qualitative criteria (such as minimum number of learners, availability of infrastructure, etc.) for general secondary education </w:t>
            </w:r>
            <w:r w:rsidRPr="00BA1475">
              <w:rPr>
                <w:rFonts w:ascii="Arial Narrow" w:eastAsia="Calibri" w:hAnsi="Arial Narrow" w:cs="Times New Roman"/>
                <w:noProof/>
                <w:kern w:val="0"/>
                <w:sz w:val="16"/>
                <w:szCs w:val="16"/>
                <w14:ligatures w14:val="none"/>
              </w:rPr>
              <w:t>institutions.</w:t>
            </w:r>
          </w:p>
        </w:tc>
      </w:tr>
      <w:tr w:rsidR="00B27E64" w:rsidRPr="00BA1475" w14:paraId="3245EA6B"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4BD426A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105</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24DB669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3.1.1.5.i. Development and equipping of educational institutions’ infrastructure</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FFAFF0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B1773E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decisions by local councils on the reorganisation of at least 20 general secondary education institutions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DC6717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of decisions by local councils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00FC729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FC5152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6CA1EA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4307318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603024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2022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C7BEEA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980779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507857F5"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milestone (including all the constitutive elements) was satisfactorily fulfilled, with appropriate links to the underlying evidence.</w:t>
            </w:r>
          </w:p>
          <w:p w14:paraId="33D3412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a list and the copies of decisions on </w:t>
            </w:r>
            <w:r w:rsidRPr="00BA1475">
              <w:rPr>
                <w:rFonts w:ascii="Arial Narrow" w:eastAsia="Calibri" w:hAnsi="Arial Narrow" w:cs="Times New Roman"/>
                <w:noProof/>
                <w:kern w:val="0"/>
                <w:sz w:val="16"/>
                <w:szCs w:val="16"/>
                <w:lang w:val="en-GB"/>
                <w14:ligatures w14:val="none"/>
              </w:rPr>
              <w:t>the reorganisation of at least 20 general secondary education institutions.</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4A762A6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Reorganisation decisions (mergers, change of education level) of at least 20 general secondary education institutions adopted by local governments.</w:t>
            </w:r>
          </w:p>
        </w:tc>
      </w:tr>
      <w:tr w:rsidR="00B27E64" w:rsidRPr="00BA1475" w14:paraId="501976AC"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3F3ED06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106</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67CDEED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3.1.1.5.i. Development and equipping of educational institutions’ infrastructure</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250656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14EFC3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Developing and equipping educational institutions’ infrastructure</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E2E444A"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FFE85D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261D42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E150C2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21</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880E7A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Q3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444B3C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2026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AB1FAF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8F6950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36BEF9B7"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target (including all the constitutive elements) was satisfactorily fulfilled, with appropriate links to the underlying evidence. </w:t>
            </w:r>
          </w:p>
          <w:p w14:paraId="577EBDB7"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p>
          <w:p w14:paraId="34410653"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This document shall include as an annex the following documentary evidence:</w:t>
            </w:r>
          </w:p>
          <w:p w14:paraId="3D9C66C2"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 a) a list of improved educational institutions, </w:t>
            </w:r>
          </w:p>
          <w:p w14:paraId="341EFAB1"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b) a brief description of each infrastructure in accordance with the CID Annex;</w:t>
            </w:r>
          </w:p>
          <w:p w14:paraId="23842674"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c) extract of the relevant parts of the project including on infrastructural development and purchase of equipment proving alignment with the description of the target and investment in the CID;</w:t>
            </w:r>
          </w:p>
          <w:p w14:paraId="1FC3F4E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d) d)</w:t>
            </w:r>
            <w:sdt>
              <w:sdtPr>
                <w:rPr>
                  <w:rFonts w:ascii="Arial Narrow" w:eastAsia="Arial Narrow" w:hAnsi="Arial Narrow" w:cs="Arial Narrow"/>
                  <w:noProof/>
                  <w:kern w:val="0"/>
                  <w:sz w:val="16"/>
                  <w:szCs w:val="16"/>
                  <w:lang w:val="en-GB"/>
                  <w14:ligatures w14:val="none"/>
                </w:rPr>
                <w:tag w:val="goog_rdk_24"/>
                <w:id w:val="1298957293"/>
                <w:showingPlcHdr/>
              </w:sdtPr>
              <w:sdtEndPr/>
              <w:sdtContent>
                <w:r w:rsidRPr="00BA1475">
                  <w:rPr>
                    <w:rFonts w:ascii="Arial Narrow" w:eastAsia="Arial Narrow" w:hAnsi="Arial Narrow" w:cs="Arial Narrow"/>
                    <w:noProof/>
                    <w:kern w:val="0"/>
                    <w:sz w:val="16"/>
                    <w:szCs w:val="16"/>
                    <w:lang w:val="en-GB"/>
                    <w14:ligatures w14:val="none"/>
                  </w:rPr>
                  <w:t xml:space="preserve">     </w:t>
                </w:r>
              </w:sdtContent>
            </w:sdt>
            <w:r w:rsidRPr="00BA1475">
              <w:rPr>
                <w:rFonts w:ascii="Arial Narrow" w:eastAsia="Arial Narrow" w:hAnsi="Arial Narrow" w:cs="Arial Narrow"/>
                <w:noProof/>
                <w:kern w:val="0"/>
                <w:sz w:val="16"/>
                <w:szCs w:val="16"/>
                <w:lang w:val="en-GB"/>
                <w14:ligatures w14:val="none"/>
              </w:rPr>
              <w:t>a certificate of completion of the upgraded infrastructure, comprising at least one of the following documents (copies): (1) the act of transfer and acceptance of the construction site; 2) an application to a construction board or building information system on the readiness of a building to be put into service in accordance with legislation on building regulations; (3) Act of commissioning the building.</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3B97F83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Improvement of infrastructure of 21 general education institutions established by local governments according to specifications: investments may be envisaged for the improvement of the education institution physical environment - classrooms that met hygienic requirements, reconstruction of engineering networks (including ventilation systems), ensure sufficient and energy efficient lighting, and other ergonomic and modern education environment solutions. These school infrastructure investments under the RRF may also be used for the purchase of information technology and science, technology, engineering and mathematics equipment, for implementation of new improved curricula and for implementation of remote and online learning. </w:t>
            </w:r>
          </w:p>
        </w:tc>
      </w:tr>
      <w:tr w:rsidR="00B27E64" w:rsidRPr="00BA1475" w14:paraId="65202DA6"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7BEA7C8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107</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6DB80AE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3.1.1.6.i. Purchase of zero-emission vehicles for the performance of municipal functions and related services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88815D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7B9C62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 support programme has been adopted for local governments for the purchase of electric buses for the performance of the municipal functions and related services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F4584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government regulation</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64EAA06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817C99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39D4E3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4CF76B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60939C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2022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AFB044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Administrationand Regional Development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ADEED7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549669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Regulation of the Cabinet of Ministers </w:t>
            </w:r>
            <w:r w:rsidRPr="00BA1475">
              <w:rPr>
                <w:rFonts w:ascii="Arial Narrow" w:eastAsia="Calibri" w:hAnsi="Arial Narrow" w:cs="Times New Roman"/>
                <w:noProof/>
                <w:kern w:val="0"/>
                <w:sz w:val="16"/>
                <w:szCs w:val="16"/>
                <w:lang w:val="en-GB"/>
                <w14:ligatures w14:val="none"/>
              </w:rPr>
              <w:t xml:space="preserve">and a link to the </w:t>
            </w:r>
            <w:r w:rsidRPr="00BA1475">
              <w:rPr>
                <w:rFonts w:ascii="Arial Narrow" w:eastAsia="Calibri" w:hAnsi="Arial Narrow" w:cs="Calibri"/>
                <w:noProof/>
                <w:kern w:val="0"/>
                <w:sz w:val="16"/>
                <w:szCs w:val="16"/>
                <w:lang w:val="en-GB"/>
                <w14:ligatures w14:val="none"/>
              </w:rPr>
              <w:t>publication in the Official Journal, including a reference to the provision indicating the entry into force, accompanied by a summary document duly justifying how the milestone (including all the constitutive elements) was satisfactorily fulfilled, with appropriate links to the underlying evidence.</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3BF29A8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Entry into force of Cabinet Regulations laying down implementing conditions for providing support to local governments for the purchase of electric buses for the performance of the municipal functions and related services. </w:t>
            </w:r>
            <w:r w:rsidRPr="00BA1475">
              <w:rPr>
                <w:rFonts w:ascii="Arial Narrow" w:eastAsia="Calibri" w:hAnsi="Arial Narrow" w:cs="Times New Roman"/>
                <w:noProof/>
                <w:kern w:val="0"/>
                <w:sz w:val="16"/>
                <w:szCs w:val="16"/>
                <w14:ligatures w14:val="none"/>
              </w:rPr>
              <w:t xml:space="preserve"> </w:t>
            </w:r>
          </w:p>
        </w:tc>
      </w:tr>
      <w:tr w:rsidR="00B27E64" w:rsidRPr="00BA1475" w14:paraId="7B352509"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1E84210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108</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4DF30C3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3.1.1.6.i. Purchase of zero-emission vehicles for the performance of municipal functions and related services</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0276BB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35B78D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electric school buses  under contracts awarded for the purchase of electric buses for the performance of the municipal functions and related services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737762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5BD425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8A630A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AA59A4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noProof/>
                <w:color w:val="000000"/>
                <w:kern w:val="0"/>
                <w:sz w:val="16"/>
                <w:szCs w:val="16"/>
                <w:lang w:val="en"/>
                <w14:ligatures w14:val="none"/>
              </w:rPr>
              <w:t>15</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3E1DBD8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Q3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5FC2B5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2023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616D5B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 Central Finance and Contracting Agency, local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5126B2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EA6B468"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target (including all the constitutive elements) was satisfactorily fulfilled, with appropriate links to the underlying evidence. </w:t>
            </w:r>
          </w:p>
          <w:p w14:paraId="7C63B47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for each of the awards: </w:t>
            </w:r>
          </w:p>
          <w:p w14:paraId="180E823C" w14:textId="77777777" w:rsidR="00BA1475" w:rsidRPr="00BA1475" w:rsidRDefault="00BA1475" w:rsidP="00BA1475">
            <w:pPr>
              <w:numPr>
                <w:ilvl w:val="0"/>
                <w:numId w:val="39"/>
              </w:numPr>
              <w:tabs>
                <w:tab w:val="left" w:pos="325"/>
              </w:tabs>
              <w:spacing w:after="0" w:line="240" w:lineRule="auto"/>
              <w:ind w:left="27"/>
              <w:contextualSpacing/>
              <w:rPr>
                <w:rFonts w:ascii="Arial Narrow" w:eastAsia="Calibri" w:hAnsi="Arial Narrow" w:cs="Calibri"/>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the reference and link of the Official Journal or data base where the award of contracts has been published; </w:t>
            </w:r>
          </w:p>
          <w:p w14:paraId="7FA70558" w14:textId="77777777" w:rsidR="00BA1475" w:rsidRPr="00BA1475" w:rsidRDefault="00BA1475" w:rsidP="00BA1475">
            <w:pPr>
              <w:numPr>
                <w:ilvl w:val="0"/>
                <w:numId w:val="39"/>
              </w:numPr>
              <w:tabs>
                <w:tab w:val="left" w:pos="325"/>
              </w:tabs>
              <w:spacing w:after="0" w:line="240" w:lineRule="auto"/>
              <w:ind w:left="27"/>
              <w:contextualSpacing/>
              <w:rPr>
                <w:rFonts w:ascii="Arial Narrow" w:eastAsia="Calibri" w:hAnsi="Arial Narrow" w:cs="Calibri"/>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extract of the relevant official documents containing evidence that the contracts for the purchase of at least 15 electric buses had been signed and are in line with the description of the target and investment in the CID; </w:t>
            </w:r>
          </w:p>
          <w:p w14:paraId="45850119" w14:textId="77777777" w:rsidR="00BA1475" w:rsidRPr="00BA1475" w:rsidRDefault="00BA1475" w:rsidP="00BA1475">
            <w:pPr>
              <w:numPr>
                <w:ilvl w:val="0"/>
                <w:numId w:val="39"/>
              </w:numPr>
              <w:tabs>
                <w:tab w:val="left" w:pos="325"/>
              </w:tabs>
              <w:spacing w:after="0" w:line="240" w:lineRule="auto"/>
              <w:ind w:left="27"/>
              <w:contextualSpacing/>
              <w:rPr>
                <w:rFonts w:ascii="Arial Narrow" w:eastAsia="Calibri" w:hAnsi="Arial Narrow" w:cs="Calibri"/>
                <w:noProof/>
                <w:kern w:val="0"/>
                <w:sz w:val="16"/>
                <w:szCs w:val="16"/>
                <w14:ligatures w14:val="none"/>
              </w:rPr>
            </w:pPr>
            <w:r w:rsidRPr="00BA1475">
              <w:rPr>
                <w:rFonts w:ascii="Arial Narrow" w:eastAsia="Arial Narrow" w:hAnsi="Arial Narrow" w:cs="Arial Narrow"/>
                <w:noProof/>
                <w:kern w:val="0"/>
                <w:sz w:val="16"/>
                <w:szCs w:val="16"/>
                <w14:ligatures w14:val="none"/>
              </w:rPr>
              <w:t>the amount being awarded (excluding VAT).</w:t>
            </w:r>
          </w:p>
          <w:p w14:paraId="1A87E6F0" w14:textId="77777777" w:rsidR="00BA1475" w:rsidRPr="00BA1475" w:rsidRDefault="00BA1475" w:rsidP="00BA1475">
            <w:pPr>
              <w:tabs>
                <w:tab w:val="left" w:pos="325"/>
              </w:tabs>
              <w:spacing w:after="0" w:line="240" w:lineRule="auto"/>
              <w:ind w:left="27"/>
              <w:contextualSpacing/>
              <w:rPr>
                <w:rFonts w:ascii="Arial Narrow" w:eastAsia="Calibri" w:hAnsi="Arial Narrow" w:cs="Calibri"/>
                <w:noProof/>
                <w:kern w:val="0"/>
                <w:sz w:val="16"/>
                <w:szCs w:val="16"/>
                <w:lang w:val="en-US"/>
                <w14:ligatures w14:val="none"/>
              </w:rPr>
            </w:pP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6AB34A4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Award of contracts for the purchase of 15 electric buses for the performance of municipal functions and related services</w:t>
            </w:r>
            <w:r w:rsidRPr="00BA1475">
              <w:rPr>
                <w:rFonts w:ascii="Arial Narrow" w:eastAsia="Calibri" w:hAnsi="Arial Narrow" w:cs="Times New Roman"/>
                <w:noProof/>
                <w:kern w:val="0"/>
                <w:sz w:val="16"/>
                <w:szCs w:val="16"/>
                <w14:ligatures w14:val="none"/>
              </w:rPr>
              <w:t xml:space="preserve"> </w:t>
            </w:r>
          </w:p>
        </w:tc>
      </w:tr>
      <w:tr w:rsidR="00B27E64" w:rsidRPr="00BA1475" w14:paraId="2109A6F9"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40DAC0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109</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231DC69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3.1.1.6.i. Purchase of zero-emission vehicles for the performance of municipal functions and related services</w:t>
            </w:r>
            <w:r w:rsidRPr="00BA1475">
              <w:rPr>
                <w:rFonts w:ascii="Arial Narrow" w:eastAsia="Calibri" w:hAnsi="Arial Narrow" w:cs="Times New Roman"/>
                <w:noProof/>
                <w:kern w:val="0"/>
                <w:sz w:val="16"/>
                <w:szCs w:val="16"/>
                <w14:ligatures w14:val="none"/>
              </w:rPr>
              <w:t xml:space="preserve"> </w:t>
            </w:r>
          </w:p>
          <w:p w14:paraId="4857AB33"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p>
          <w:p w14:paraId="664FAD66"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p>
          <w:p w14:paraId="19BC1526"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p>
          <w:p w14:paraId="5F840647"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p>
          <w:p w14:paraId="66F1C9D3"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p>
          <w:p w14:paraId="64D8A367"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p>
          <w:p w14:paraId="66019B01"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p>
          <w:p w14:paraId="66A4677A"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p>
          <w:p w14:paraId="4C22A5A9"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83A254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9B4E95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electric school buses purchased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C6777B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386825D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E80365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7B293C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15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48DB4AA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FCAAB1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2025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D12C92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Smart Administration and Regional Development, Central Finance and Contracting Agency, local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4BBCC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3A75407"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target (including all the constitutive elements) was satisfactorily fulfilled, with appropriate links to the underlying evidence. </w:t>
            </w:r>
          </w:p>
          <w:p w14:paraId="454F41D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This document shall include as an annex an extract of the relevant official documents containing evidence that the electric buses had been delivered to</w:t>
            </w:r>
            <w:r w:rsidRPr="00BA1475">
              <w:rPr>
                <w:rFonts w:ascii="Arial Narrow" w:eastAsia="Calibri" w:hAnsi="Arial Narrow" w:cs="Times New Roman"/>
                <w:noProof/>
                <w:kern w:val="0"/>
                <w:sz w:val="16"/>
                <w:szCs w:val="16"/>
                <w:lang w:val="en-GB"/>
                <w14:ligatures w14:val="none"/>
              </w:rPr>
              <w:t xml:space="preserve"> municipalities as beneficiaries for municipal transport of learners (e.g</w:t>
            </w:r>
            <w:r w:rsidRPr="00BA1475">
              <w:rPr>
                <w:rFonts w:ascii="Arial Narrow" w:eastAsia="Calibri" w:hAnsi="Arial Narrow" w:cs="Calibri"/>
                <w:noProof/>
                <w:kern w:val="0"/>
                <w:sz w:val="16"/>
                <w:szCs w:val="16"/>
                <w:lang w:val="en-GB"/>
                <w14:ligatures w14:val="none"/>
              </w:rPr>
              <w:t xml:space="preserve"> a document of acceptance – transfer or other proof of purchase and delivery).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0C9DE93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Delivery of 15 electric school buses to municipalities as beneficiaries for municipal transport of learners.</w:t>
            </w:r>
            <w:r w:rsidRPr="00BA1475">
              <w:rPr>
                <w:rFonts w:ascii="Arial Narrow" w:eastAsia="Calibri" w:hAnsi="Arial Narrow" w:cs="Times New Roman"/>
                <w:noProof/>
                <w:kern w:val="0"/>
                <w:sz w:val="16"/>
                <w:szCs w:val="16"/>
                <w14:ligatures w14:val="none"/>
              </w:rPr>
              <w:t xml:space="preserve"> </w:t>
            </w:r>
          </w:p>
        </w:tc>
      </w:tr>
      <w:tr w:rsidR="00B27E64" w:rsidRPr="00BA1475" w14:paraId="489BB80C"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0A5761D2"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109a</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55507414" w14:textId="77777777" w:rsidR="00BA1475" w:rsidRPr="00BA1475" w:rsidRDefault="00BA1475" w:rsidP="00BA1475">
            <w:pPr>
              <w:spacing w:before="240" w:after="240" w:line="276" w:lineRule="auto"/>
              <w:rPr>
                <w:rFonts w:ascii="Arial Narrow" w:eastAsia="Arial Narrow" w:hAnsi="Arial Narrow" w:cs="Arial Narrow"/>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3.1.1.7.i. Loans to real estate developers for the construction of low-rent dwellings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A82055A"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913F841"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Implementing Agreement and completion of the investment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E27B60C"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Implementing agreement and certificate of transfer</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647FBB6E"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3465955"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CDDDAB6"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361C40E0"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4F19329"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2025</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2A7782A" w14:textId="77777777" w:rsidR="00BA1475" w:rsidRPr="00BA1475" w:rsidRDefault="00BA1475" w:rsidP="00BA1475">
            <w:pPr>
              <w:spacing w:after="20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Altum</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DB9CF3B"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C4FDA87" w14:textId="77777777" w:rsidR="00BA1475" w:rsidRPr="00BA1475" w:rsidRDefault="00BA1475" w:rsidP="00BA1475">
            <w:pPr>
              <w:spacing w:after="20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Summary document duly justifying how the milestone (including the constitutive elements) was satisfactorily fulfilled. This document shall include as annexes:</w:t>
            </w:r>
          </w:p>
          <w:p w14:paraId="1E7F73EB" w14:textId="77777777" w:rsidR="00BA1475" w:rsidRPr="00BA1475" w:rsidRDefault="00BA1475" w:rsidP="00BA1475">
            <w:pPr>
              <w:spacing w:after="20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a copy of the signed Implementing Agreement, with reference to the provisions indicating the entry into force ; and </w:t>
            </w:r>
          </w:p>
          <w:p w14:paraId="1A8EB00D" w14:textId="77777777" w:rsidR="00BA1475" w:rsidRPr="00BA1475" w:rsidRDefault="00BA1475" w:rsidP="00BA1475">
            <w:pPr>
              <w:spacing w:after="20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b) copy of a bank statement of the amount transferred (EUR 29 020 919) by the Latvian Treasury to ALTUM for the facility.</w:t>
            </w:r>
          </w:p>
          <w:p w14:paraId="6F04A69B" w14:textId="77777777" w:rsidR="00BA1475" w:rsidRPr="00BA1475" w:rsidRDefault="00BA1475" w:rsidP="00BA1475">
            <w:pPr>
              <w:spacing w:after="200" w:line="240" w:lineRule="auto"/>
              <w:rPr>
                <w:rFonts w:ascii="Arial Narrow" w:eastAsia="Arial Narrow" w:hAnsi="Arial Narrow" w:cs="Arial Narrow"/>
                <w:noProof/>
                <w:kern w:val="0"/>
                <w:sz w:val="16"/>
                <w:szCs w:val="16"/>
                <w14:ligatures w14:val="none"/>
              </w:rPr>
            </w:pP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207877E1"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Implementing Agreement shall enter into force, and Latvia shall transfer EUR 29 020 919 to ALTUM for the Facility.</w:t>
            </w:r>
          </w:p>
        </w:tc>
      </w:tr>
      <w:tr w:rsidR="00B27E64" w:rsidRPr="00BA1475" w14:paraId="13D696D0"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18F07EE0"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109b</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5D401B09" w14:textId="77777777" w:rsidR="00BA1475" w:rsidRPr="00BA1475" w:rsidRDefault="00BA1475" w:rsidP="00BA1475">
            <w:pPr>
              <w:spacing w:before="240" w:after="240" w:line="276" w:lineRule="auto"/>
              <w:rPr>
                <w:rFonts w:ascii="Arial Narrow" w:eastAsia="Arial Narrow" w:hAnsi="Arial Narrow" w:cs="Arial Narrow"/>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3.1.1.7.i. Loans to real estate developers for the construction of low-rent dwellings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F5A02EE"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B2F5C6C"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Legal agreements signed with final beneficiaries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2F96DBC"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5F3783F" w14:textId="77777777" w:rsidR="00BA1475" w:rsidRPr="00B27E64" w:rsidRDefault="00BA1475" w:rsidP="00BA1475">
            <w:pPr>
              <w:spacing w:after="200" w:line="240" w:lineRule="auto"/>
              <w:rPr>
                <w:rFonts w:ascii="Arial Narrow" w:eastAsia="Calibri" w:hAnsi="Arial Narrow" w:cs="Times New Roman"/>
                <w:noProof/>
                <w:kern w:val="0"/>
                <w:sz w:val="14"/>
                <w:szCs w:val="14"/>
                <w:lang w:val="en-GB"/>
                <w14:ligatures w14:val="none"/>
              </w:rPr>
            </w:pPr>
            <w:r w:rsidRPr="00B27E64">
              <w:rPr>
                <w:rFonts w:ascii="Arial Narrow" w:eastAsia="Calibri" w:hAnsi="Arial Narrow" w:cs="Times New Roman"/>
                <w:noProof/>
                <w:kern w:val="0"/>
                <w:sz w:val="14"/>
                <w:szCs w:val="14"/>
                <w:lang w:val="en-GB"/>
                <w14:ligatures w14:val="none"/>
              </w:rPr>
              <w:t>Percentage</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858F681"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7F5A91B"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100%</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6651632"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F116E82"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AC92BE4" w14:textId="77777777" w:rsidR="00BA1475" w:rsidRPr="00BA1475" w:rsidRDefault="00BA1475" w:rsidP="00BA1475">
            <w:pPr>
              <w:spacing w:after="20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Altum</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2A5D2A6"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E8EF7DA" w14:textId="77777777" w:rsidR="00BA1475" w:rsidRPr="00BA1475" w:rsidRDefault="00BA1475" w:rsidP="00BA1475">
            <w:pPr>
              <w:spacing w:after="20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Summary document duly justifying how the target (including the constitutive elements) was satisfactorily fulfilled.</w:t>
            </w:r>
          </w:p>
          <w:p w14:paraId="4DC76652" w14:textId="77777777" w:rsidR="00BA1475" w:rsidRPr="00BA1475" w:rsidRDefault="00BA1475" w:rsidP="00BA1475">
            <w:pPr>
              <w:spacing w:after="20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This document shall include as an annex a list of legal financing agreements with final beneficiaries, including their unique reference numbers and the amount covered.</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75AD4901" w14:textId="77777777" w:rsidR="00BA1475" w:rsidRPr="00BA1475" w:rsidRDefault="00BA1475" w:rsidP="00BA1475">
            <w:pPr>
              <w:spacing w:after="20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ALTUM shall have entered into legal financing agreements with final beneficiaries for an amount necessary to use 100% of the RRF investment into the Facility (taking into account management fees).</w:t>
            </w:r>
          </w:p>
        </w:tc>
      </w:tr>
      <w:tr w:rsidR="00B27E64" w:rsidRPr="00BA1475" w14:paraId="3E39247E"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2A646F5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110</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6A0F7AB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3.1.2.r. Access to social and employment services in support of minimum income reform</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EE4E90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ECD4E4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of the strategic framework for further development of the minimum income support system  </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5408FE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strategic framework for further development of the minimum income support system has been approved by the Cabinet of Ministers</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8DD347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93163E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6D2B67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CAEBE6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6CA96A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2021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501A74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B7C4F1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AF3644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A copy of the strategic framework for further development of the minimum income support system  and a link to the publication in the Official Journal, </w:t>
            </w:r>
            <w:r w:rsidRPr="00BA1475">
              <w:rPr>
                <w:rFonts w:ascii="Arial Narrow" w:eastAsia="Calibri" w:hAnsi="Arial Narrow" w:cs="Calibri"/>
                <w:noProof/>
                <w:kern w:val="0"/>
                <w:sz w:val="16"/>
                <w:szCs w:val="16"/>
                <w:lang w:val="en-GB"/>
                <w14:ligatures w14:val="none"/>
              </w:rPr>
              <w:t xml:space="preserve">including a reference to the provision indicating the entry into force, </w:t>
            </w:r>
            <w:r w:rsidRPr="00BA1475">
              <w:rPr>
                <w:rFonts w:ascii="Arial Narrow" w:eastAsia="Arial Narrow" w:hAnsi="Arial Narrow" w:cs="Arial Narrow"/>
                <w:noProof/>
                <w:kern w:val="0"/>
                <w:sz w:val="16"/>
                <w:szCs w:val="16"/>
                <w14:ligatures w14:val="none"/>
              </w:rPr>
              <w:t xml:space="preserve">accompanied by a summary document duly justifying how the milestone (including all the constitutive elements) was satisfactorily fulfilled, with appropriate links to the underlying evidence. The document shall include as an annex relevant extracts demonstrating that the strategic framework includes all the points detailed in the description of the milestone.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065AA461"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A strategic framework for further development of the minimum income support system has been developed and approved by the Cabinet of Ministers, which shall include at least:</w:t>
            </w:r>
            <w:r w:rsidRPr="00BA1475">
              <w:rPr>
                <w:rFonts w:ascii="Arial Narrow" w:eastAsia="Calibri" w:hAnsi="Arial Narrow" w:cs="Times New Roman"/>
                <w:noProof/>
                <w:kern w:val="0"/>
                <w:sz w:val="16"/>
                <w:szCs w:val="16"/>
                <w14:ligatures w14:val="none"/>
              </w:rPr>
              <w:t xml:space="preserve"> </w:t>
            </w:r>
          </w:p>
          <w:p w14:paraId="5E60D3A2"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Plan for improvement of the minimum income support system for 2022-2024, with a view to strengthening the methodology for calculating the minimum income;</w:t>
            </w:r>
          </w:p>
          <w:p w14:paraId="43A3E91C"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Social Protection and Labour Market Guidelines 2021-2027 to promote the social inclusion of the population, reduce income inequalities and poverty, develop accessible and tailored social services and promote a high level of employment in a quality work environment;</w:t>
            </w:r>
            <w:r w:rsidRPr="00BA1475">
              <w:rPr>
                <w:rFonts w:ascii="Arial Narrow" w:eastAsia="Calibri" w:hAnsi="Arial Narrow" w:cs="Times New Roman"/>
                <w:noProof/>
                <w:kern w:val="0"/>
                <w:sz w:val="16"/>
                <w:szCs w:val="16"/>
                <w14:ligatures w14:val="none"/>
              </w:rPr>
              <w:t xml:space="preserve"> </w:t>
            </w:r>
          </w:p>
          <w:p w14:paraId="0232A94C"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Social Services Development Plan 2021-2023, aimed at improving the provision of community-based services;</w:t>
            </w:r>
            <w:r w:rsidRPr="00BA1475">
              <w:rPr>
                <w:rFonts w:ascii="Arial Narrow" w:eastAsia="Calibri" w:hAnsi="Arial Narrow" w:cs="Times New Roman"/>
                <w:noProof/>
                <w:kern w:val="0"/>
                <w:sz w:val="16"/>
                <w:szCs w:val="16"/>
                <w14:ligatures w14:val="none"/>
              </w:rPr>
              <w:t xml:space="preserve"> </w:t>
            </w:r>
          </w:p>
          <w:p w14:paraId="6C957F1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The Plan for the Promotion of Equal Opportunities for Persons with Disabilities 2021-2023, which aims to develop an integrated support system that meets the needs of persons with disabilities</w:t>
            </w:r>
            <w:r w:rsidRPr="00BA1475">
              <w:rPr>
                <w:rFonts w:ascii="Arial Narrow" w:eastAsia="Calibri" w:hAnsi="Arial Narrow" w:cs="Times New Roman"/>
                <w:noProof/>
                <w:kern w:val="0"/>
                <w:sz w:val="16"/>
                <w:szCs w:val="16"/>
                <w14:ligatures w14:val="none"/>
              </w:rPr>
              <w:t xml:space="preserve"> </w:t>
            </w:r>
          </w:p>
        </w:tc>
      </w:tr>
      <w:tr w:rsidR="00B27E64" w:rsidRPr="00BA1475" w14:paraId="12296698"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3139DAD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111</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138DB85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3.1.2.r. Access to social and employment services in support of minimum income reform</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EE483B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F9EF01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legislative amendments to improve the minimum income support system</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F6D2A3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legislative amendments  to improve the minimum income support system</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49F9A95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9E175C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96EFAC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19673D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Q1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3E6BBA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2023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5B9A02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D41D1A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114090D"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copy of the </w:t>
            </w:r>
            <w:r w:rsidRPr="00BA1475">
              <w:rPr>
                <w:rFonts w:ascii="Arial Narrow" w:eastAsia="Calibri" w:hAnsi="Arial Narrow" w:cs="Times New Roman"/>
                <w:noProof/>
                <w:kern w:val="0"/>
                <w:sz w:val="16"/>
                <w:szCs w:val="16"/>
                <w:lang w:val="en-GB"/>
                <w14:ligatures w14:val="none"/>
              </w:rPr>
              <w:t>legislative acts improving the minimum income support system</w:t>
            </w:r>
            <w:r w:rsidRPr="00BA1475">
              <w:rPr>
                <w:rFonts w:ascii="Arial Narrow" w:eastAsia="Arial Narrow" w:hAnsi="Arial Narrow" w:cs="Arial Narrow"/>
                <w:noProof/>
                <w:kern w:val="0"/>
                <w:sz w:val="16"/>
                <w:szCs w:val="16"/>
                <w14:ligatures w14:val="none"/>
              </w:rPr>
              <w:t xml:space="preserve"> and a link to the publication in the Official Journal,</w:t>
            </w:r>
            <w:r w:rsidRPr="00BA1475">
              <w:rPr>
                <w:rFonts w:ascii="Arial Narrow" w:eastAsia="Calibri" w:hAnsi="Arial Narrow" w:cs="Calibri"/>
                <w:noProof/>
                <w:kern w:val="0"/>
                <w:sz w:val="16"/>
                <w:szCs w:val="16"/>
                <w:lang w:val="en-GB"/>
                <w14:ligatures w14:val="none"/>
              </w:rPr>
              <w:t xml:space="preserve"> including a reference to the provision indicating the entry into force,</w:t>
            </w:r>
            <w:r w:rsidRPr="00BA1475">
              <w:rPr>
                <w:rFonts w:ascii="Arial Narrow" w:eastAsia="Arial Narrow" w:hAnsi="Arial Narrow" w:cs="Arial Narrow"/>
                <w:noProof/>
                <w:kern w:val="0"/>
                <w:sz w:val="16"/>
                <w:szCs w:val="16"/>
                <w14:ligatures w14:val="none"/>
              </w:rPr>
              <w:t xml:space="preserve"> accompanied by a summary document duly justifying how the milestone (including all the constitutive elements) was satisfactorily fulfilled, with appropriate links to the underlying evidence. </w:t>
            </w:r>
          </w:p>
          <w:p w14:paraId="78ABD8F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The document shall include as an annex extracts of the relevant provisions complying with the requirements contained in the description of the milestone.</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73B054A0"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Entry into force of legislative amendments to improve the minimum income support system, which shall include:</w:t>
            </w:r>
            <w:r w:rsidRPr="00BA1475">
              <w:rPr>
                <w:rFonts w:ascii="Arial Narrow" w:eastAsia="Calibri" w:hAnsi="Arial Narrow" w:cs="Times New Roman"/>
                <w:noProof/>
                <w:kern w:val="0"/>
                <w:sz w:val="16"/>
                <w:szCs w:val="16"/>
                <w14:ligatures w14:val="none"/>
              </w:rPr>
              <w:t xml:space="preserve"> </w:t>
            </w:r>
          </w:p>
          <w:p w14:paraId="4EAB6719"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a floor of the minimum income threshold of not less than 20% of the median income;</w:t>
            </w:r>
            <w:r w:rsidRPr="00BA1475">
              <w:rPr>
                <w:rFonts w:ascii="Arial Narrow" w:eastAsia="Calibri" w:hAnsi="Arial Narrow" w:cs="Times New Roman"/>
                <w:noProof/>
                <w:kern w:val="0"/>
                <w:sz w:val="16"/>
                <w:szCs w:val="16"/>
                <w14:ligatures w14:val="none"/>
              </w:rPr>
              <w:t xml:space="preserve"> </w:t>
            </w:r>
          </w:p>
          <w:p w14:paraId="209F165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the procedure for revising the minimum income thresholds, which is to take place on an annual basis (from 2023), on the basis of changes in the median income and ensuring that the minimum income thresholds are not changed in the event of a decrease in the median income.</w:t>
            </w:r>
            <w:r w:rsidRPr="00BA1475">
              <w:rPr>
                <w:rFonts w:ascii="Arial Narrow" w:eastAsia="Calibri" w:hAnsi="Arial Narrow" w:cs="Times New Roman"/>
                <w:noProof/>
                <w:kern w:val="0"/>
                <w:sz w:val="16"/>
                <w:szCs w:val="16"/>
                <w14:ligatures w14:val="none"/>
              </w:rPr>
              <w:t xml:space="preserve"> </w:t>
            </w:r>
          </w:p>
        </w:tc>
      </w:tr>
      <w:tr w:rsidR="00B27E64" w:rsidRPr="00BA1475" w14:paraId="78C08CBC"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59519E4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112</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2B31C11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3.1.2.1.i. Measures to promote access to public services and employment for people with disabilities</w:t>
            </w:r>
            <w:r w:rsidRPr="00BA1475">
              <w:rPr>
                <w:rFonts w:ascii="Arial Narrow" w:eastAsia="Calibri" w:hAnsi="Arial Narrow" w:cs="Times New Roman"/>
                <w:noProof/>
                <w:kern w:val="0"/>
                <w:sz w:val="16"/>
                <w:szCs w:val="16"/>
                <w14:ligatures w14:val="none"/>
              </w:rPr>
              <w:t xml:space="preserve"> and people with functional impairements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EC96B2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020317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Selection of state and local government buildings where environmental adaptations shall be carried out</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E16D04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a list of 63 selected buildings of public and local authorities in which investments to adapt the environment shall be made</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7C417ED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7AC3C7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599C31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16DEBD1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Q1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A093D3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2022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F7DB48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4847C2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99B084F"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lang w:val="en-GB"/>
                <w14:ligatures w14:val="none"/>
              </w:rPr>
              <w:t xml:space="preserve">A summary document duly justifying how the target (including all the constitutive elements) was satisfactorily fulfilled, with appropriate links to the underlying evidence. </w:t>
            </w:r>
          </w:p>
          <w:p w14:paraId="1B9A7E04"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lang w:val="en-GB"/>
                <w14:ligatures w14:val="none"/>
              </w:rPr>
              <w:t xml:space="preserve">This document shall include as an annex </w:t>
            </w:r>
            <w:r w:rsidRPr="00BA1475">
              <w:rPr>
                <w:rFonts w:ascii="Arial Narrow" w:eastAsia="Arial Narrow" w:hAnsi="Arial Narrow" w:cs="Arial Narrow"/>
                <w:noProof/>
                <w:kern w:val="0"/>
                <w:sz w:val="16"/>
                <w:szCs w:val="16"/>
                <w14:ligatures w14:val="none"/>
              </w:rPr>
              <w:t xml:space="preserve">the following documentary evidence: </w:t>
            </w:r>
          </w:p>
          <w:p w14:paraId="10E1259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a)</w:t>
            </w:r>
            <w:r w:rsidRPr="00BA1475">
              <w:rPr>
                <w:rFonts w:ascii="Arial Narrow" w:eastAsia="Calibri" w:hAnsi="Arial Narrow" w:cs="Arial"/>
                <w:noProof/>
                <w:kern w:val="0"/>
                <w:sz w:val="16"/>
                <w:szCs w:val="16"/>
                <w:lang w:val="en-GB"/>
                <w14:ligatures w14:val="none"/>
              </w:rPr>
              <w:t xml:space="preserve"> </w:t>
            </w:r>
            <w:r w:rsidRPr="00BA1475">
              <w:rPr>
                <w:rFonts w:ascii="Arial Narrow" w:eastAsia="Arial Narrow" w:hAnsi="Arial Narrow" w:cs="Arial Narrow"/>
                <w:noProof/>
                <w:kern w:val="0"/>
                <w:sz w:val="16"/>
                <w:szCs w:val="16"/>
                <w14:ligatures w14:val="none"/>
              </w:rPr>
              <w:t xml:space="preserve">a list of the </w:t>
            </w:r>
            <w:r w:rsidRPr="00BA1475" w:rsidDel="60C8C21A">
              <w:rPr>
                <w:rFonts w:ascii="Arial Narrow" w:eastAsia="Arial Narrow" w:hAnsi="Arial Narrow" w:cs="Arial Narrow"/>
                <w:noProof/>
                <w:kern w:val="0"/>
                <w:sz w:val="16"/>
                <w:szCs w:val="16"/>
                <w14:ligatures w14:val="none"/>
              </w:rPr>
              <w:t>63</w:t>
            </w:r>
            <w:r w:rsidRPr="00BA1475">
              <w:rPr>
                <w:rFonts w:ascii="Arial Narrow" w:eastAsia="Arial Narrow" w:hAnsi="Arial Narrow" w:cs="Arial Narrow"/>
                <w:noProof/>
                <w:kern w:val="0"/>
                <w:sz w:val="16"/>
                <w:szCs w:val="16"/>
                <w14:ligatures w14:val="none"/>
              </w:rPr>
              <w:t xml:space="preserve"> selected buildings for the implementation of environmental accessibility</w:t>
            </w:r>
            <w:r w:rsidRPr="00BA1475">
              <w:rPr>
                <w:rFonts w:ascii="Arial Narrow" w:eastAsia="Calibri" w:hAnsi="Arial Narrow" w:cs="Times New Roman"/>
                <w:noProof/>
                <w:kern w:val="0"/>
                <w:sz w:val="16"/>
                <w:szCs w:val="16"/>
                <w:lang w:val="en-GB"/>
                <w14:ligatures w14:val="none"/>
              </w:rPr>
              <w:t xml:space="preserve"> measures, </w:t>
            </w:r>
          </w:p>
          <w:p w14:paraId="286BC5E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b) information on minimum accessibility standards that buildings shall comply with confirming the fulfilment of the relevant elements of the milestone.</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49951E8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For the implementation of environmental accessibility measures, 63 state and local government buildings providing welfare sector public services or municipal social services shall be selected (these buildings shall be included in the regulations of the Cabinet of Ministers). </w:t>
            </w:r>
            <w:r w:rsidRPr="00BA1475">
              <w:rPr>
                <w:rFonts w:ascii="Arial Narrow" w:eastAsia="Times New Roman" w:hAnsi="Arial Narrow" w:cs="Times New Roman"/>
                <w:noProof/>
                <w:color w:val="000000"/>
                <w:kern w:val="0"/>
                <w:sz w:val="16"/>
                <w:szCs w:val="16"/>
                <w:lang w:val="en-GB"/>
                <w14:ligatures w14:val="none"/>
              </w:rPr>
              <w:t xml:space="preserve">The investment shall include measures to implement a minimum accessibility standard: ensure access to the environment and information for persons with functional impairments and persons with disabilities. </w:t>
            </w:r>
          </w:p>
        </w:tc>
      </w:tr>
      <w:tr w:rsidR="00B27E64" w:rsidRPr="00BA1475" w14:paraId="29704A6E"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0DE3FFE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113</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7EDC570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3.1.2.1.i. Measures to promote access to public services and employment for people with disabilities</w:t>
            </w:r>
            <w:r w:rsidRPr="00BA1475">
              <w:rPr>
                <w:rFonts w:ascii="Arial Narrow" w:eastAsia="Calibri" w:hAnsi="Arial Narrow" w:cs="Times New Roman"/>
                <w:noProof/>
                <w:kern w:val="0"/>
                <w:sz w:val="16"/>
                <w:szCs w:val="16"/>
                <w14:ligatures w14:val="none"/>
              </w:rPr>
              <w:t xml:space="preserve"> and people with functional impairements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60427F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87D5EE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Signature of contracts for ensuring access to public facilities in the buildings of public and local authorities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CAFBF8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Signature of  contracts for works on access to public facilities in the pre-selected 63 buildings of public and local authorities.</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4D52990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4C62B6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17B607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531681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37200C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2024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793EF3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Central Finance and Contracting Agency/ public and local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14DCC3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209FC707"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milestone (including all the constitutive elements) was satisfactorily fulfilled, with appropriate links to the underlying evidence.</w:t>
            </w:r>
          </w:p>
          <w:p w14:paraId="2CA30CBF"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062CB905"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a list of the </w:t>
            </w:r>
            <w:r w:rsidRPr="00BA1475">
              <w:rPr>
                <w:rFonts w:ascii="Arial Narrow" w:eastAsia="Calibri" w:hAnsi="Arial Narrow" w:cs="Times New Roman"/>
                <w:noProof/>
                <w:kern w:val="0"/>
                <w:sz w:val="16"/>
                <w:szCs w:val="16"/>
                <w:lang w:val="en-GB"/>
                <w14:ligatures w14:val="none"/>
              </w:rPr>
              <w:t xml:space="preserve">contracts signed on access to the facilities in the public and municipal buildings; </w:t>
            </w:r>
          </w:p>
          <w:p w14:paraId="7CC2A46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b) extract of the relevant parts of the call for tender documentation proving alignment with the description of the milestone and investment in the CID Annex.</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522B0D94"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xml:space="preserve">Relevant public and local authorities shall sign contracts to ensure access to the facilities in 63 state and local government buildings providing welfare sector public services or municipal social services. </w:t>
            </w:r>
          </w:p>
          <w:p w14:paraId="58B4C18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Contracts shall be awarded for the provision of a minimum accessibility standard: accessibility elements necessary for each building, including measures to ensure access to the facilities and information for persons with functional impairments and persons with disabilities (this may include creating or installing various customisations such as improvements to visual information, adaptation and provision of evacuation systems for persons with disabilities through the installation of ramps, pans, lifts and easy-opening or automatic doors).</w:t>
            </w:r>
          </w:p>
        </w:tc>
      </w:tr>
      <w:tr w:rsidR="00B27E64" w:rsidRPr="00BA1475" w14:paraId="3B0B14C9"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53E42C4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114</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7382D90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3.1.2.1.i. Measures to promote access to public services and employment for people with disabilities</w:t>
            </w:r>
            <w:r w:rsidRPr="00BA1475">
              <w:rPr>
                <w:rFonts w:ascii="Arial Narrow" w:eastAsia="Calibri" w:hAnsi="Arial Narrow" w:cs="Times New Roman"/>
                <w:noProof/>
                <w:kern w:val="0"/>
                <w:sz w:val="16"/>
                <w:szCs w:val="16"/>
                <w14:ligatures w14:val="none"/>
              </w:rPr>
              <w:t xml:space="preserve"> and people with functional impairements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DCE02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3493B7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Completion of construction to ensure access to public facilities in state and local government buildings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B7AA92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7BB933F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Buildings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B0B2D9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6E025B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63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01391A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9C6B78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2026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77AF74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Central Finance and Contracting Agency/ public and local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36C4A3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C67CC09"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target (including all the constitutive elements) was satisfactorily fulfilled, with appropriate links to the underlying evidence. </w:t>
            </w:r>
          </w:p>
          <w:p w14:paraId="350B6DFB"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128701A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a) copies of the </w:t>
            </w:r>
            <w:r w:rsidRPr="00BA1475">
              <w:rPr>
                <w:rFonts w:ascii="Arial Narrow" w:eastAsia="Calibri" w:hAnsi="Arial Narrow" w:cs="Calibri"/>
                <w:noProof/>
                <w:kern w:val="0"/>
                <w:sz w:val="16"/>
                <w:szCs w:val="16"/>
                <w:lang w:val="en-GB"/>
                <w14:ligatures w14:val="none"/>
              </w:rPr>
              <w:t xml:space="preserve">proof of completion and entry into operation of the completed buildings; </w:t>
            </w:r>
          </w:p>
          <w:p w14:paraId="6056A0AE"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b) a list of completed buildings, with the name, the location and a brief description of the intervention made with a view to implementing minimum accessibility standards in line with the description of the milestone and of the investment in the CID Annex.</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765F249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Construction work completed on </w:t>
            </w:r>
            <w:r w:rsidRPr="00BA1475" w:rsidDel="60C8C21A">
              <w:rPr>
                <w:rFonts w:ascii="Arial Narrow" w:eastAsia="Calibri" w:hAnsi="Arial Narrow" w:cs="Times New Roman"/>
                <w:noProof/>
                <w:kern w:val="0"/>
                <w:sz w:val="16"/>
                <w:szCs w:val="16"/>
                <w:lang w:val="en-GB"/>
                <w14:ligatures w14:val="none"/>
              </w:rPr>
              <w:t>63</w:t>
            </w:r>
            <w:r w:rsidRPr="00BA1475">
              <w:rPr>
                <w:rFonts w:ascii="Arial Narrow" w:eastAsia="Calibri" w:hAnsi="Arial Narrow" w:cs="Times New Roman"/>
                <w:noProof/>
                <w:kern w:val="0"/>
                <w:sz w:val="16"/>
                <w:szCs w:val="16"/>
                <w:lang w:val="en-GB"/>
                <w14:ligatures w14:val="none"/>
              </w:rPr>
              <w:t xml:space="preserve"> state and local government buildings providing welfare sector public services or municipal social services to groups at risk of social exclusion, including persons with disabilities, and handover act signed. Measures shall include the implementation of a minimum accessibility standard: access to public the facilities and information for persons with functional impairments and persons with disabilities (this may include creating or installing various customisations such as improvements to visual information, adaptation and provision of evacuation systems for persons with disabilities, ramps, pedals, hoists, easy-opening or automatic doors).</w:t>
            </w:r>
          </w:p>
        </w:tc>
      </w:tr>
      <w:tr w:rsidR="00B27E64" w:rsidRPr="00BA1475" w14:paraId="6FDAE338"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332946C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115</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518C048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3.1.2.1.i. Measures to promote access to public services and employment for people with disabilities</w:t>
            </w:r>
            <w:r w:rsidRPr="00BA1475">
              <w:rPr>
                <w:rFonts w:ascii="Arial Narrow" w:eastAsia="Calibri" w:hAnsi="Arial Narrow" w:cs="Times New Roman"/>
                <w:noProof/>
                <w:kern w:val="0"/>
                <w:sz w:val="16"/>
                <w:szCs w:val="16"/>
                <w14:ligatures w14:val="none"/>
              </w:rPr>
              <w:t xml:space="preserve"> and people with functional impairements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3965B2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A34A6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Selection of specific target group for improving physical access to housing</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0EA8F0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a list of selected 259 persons with disabilities who need to adapt their individual housing</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17D5C5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14BCE1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42F394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42B6281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Q1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12D1AD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2024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A6BF9E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Welfare/ Central Finance and Contracting Agency/ local authorities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B5E210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2525DFCA"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milestone (including all the constitutive elements) was satisfactorily fulfilled, with appropriate links to the underlying evidence. </w:t>
            </w:r>
          </w:p>
          <w:p w14:paraId="3906FE7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5C5D941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a) a copy of </w:t>
            </w:r>
            <w:r w:rsidRPr="00BA1475">
              <w:rPr>
                <w:rFonts w:ascii="Arial Narrow" w:eastAsia="Calibri" w:hAnsi="Arial Narrow" w:cs="Calibri"/>
                <w:noProof/>
                <w:kern w:val="0"/>
                <w:sz w:val="16"/>
                <w:szCs w:val="16"/>
                <w:lang w:val="en-GB"/>
                <w14:ligatures w14:val="none"/>
              </w:rPr>
              <w:t xml:space="preserve">the decisions of the relevant public authorities on the eligibility of the target group for support, including a list of anonymised final recipients </w:t>
            </w:r>
          </w:p>
          <w:p w14:paraId="0D0632C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w:t>
            </w:r>
            <w:r w:rsidRPr="00BA1475">
              <w:rPr>
                <w:rFonts w:ascii="Arial Narrow" w:eastAsia="Arial Narrow" w:hAnsi="Arial Narrow" w:cs="Arial Narrow"/>
                <w:noProof/>
                <w:kern w:val="0"/>
                <w:sz w:val="16"/>
                <w:szCs w:val="16"/>
                <w14:ligatures w14:val="none"/>
              </w:rPr>
              <w:t>extract of the official documents containing the selection criteria that ensure compliance with the CID Annex</w:t>
            </w:r>
            <w:r w:rsidRPr="00BA1475">
              <w:rPr>
                <w:rFonts w:ascii="Arial Narrow" w:eastAsia="Calibri" w:hAnsi="Arial Narrow" w:cs="Calibri"/>
                <w:noProof/>
                <w:kern w:val="0"/>
                <w:sz w:val="16"/>
                <w:szCs w:val="16"/>
                <w:lang w:val="en-GB"/>
                <w14:ligatures w14:val="none"/>
              </w:rPr>
              <w:t xml:space="preserve">.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41D6FDF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of a list of </w:t>
            </w:r>
            <w:r w:rsidRPr="00BA1475" w:rsidDel="60C8C21A">
              <w:rPr>
                <w:rFonts w:ascii="Arial Narrow" w:eastAsia="Calibri" w:hAnsi="Arial Narrow" w:cs="Times New Roman"/>
                <w:noProof/>
                <w:kern w:val="0"/>
                <w:sz w:val="16"/>
                <w:szCs w:val="16"/>
                <w:lang w:val="en-GB"/>
                <w14:ligatures w14:val="none"/>
              </w:rPr>
              <w:t>259 persons</w:t>
            </w:r>
            <w:r w:rsidRPr="00BA1475">
              <w:rPr>
                <w:rFonts w:ascii="Arial Narrow" w:eastAsia="Calibri" w:hAnsi="Arial Narrow" w:cs="Times New Roman"/>
                <w:noProof/>
                <w:kern w:val="0"/>
                <w:sz w:val="16"/>
                <w:szCs w:val="16"/>
                <w:lang w:val="en-GB"/>
                <w14:ligatures w14:val="none"/>
              </w:rPr>
              <w:t xml:space="preserve"> with severe or very severe disabilities and children with disabilities who shall benefit from support from relevant public authorities to adapt the individual housing.</w:t>
            </w:r>
          </w:p>
        </w:tc>
      </w:tr>
      <w:tr w:rsidR="00B27E64" w:rsidRPr="00BA1475" w14:paraId="4AEDC872"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3B4BD56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116</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6746A63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3.1.2.1.i. Measures to promote access to public services and employment for people with disabilities</w:t>
            </w:r>
            <w:r w:rsidRPr="00BA1475">
              <w:rPr>
                <w:rFonts w:ascii="Arial Narrow" w:eastAsia="Calibri" w:hAnsi="Arial Narrow" w:cs="Times New Roman"/>
                <w:noProof/>
                <w:kern w:val="0"/>
                <w:sz w:val="16"/>
                <w:szCs w:val="16"/>
                <w14:ligatures w14:val="none"/>
              </w:rPr>
              <w:t xml:space="preserve"> and people with functional impairements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633EA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6669E9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Signature of contracts to adapt the housing of persons with disabilities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9DF33F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Signature of contracts</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2D86E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419EF2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1F8C05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EF808F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Q1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C7D0ED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2025</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4AF854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Central Finance and Contracting Agency/ local autohorities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C99DF7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461DF7A6"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milestone (including all the constitutive elements) was satisfactorily fulfilled, with appropriate links to the underlying evidence. </w:t>
            </w:r>
          </w:p>
          <w:p w14:paraId="06B26FFA"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This document shall include as an annex;</w:t>
            </w:r>
          </w:p>
          <w:p w14:paraId="067E870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 a) a list and copies of signed work contracts to </w:t>
            </w:r>
            <w:r w:rsidRPr="00BA1475">
              <w:rPr>
                <w:rFonts w:ascii="Arial Narrow" w:eastAsia="Calibri" w:hAnsi="Arial Narrow" w:cs="Times New Roman"/>
                <w:noProof/>
                <w:kern w:val="0"/>
                <w:sz w:val="16"/>
                <w:szCs w:val="16"/>
                <w:lang w:val="en-GB"/>
                <w14:ligatures w14:val="none"/>
              </w:rPr>
              <w:t xml:space="preserve">adapt the housing of 259 persons with severe or very severe disabilitiesand children with disabilities </w:t>
            </w:r>
          </w:p>
          <w:p w14:paraId="3F0F4D78" w14:textId="77777777" w:rsidR="00BA1475" w:rsidRPr="00BA1475" w:rsidRDefault="00BA1475" w:rsidP="00BA1475">
            <w:pPr>
              <w:spacing w:after="0" w:line="240" w:lineRule="auto"/>
              <w:rPr>
                <w:rFonts w:ascii="Arial Narrow" w:eastAsia="Calibri" w:hAnsi="Arial Narrow" w:cs="Calibri"/>
                <w:noProof/>
                <w:kern w:val="0"/>
                <w:sz w:val="16"/>
                <w:szCs w:val="16"/>
                <w:lang w:val="en-US"/>
                <w14:ligatures w14:val="none"/>
              </w:rPr>
            </w:pPr>
            <w:r w:rsidRPr="00BA1475">
              <w:rPr>
                <w:rFonts w:ascii="Arial Narrow" w:eastAsia="Arial Narrow" w:hAnsi="Arial Narrow" w:cs="Arial Narrow"/>
                <w:noProof/>
                <w:kern w:val="0"/>
                <w:sz w:val="16"/>
                <w:szCs w:val="16"/>
                <w14:ligatures w14:val="none"/>
              </w:rPr>
              <w:t>b) details of the environmental adaptation measures taken as specified in the description of the milestone and of the investment in the CID Annex.</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491BCF5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signature of contracts to adapt the housing of 259 persons with severe or very severe disabilities and children with disabilities.  Contracts have been concluded for the provision of  environmental accessibility elements (for example: establishment of ramps and lifts, provision of equipment, elements of accommodation, adaptation of common spaces) in housing for 259 persons.</w:t>
            </w:r>
          </w:p>
        </w:tc>
      </w:tr>
      <w:tr w:rsidR="00B27E64" w:rsidRPr="00BA1475" w14:paraId="541370C4"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1F2F8BB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117</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7E0FBE3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3.1.2.1.i. Measures to promote access to public services and employment for people with disabilities</w:t>
            </w:r>
            <w:r w:rsidRPr="00BA1475">
              <w:rPr>
                <w:rFonts w:ascii="Arial Narrow" w:eastAsia="Calibri" w:hAnsi="Arial Narrow" w:cs="Times New Roman"/>
                <w:noProof/>
                <w:kern w:val="0"/>
                <w:sz w:val="16"/>
                <w:szCs w:val="16"/>
                <w14:ligatures w14:val="none"/>
              </w:rPr>
              <w:t xml:space="preserve"> and people with functional impairments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D0098B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AF0B8B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Accessibility of the housing environment for persons with disabilities ensured</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FEB42C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F6EE27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Persons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BF3560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13775F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259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47B4C25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C90865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2026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F7F34F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Central Finance and Contracting Agency/ local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E1EB9F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5BD156AE"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target (including all the constitutive elements) was satisfactorily fulfilled, with appropriate links to the underlying evidence. </w:t>
            </w:r>
          </w:p>
          <w:p w14:paraId="08F72728"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US"/>
                <w14:ligatures w14:val="none"/>
              </w:rPr>
            </w:pPr>
            <w:r w:rsidRPr="00BA1475">
              <w:rPr>
                <w:rFonts w:ascii="Arial Narrow" w:eastAsia="Arial Narrow" w:hAnsi="Arial Narrow" w:cs="Arial Narrow"/>
                <w:noProof/>
                <w:kern w:val="0"/>
                <w:sz w:val="16"/>
                <w:szCs w:val="16"/>
                <w14:ligatures w14:val="none"/>
              </w:rPr>
              <w:t xml:space="preserve">This document shall include as an annex a list and copies of the </w:t>
            </w:r>
            <w:r w:rsidRPr="00BA1475">
              <w:rPr>
                <w:rFonts w:ascii="Arial Narrow" w:eastAsia="Calibri" w:hAnsi="Arial Narrow" w:cs="Calibri"/>
                <w:noProof/>
                <w:kern w:val="0"/>
                <w:sz w:val="16"/>
                <w:szCs w:val="16"/>
                <w:lang w:val="en-US"/>
                <w14:ligatures w14:val="none"/>
              </w:rPr>
              <w:t>proof of completion and entry into operation of the completed dwellings</w:t>
            </w:r>
            <w:r w:rsidRPr="00BA1475">
              <w:rPr>
                <w:rFonts w:ascii="Arial Narrow" w:eastAsia="Calibri" w:hAnsi="Arial Narrow" w:cs="Times New Roman"/>
                <w:noProof/>
                <w:kern w:val="0"/>
                <w:sz w:val="16"/>
                <w:szCs w:val="16"/>
                <w:lang w:val="en-US"/>
                <w14:ligatures w14:val="none"/>
              </w:rPr>
              <w:t xml:space="preserve"> including a brief description of the intervention made, as specified in the description of the milestone </w:t>
            </w:r>
            <w:r w:rsidRPr="00BA1475">
              <w:rPr>
                <w:rFonts w:ascii="Arial Narrow" w:eastAsia="Arial Narrow" w:hAnsi="Arial Narrow" w:cs="Arial Narrow"/>
                <w:noProof/>
                <w:kern w:val="0"/>
                <w:sz w:val="16"/>
                <w:szCs w:val="16"/>
                <w14:ligatures w14:val="none"/>
              </w:rPr>
              <w:t xml:space="preserve">and of the investment </w:t>
            </w:r>
            <w:r w:rsidRPr="00BA1475">
              <w:rPr>
                <w:rFonts w:ascii="Arial Narrow" w:eastAsia="Calibri" w:hAnsi="Arial Narrow" w:cs="Times New Roman"/>
                <w:noProof/>
                <w:kern w:val="0"/>
                <w:sz w:val="16"/>
                <w:szCs w:val="16"/>
                <w:lang w:val="en-US"/>
                <w14:ligatures w14:val="none"/>
              </w:rPr>
              <w:t>in the CID Annex.</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0CA5EA1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Adaptation of the home environment (for example: establishment of ramps and lifts, provision of equipment, elements of accommodation, adaptation of common spaces) of 259  persons with severe or very severe disabilities and children with disabilities has been completed.</w:t>
            </w:r>
          </w:p>
        </w:tc>
      </w:tr>
      <w:tr w:rsidR="00B27E64" w:rsidRPr="00BA1475" w14:paraId="7C0FD5C3"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08D9F05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118</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2BE4F02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3.1.2.2.i. Development of a forecast tool</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8DCC4E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87AC47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Conclusion of contract for the development of algorithms for the forecasting model, the development of technical specifications for information system and the supervision of system development</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8D0987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Development of technical specifications and conclusion of a contract for the consultancy service involving Latvian and foreign econometric and mathematical modelling experts</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3576221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007894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C2B35D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0BDAE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37E5212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2022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C360B0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Welfare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051929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4716155" w14:textId="77777777" w:rsidR="00BA1475" w:rsidRPr="00BA1475" w:rsidRDefault="00BA1475" w:rsidP="00BA1475">
            <w:pPr>
              <w:spacing w:after="0" w:line="240" w:lineRule="auto"/>
              <w:rPr>
                <w:rFonts w:ascii="Arial Narrow" w:eastAsia="Arial Narrow" w:hAnsi="Arial Narrow" w:cs="Arial Narrow"/>
                <w:noProof/>
                <w:color w:val="000000"/>
                <w:kern w:val="0"/>
                <w:sz w:val="16"/>
                <w:szCs w:val="16"/>
                <w14:ligatures w14:val="none"/>
              </w:rPr>
            </w:pPr>
            <w:r w:rsidRPr="00BA1475">
              <w:rPr>
                <w:rFonts w:ascii="Arial Narrow" w:eastAsia="Arial Narrow" w:hAnsi="Arial Narrow" w:cs="Arial Narrow"/>
                <w:noProof/>
                <w:color w:val="000000"/>
                <w:kern w:val="0"/>
                <w:sz w:val="16"/>
                <w:szCs w:val="16"/>
                <w14:ligatures w14:val="none"/>
              </w:rPr>
              <w:t>A summary document duly justifying how the milestone (including all the constitutive elements) was satisfactorily fulfilled, with appropriate links to the underlying evidence, including a proof that the contract was awarded following a competition.</w:t>
            </w:r>
          </w:p>
          <w:p w14:paraId="0CAFAF75" w14:textId="77777777" w:rsidR="00BA1475" w:rsidRPr="00BA1475" w:rsidRDefault="00BA1475" w:rsidP="00BA1475">
            <w:pPr>
              <w:spacing w:after="0" w:line="240" w:lineRule="auto"/>
              <w:rPr>
                <w:rFonts w:ascii="Arial Narrow" w:eastAsia="Arial Narrow" w:hAnsi="Arial Narrow" w:cs="Arial Narrow"/>
                <w:noProof/>
                <w:color w:val="000000"/>
                <w:kern w:val="0"/>
                <w:sz w:val="16"/>
                <w:szCs w:val="16"/>
                <w14:ligatures w14:val="none"/>
              </w:rPr>
            </w:pPr>
            <w:r w:rsidRPr="00BA1475">
              <w:rPr>
                <w:rFonts w:ascii="Arial Narrow" w:eastAsia="Arial Narrow" w:hAnsi="Arial Narrow" w:cs="Arial Narrow"/>
                <w:noProof/>
                <w:color w:val="000000"/>
                <w:kern w:val="0"/>
                <w:sz w:val="16"/>
                <w:szCs w:val="16"/>
                <w14:ligatures w14:val="none"/>
              </w:rPr>
              <w:t xml:space="preserve">This document shall include as an annex the following documentary evidence and elements: </w:t>
            </w:r>
          </w:p>
          <w:p w14:paraId="4AEACA1C" w14:textId="77777777" w:rsidR="00BA1475" w:rsidRPr="00BA1475" w:rsidRDefault="00BA1475" w:rsidP="00BA1475">
            <w:pPr>
              <w:spacing w:after="0" w:line="240" w:lineRule="auto"/>
              <w:rPr>
                <w:rFonts w:ascii="Arial Narrow" w:eastAsia="Arial Narrow" w:hAnsi="Arial Narrow" w:cs="Arial Narrow"/>
                <w:noProof/>
                <w:color w:val="000000"/>
                <w:kern w:val="0"/>
                <w:sz w:val="16"/>
                <w:szCs w:val="16"/>
                <w14:ligatures w14:val="none"/>
              </w:rPr>
            </w:pPr>
            <w:r w:rsidRPr="00BA1475">
              <w:rPr>
                <w:rFonts w:ascii="Arial Narrow" w:eastAsia="Arial Narrow" w:hAnsi="Arial Narrow" w:cs="Arial Narrow"/>
                <w:noProof/>
                <w:color w:val="000000"/>
                <w:kern w:val="0"/>
                <w:sz w:val="16"/>
                <w:szCs w:val="16"/>
                <w14:ligatures w14:val="none"/>
              </w:rPr>
              <w:t xml:space="preserve">a) a </w:t>
            </w:r>
            <w:r w:rsidRPr="00BA1475">
              <w:rPr>
                <w:rFonts w:ascii="Arial Narrow" w:eastAsia="Calibri" w:hAnsi="Arial Narrow" w:cs="Arial"/>
                <w:noProof/>
                <w:color w:val="000000"/>
                <w:kern w:val="0"/>
                <w:sz w:val="16"/>
                <w14:ligatures w14:val="none"/>
              </w:rPr>
              <w:t xml:space="preserve">copy of technical specifications </w:t>
            </w:r>
            <w:r w:rsidRPr="00BA1475">
              <w:rPr>
                <w:rFonts w:ascii="Arial Narrow" w:eastAsia="Calibri" w:hAnsi="Arial Narrow" w:cs="Arial"/>
                <w:noProof/>
                <w:color w:val="000000"/>
                <w:kern w:val="0"/>
                <w:sz w:val="16"/>
                <w:lang w:val="en-GB"/>
                <w14:ligatures w14:val="none"/>
              </w:rPr>
              <w:t xml:space="preserve">for the consultancy services and </w:t>
            </w:r>
            <w:r w:rsidRPr="00BA1475">
              <w:rPr>
                <w:rFonts w:ascii="Arial Narrow" w:eastAsia="Calibri" w:hAnsi="Arial Narrow" w:cs="Arial"/>
                <w:noProof/>
                <w:color w:val="000000"/>
                <w:kern w:val="0"/>
                <w:sz w:val="16"/>
                <w14:ligatures w14:val="none"/>
              </w:rPr>
              <w:t>extract</w:t>
            </w:r>
            <w:r w:rsidRPr="00BA1475">
              <w:rPr>
                <w:rFonts w:ascii="Arial Narrow" w:eastAsia="Arial Narrow" w:hAnsi="Arial Narrow" w:cs="Arial Narrow"/>
                <w:noProof/>
                <w:color w:val="000000"/>
                <w:kern w:val="0"/>
                <w:sz w:val="16"/>
                <w:szCs w:val="16"/>
                <w14:ligatures w14:val="none"/>
              </w:rPr>
              <w:t xml:space="preserve"> of the relevant parts of the technical specifications of the project proving alignment with the description of the milestone in the CID Annex; </w:t>
            </w:r>
          </w:p>
          <w:p w14:paraId="2C586D4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color w:val="000000"/>
                <w:kern w:val="0"/>
                <w:sz w:val="16"/>
                <w:szCs w:val="16"/>
                <w14:ligatures w14:val="none"/>
              </w:rPr>
              <w:t xml:space="preserve">b) a copy of </w:t>
            </w:r>
            <w:r w:rsidRPr="00BA1475">
              <w:rPr>
                <w:rFonts w:ascii="Arial Narrow" w:eastAsia="Calibri" w:hAnsi="Arial Narrow" w:cs="Arial"/>
                <w:noProof/>
                <w:color w:val="000000"/>
                <w:kern w:val="0"/>
                <w:sz w:val="16"/>
                <w14:ligatures w14:val="none"/>
              </w:rPr>
              <w:t>signed/awarded contract</w:t>
            </w:r>
            <w:r w:rsidRPr="00BA1475">
              <w:rPr>
                <w:rFonts w:ascii="Arial Narrow" w:eastAsia="Arial Narrow" w:hAnsi="Arial Narrow" w:cs="Arial Narrow"/>
                <w:noProof/>
                <w:color w:val="000000"/>
                <w:kern w:val="0"/>
                <w:sz w:val="16"/>
                <w:szCs w:val="16"/>
                <w14:ligatures w14:val="none"/>
              </w:rPr>
              <w:t xml:space="preserve"> </w:t>
            </w:r>
            <w:r w:rsidRPr="00BA1475">
              <w:rPr>
                <w:rFonts w:ascii="Arial Narrow" w:eastAsia="Calibri" w:hAnsi="Arial Narrow" w:cs="Times New Roman"/>
                <w:noProof/>
                <w:color w:val="000000"/>
                <w:kern w:val="0"/>
                <w:sz w:val="16"/>
                <w:szCs w:val="16"/>
                <w:lang w:val="en-GB"/>
                <w14:ligatures w14:val="none"/>
              </w:rPr>
              <w:t xml:space="preserve">for the consultancy services and an </w:t>
            </w:r>
            <w:r w:rsidRPr="00BA1475">
              <w:rPr>
                <w:rFonts w:ascii="Arial Narrow" w:eastAsia="Arial Narrow" w:hAnsi="Arial Narrow" w:cs="Arial Narrow"/>
                <w:noProof/>
                <w:color w:val="000000"/>
                <w:kern w:val="0"/>
                <w:sz w:val="16"/>
                <w:szCs w:val="16"/>
                <w14:ligatures w14:val="none"/>
              </w:rPr>
              <w:t xml:space="preserve">extract of the relevant parts of the contract proving alignment with the description of the milestone in the CID Annex, including the </w:t>
            </w:r>
            <w:r w:rsidRPr="00BA1475">
              <w:rPr>
                <w:rFonts w:ascii="Arial Narrow" w:eastAsia="Arial Narrow" w:hAnsi="Arial Narrow" w:cs="Arial Narrow"/>
                <w:noProof/>
                <w:color w:val="000000"/>
                <w:kern w:val="0"/>
                <w:sz w:val="16"/>
                <w:szCs w:val="16"/>
                <w:lang w:val="en-GB"/>
                <w14:ligatures w14:val="none"/>
              </w:rPr>
              <w:t>a timetable for the deliverables detailed in the description of the milestone</w:t>
            </w:r>
            <w:r w:rsidRPr="00BA1475">
              <w:rPr>
                <w:rFonts w:ascii="Arial Narrow" w:eastAsia="Arial Narrow" w:hAnsi="Arial Narrow" w:cs="Arial Narrow"/>
                <w:noProof/>
                <w:color w:val="000000"/>
                <w:kern w:val="0"/>
                <w:sz w:val="16"/>
                <w:szCs w:val="16"/>
                <w14:ligatures w14:val="none"/>
              </w:rPr>
              <w:t>.</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57647C0E"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Award of a contract following a competition to:</w:t>
            </w:r>
            <w:r w:rsidRPr="00BA1475">
              <w:rPr>
                <w:rFonts w:ascii="Arial Narrow" w:eastAsia="Calibri" w:hAnsi="Arial Narrow" w:cs="Times New Roman"/>
                <w:noProof/>
                <w:kern w:val="0"/>
                <w:sz w:val="16"/>
                <w:szCs w:val="16"/>
                <w14:ligatures w14:val="none"/>
              </w:rPr>
              <w:t xml:space="preserve"> </w:t>
            </w:r>
          </w:p>
          <w:p w14:paraId="44F80153"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develop an econometric model and a methodology for the long-term forecasting of social support, including pensions, </w:t>
            </w:r>
            <w:r w:rsidRPr="00BA1475">
              <w:rPr>
                <w:rFonts w:ascii="Arial Narrow" w:eastAsia="Calibri" w:hAnsi="Arial Narrow" w:cs="Times New Roman"/>
                <w:noProof/>
                <w:kern w:val="0"/>
                <w:sz w:val="16"/>
                <w:szCs w:val="16"/>
                <w14:ligatures w14:val="none"/>
              </w:rPr>
              <w:t xml:space="preserve"> </w:t>
            </w:r>
          </w:p>
          <w:p w14:paraId="795797A1"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draw up technical specifications for the development of an information system,</w:t>
            </w:r>
          </w:p>
          <w:p w14:paraId="3060EA75"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monitor the development of the system. </w:t>
            </w:r>
          </w:p>
          <w:p w14:paraId="110F64CC"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xml:space="preserve">The contract concluded shall include </w:t>
            </w:r>
            <w:r w:rsidRPr="00BA1475">
              <w:rPr>
                <w:rFonts w:ascii="Arial Narrow" w:eastAsia="Calibri" w:hAnsi="Arial Narrow" w:cs="Arial"/>
                <w:noProof/>
                <w:kern w:val="0"/>
                <w:sz w:val="16"/>
                <w:lang w:val="en-GB"/>
                <w14:ligatures w14:val="none"/>
              </w:rPr>
              <w:t>a timetable</w:t>
            </w:r>
            <w:r w:rsidRPr="00BA1475">
              <w:rPr>
                <w:rFonts w:ascii="Arial Narrow" w:eastAsia="Calibri" w:hAnsi="Arial Narrow" w:cs="Times New Roman"/>
                <w:noProof/>
                <w:kern w:val="0"/>
                <w:sz w:val="16"/>
                <w:szCs w:val="16"/>
                <w:lang w:val="en-GB"/>
                <w14:ligatures w14:val="none"/>
              </w:rPr>
              <w:t xml:space="preserve"> for the following deliverables:</w:t>
            </w:r>
            <w:r w:rsidRPr="00BA1475">
              <w:rPr>
                <w:rFonts w:ascii="Arial Narrow" w:eastAsia="Calibri" w:hAnsi="Arial Narrow" w:cs="Times New Roman"/>
                <w:noProof/>
                <w:kern w:val="0"/>
                <w:sz w:val="16"/>
                <w:szCs w:val="16"/>
                <w14:ligatures w14:val="none"/>
              </w:rPr>
              <w:t xml:space="preserve"> </w:t>
            </w:r>
          </w:p>
          <w:p w14:paraId="169A94DE"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an evaluation report on the current situation;</w:t>
            </w:r>
          </w:p>
          <w:p w14:paraId="434DC950"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a mathematical model for pension forecasting;</w:t>
            </w:r>
            <w:r w:rsidRPr="00BA1475">
              <w:rPr>
                <w:rFonts w:ascii="Arial Narrow" w:eastAsia="Calibri" w:hAnsi="Arial Narrow" w:cs="Times New Roman"/>
                <w:noProof/>
                <w:kern w:val="0"/>
                <w:sz w:val="16"/>
                <w:szCs w:val="16"/>
                <w14:ligatures w14:val="none"/>
              </w:rPr>
              <w:t xml:space="preserve"> </w:t>
            </w:r>
          </w:p>
          <w:p w14:paraId="1A30D28A"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evaluation of the current forecasting tool and its potential;</w:t>
            </w:r>
            <w:r w:rsidRPr="00BA1475">
              <w:rPr>
                <w:rFonts w:ascii="Arial Narrow" w:eastAsia="Calibri" w:hAnsi="Arial Narrow" w:cs="Times New Roman"/>
                <w:noProof/>
                <w:kern w:val="0"/>
                <w:sz w:val="16"/>
                <w:szCs w:val="16"/>
                <w14:ligatures w14:val="none"/>
              </w:rPr>
              <w:t xml:space="preserve"> </w:t>
            </w:r>
          </w:p>
          <w:p w14:paraId="5E09AEC1"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technical specifications for the development of an information system;</w:t>
            </w:r>
            <w:r w:rsidRPr="00BA1475">
              <w:rPr>
                <w:rFonts w:ascii="Arial Narrow" w:eastAsia="Calibri" w:hAnsi="Arial Narrow" w:cs="Times New Roman"/>
                <w:noProof/>
                <w:kern w:val="0"/>
                <w:sz w:val="16"/>
                <w:szCs w:val="16"/>
                <w14:ligatures w14:val="none"/>
              </w:rPr>
              <w:t xml:space="preserve"> </w:t>
            </w:r>
          </w:p>
          <w:p w14:paraId="34820BE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monitoring of the information system development throughout the project.</w:t>
            </w:r>
            <w:r w:rsidRPr="00BA1475">
              <w:rPr>
                <w:rFonts w:ascii="Arial Narrow" w:eastAsia="Calibri" w:hAnsi="Arial Narrow" w:cs="Times New Roman"/>
                <w:noProof/>
                <w:kern w:val="0"/>
                <w:sz w:val="16"/>
                <w:szCs w:val="16"/>
                <w14:ligatures w14:val="none"/>
              </w:rPr>
              <w:t xml:space="preserve"> </w:t>
            </w:r>
          </w:p>
        </w:tc>
      </w:tr>
      <w:tr w:rsidR="00B27E64" w:rsidRPr="00BA1475" w14:paraId="7B2FE185"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06889E2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119</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422882B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3.1.2.2.i. Development of a forecast tool</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72B1E3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C33E4C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Completion of technical specifications for social security forecasting tool information system</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DDB646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Technical specifications approved by the Ministry of Welfare and ready for submission to the information system developer</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4A6B3C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A4BD1A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9B5DC6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0D4A61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Q3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8F3CDC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2024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C2AA2A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Welfare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AAE2DF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7255184"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milestone (including all the constitutive elements) was satisfactorily fulfilled, with appropriate links to the underlying evidence.</w:t>
            </w:r>
          </w:p>
          <w:p w14:paraId="0DB4FC1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This document shall include as an annex the following documentary evidence and elements:</w:t>
            </w:r>
          </w:p>
          <w:p w14:paraId="7336B3B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a) a copy of technical specification</w:t>
            </w:r>
            <w:r w:rsidRPr="00BA1475" w:rsidDel="60C8C21A">
              <w:rPr>
                <w:rFonts w:ascii="Arial Narrow" w:eastAsia="Arial Narrow" w:hAnsi="Arial Narrow" w:cs="Arial Narrow"/>
                <w:noProof/>
                <w:kern w:val="0"/>
                <w:sz w:val="16"/>
                <w:szCs w:val="16"/>
                <w14:ligatures w14:val="none"/>
              </w:rPr>
              <w:t>s</w:t>
            </w:r>
            <w:r w:rsidRPr="00BA1475">
              <w:rPr>
                <w:rFonts w:ascii="Arial Narrow" w:eastAsia="Arial Narrow" w:hAnsi="Arial Narrow" w:cs="Arial Narrow"/>
                <w:noProof/>
                <w:kern w:val="0"/>
                <w:sz w:val="16"/>
                <w:szCs w:val="16"/>
                <w14:ligatures w14:val="none"/>
              </w:rPr>
              <w:t xml:space="preserve"> </w:t>
            </w:r>
            <w:r w:rsidRPr="00BA1475">
              <w:rPr>
                <w:rFonts w:ascii="Arial Narrow" w:eastAsia="Calibri" w:hAnsi="Arial Narrow" w:cs="Times New Roman"/>
                <w:noProof/>
                <w:kern w:val="0"/>
                <w:sz w:val="16"/>
                <w:szCs w:val="16"/>
                <w:lang w:val="en-GB"/>
                <w14:ligatures w14:val="none"/>
              </w:rPr>
              <w:t xml:space="preserve">for a new social security forecasting tool information system, </w:t>
            </w:r>
          </w:p>
          <w:p w14:paraId="149AA09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b) </w:t>
            </w:r>
            <w:r w:rsidRPr="00BA1475">
              <w:rPr>
                <w:rFonts w:ascii="Arial Narrow" w:eastAsia="Arial Narrow" w:hAnsi="Arial Narrow" w:cs="Arial Narrow"/>
                <w:noProof/>
                <w:kern w:val="0"/>
                <w:sz w:val="16"/>
                <w:szCs w:val="16"/>
                <w14:ligatures w14:val="none"/>
              </w:rPr>
              <w:t>extract of the relevant parts of the technical specification</w:t>
            </w:r>
            <w:r w:rsidRPr="00BA1475" w:rsidDel="60C8C21A">
              <w:rPr>
                <w:rFonts w:ascii="Arial Narrow" w:eastAsia="Arial Narrow" w:hAnsi="Arial Narrow" w:cs="Arial Narrow"/>
                <w:noProof/>
                <w:kern w:val="0"/>
                <w:sz w:val="16"/>
                <w:szCs w:val="16"/>
                <w14:ligatures w14:val="none"/>
              </w:rPr>
              <w:t>s</w:t>
            </w:r>
            <w:r w:rsidRPr="00BA1475">
              <w:rPr>
                <w:rFonts w:ascii="Arial Narrow" w:eastAsia="Arial Narrow" w:hAnsi="Arial Narrow" w:cs="Arial Narrow"/>
                <w:noProof/>
                <w:kern w:val="0"/>
                <w:sz w:val="16"/>
                <w:szCs w:val="16"/>
                <w14:ligatures w14:val="none"/>
              </w:rPr>
              <w:t xml:space="preserve"> of the project proving alignment with the description of the milestone in the CID Annex; </w:t>
            </w:r>
          </w:p>
          <w:p w14:paraId="0B0FCAF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c) extract of the official documents, including a copy of the minutes of the national-level working group containing evidence that </w:t>
            </w:r>
            <w:r w:rsidRPr="00BA1475">
              <w:rPr>
                <w:rFonts w:ascii="Arial Narrow" w:eastAsia="Calibri" w:hAnsi="Arial Narrow" w:cs="Calibri"/>
                <w:noProof/>
                <w:kern w:val="0"/>
                <w:sz w:val="16"/>
                <w:szCs w:val="16"/>
                <w:lang w:val="en-GB"/>
                <w14:ligatures w14:val="none"/>
              </w:rPr>
              <w:t>the technical specification included in the tender specifications for outsourcing the development of IS and are ready to be submitted to the Ministry of Welfare procurement commission.</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77E99D0C"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Completion of technical specifications for a new social security forecasting tool information system. The technical specifications shall include:</w:t>
            </w:r>
          </w:p>
          <w:p w14:paraId="583ACE38"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an evaluation report on the current forecasting tool and its options and recommendations for the development of the new forecasting tool;</w:t>
            </w:r>
            <w:r w:rsidRPr="00BA1475">
              <w:rPr>
                <w:rFonts w:ascii="Arial Narrow" w:eastAsia="Calibri" w:hAnsi="Arial Narrow" w:cs="Times New Roman"/>
                <w:noProof/>
                <w:kern w:val="0"/>
                <w:sz w:val="16"/>
                <w:szCs w:val="16"/>
                <w14:ligatures w14:val="none"/>
              </w:rPr>
              <w:t xml:space="preserve"> </w:t>
            </w:r>
          </w:p>
          <w:p w14:paraId="630613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technical specifications for the development of system (the technical specification shall also include a requirement for the application of the Agile methodology during the system development phases).</w:t>
            </w:r>
          </w:p>
        </w:tc>
      </w:tr>
      <w:tr w:rsidR="00B27E64" w:rsidRPr="00BA1475" w14:paraId="1AACCC16"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76EB9D6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120</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4803776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3.1.2.2.i. Development of a forecast tool</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80785C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3A4E0D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Development of a forecasting tool </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7526A0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Forecasting tool developed for the long-term projections of the social security system</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3FB9704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815D57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8AB4FD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F22862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Q1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A8175F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2026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397388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Welfare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B5F9A6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2DB3770D"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milestone (including all the constitutive elements) was satisfactorily fulfilled, with appropriate links to the underlying evidence.</w:t>
            </w:r>
          </w:p>
          <w:p w14:paraId="58EAFD72"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and elements: </w:t>
            </w:r>
          </w:p>
          <w:p w14:paraId="4A09E271"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a copy of the Transfer Acceptance Act  approving the IT </w:t>
            </w:r>
            <w:r w:rsidRPr="00BA1475">
              <w:rPr>
                <w:rFonts w:ascii="Arial Narrow" w:eastAsia="Calibri" w:hAnsi="Arial Narrow" w:cs="Calibri"/>
                <w:noProof/>
                <w:kern w:val="0"/>
                <w:sz w:val="16"/>
                <w:szCs w:val="16"/>
                <w:lang w:val="en-GB"/>
                <w14:ligatures w14:val="none"/>
              </w:rPr>
              <w:t xml:space="preserve">forecasting tool </w:t>
            </w:r>
            <w:r w:rsidRPr="00BA1475">
              <w:rPr>
                <w:rFonts w:ascii="Arial Narrow" w:eastAsia="Calibri" w:hAnsi="Arial Narrow" w:cs="Times New Roman"/>
                <w:noProof/>
                <w:kern w:val="0"/>
                <w:sz w:val="16"/>
                <w:szCs w:val="16"/>
                <w:lang w:val="en-GB"/>
                <w14:ligatures w14:val="none"/>
              </w:rPr>
              <w:t>for the long-term projections of the social security system</w:t>
            </w:r>
            <w:r w:rsidRPr="00BA1475">
              <w:rPr>
                <w:rFonts w:ascii="Arial Narrow" w:eastAsia="Arial Narrow" w:hAnsi="Arial Narrow" w:cs="Arial Narrow"/>
                <w:noProof/>
                <w:kern w:val="0"/>
                <w:sz w:val="16"/>
                <w:szCs w:val="16"/>
                <w14:ligatures w14:val="none"/>
              </w:rPr>
              <w:t xml:space="preserve">, </w:t>
            </w:r>
          </w:p>
          <w:p w14:paraId="7840F5B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b) extract of the official documents, including a copy of the minutes of the national level working group containing evidence on the alignment with the description of the milestone and investment in the CID Annex, including evidence demonstrating that the objectives detailed in the description of the milestone are indeed met.</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6F1E9609"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The handover act between the Ministry of Welfare and software developer is signed for the  development of a forecasting tool for the long-term forecasts of the social security system that:</w:t>
            </w:r>
          </w:p>
          <w:p w14:paraId="036ED886"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provides for the possibility to use and reflect the demographic aspect more effectively in the forecasts, leading to a faster and more accurate forecasting result;</w:t>
            </w:r>
          </w:p>
          <w:p w14:paraId="4E754CE5"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xml:space="preserve">— strengthens administrative capacity in the field of social security; </w:t>
            </w:r>
            <w:r w:rsidRPr="00BA1475">
              <w:rPr>
                <w:rFonts w:ascii="Arial Narrow" w:eastAsia="Calibri" w:hAnsi="Arial Narrow" w:cs="Times New Roman"/>
                <w:noProof/>
                <w:kern w:val="0"/>
                <w:sz w:val="16"/>
                <w:szCs w:val="16"/>
                <w14:ligatures w14:val="none"/>
              </w:rPr>
              <w:t xml:space="preserve"> </w:t>
            </w:r>
          </w:p>
          <w:p w14:paraId="0513BA39"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provides the possibility to enter a more detailed array of assumptions compared to the model used in the past;</w:t>
            </w:r>
            <w:r w:rsidRPr="00BA1475">
              <w:rPr>
                <w:rFonts w:ascii="Arial Narrow" w:eastAsia="Calibri" w:hAnsi="Arial Narrow" w:cs="Times New Roman"/>
                <w:noProof/>
                <w:kern w:val="0"/>
                <w:sz w:val="16"/>
                <w:szCs w:val="16"/>
                <w14:ligatures w14:val="none"/>
              </w:rPr>
              <w:t xml:space="preserve"> </w:t>
            </w:r>
          </w:p>
          <w:p w14:paraId="60DBC5B1"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enables modelling with elsewhere existing results (e.g.: Eurostat), as well as demographic and labour market indicators;</w:t>
            </w:r>
            <w:r w:rsidRPr="00BA1475">
              <w:rPr>
                <w:rFonts w:ascii="Arial Narrow" w:eastAsia="Calibri" w:hAnsi="Arial Narrow" w:cs="Times New Roman"/>
                <w:noProof/>
                <w:kern w:val="0"/>
                <w:sz w:val="16"/>
                <w:szCs w:val="16"/>
                <w14:ligatures w14:val="none"/>
              </w:rPr>
              <w:t xml:space="preserve"> </w:t>
            </w:r>
          </w:p>
          <w:p w14:paraId="6A3BFED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two handbooks have been developed for the administrator of the tool and for users.</w:t>
            </w:r>
            <w:r w:rsidRPr="00BA1475">
              <w:rPr>
                <w:rFonts w:ascii="Arial Narrow" w:eastAsia="Calibri" w:hAnsi="Arial Narrow" w:cs="Times New Roman"/>
                <w:noProof/>
                <w:kern w:val="0"/>
                <w:sz w:val="16"/>
                <w:szCs w:val="16"/>
                <w14:ligatures w14:val="none"/>
              </w:rPr>
              <w:t xml:space="preserve"> </w:t>
            </w:r>
          </w:p>
        </w:tc>
      </w:tr>
      <w:tr w:rsidR="00B27E64" w:rsidRPr="00BA1475" w14:paraId="1BBFE5E4"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721E282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121</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09F6666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3.1.2.3.i. Resilience and continuity of the long-term social care service</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CC39DB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785571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Development of standard construction design </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16A9AE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Requirements of the design task and standard  construction design developed  for  the provision of long-term care services close to family environment</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1C5FE7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3C0E86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AA1E12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3F47BF0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Q3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3E78674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2022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C1EF2A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VSIA  “Šampētera nams”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A508F3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3F923B6B"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milestone (including all the constitutive elements) was satisfactorily fulfilled, with appropriate links to the underlying evidence.</w:t>
            </w:r>
          </w:p>
          <w:p w14:paraId="67FE51E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229A246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a) a copy of adopted </w:t>
            </w:r>
            <w:r w:rsidRPr="00BA1475">
              <w:rPr>
                <w:rFonts w:ascii="Arial Narrow" w:eastAsia="Calibri" w:hAnsi="Arial Narrow" w:cs="Times New Roman"/>
                <w:noProof/>
                <w:kern w:val="0"/>
                <w:sz w:val="16"/>
                <w:szCs w:val="16"/>
                <w:lang w:val="en-GB"/>
                <w14:ligatures w14:val="none"/>
              </w:rPr>
              <w:t>standard construction design for the construction of buildings necessary for the provision of community based long-term care services,</w:t>
            </w:r>
          </w:p>
          <w:p w14:paraId="0E73507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w:t>
            </w:r>
            <w:r w:rsidRPr="00BA1475">
              <w:rPr>
                <w:rFonts w:ascii="Arial Narrow" w:eastAsia="Arial Narrow" w:hAnsi="Arial Narrow" w:cs="Arial Narrow"/>
                <w:noProof/>
                <w:kern w:val="0"/>
                <w:sz w:val="16"/>
                <w:szCs w:val="16"/>
                <w14:ligatures w14:val="none"/>
              </w:rPr>
              <w:t xml:space="preserve">extract of the official documents, including a Transfer Acceptance Act and the guidelines established by the Ministry of Welfare for the establishment of services close to the family, containing evidence that </w:t>
            </w:r>
            <w:r w:rsidRPr="00BA1475">
              <w:rPr>
                <w:rFonts w:ascii="Arial Narrow" w:eastAsia="Calibri" w:hAnsi="Arial Narrow" w:cs="Calibri"/>
                <w:noProof/>
                <w:kern w:val="0"/>
                <w:sz w:val="16"/>
                <w:szCs w:val="16"/>
                <w:lang w:val="en-GB"/>
                <w14:ligatures w14:val="none"/>
              </w:rPr>
              <w:t xml:space="preserve">the construction design for the buildings is in line with </w:t>
            </w:r>
            <w:r w:rsidRPr="00BA1475">
              <w:rPr>
                <w:rFonts w:ascii="Arial Narrow" w:eastAsia="Arial Narrow" w:hAnsi="Arial Narrow" w:cs="Arial Narrow"/>
                <w:noProof/>
                <w:kern w:val="0"/>
                <w:sz w:val="16"/>
                <w:szCs w:val="16"/>
                <w14:ligatures w14:val="none"/>
              </w:rPr>
              <w:t>the description of the milestone in the CID Annex, in particular they are adapted to provision of community based long-term care services.</w:t>
            </w:r>
            <w:r w:rsidRPr="00BA1475">
              <w:rPr>
                <w:rFonts w:ascii="Arial Narrow" w:eastAsia="Arial Narrow" w:hAnsi="Arial Narrow" w:cs="Arial Narrow"/>
                <w:noProof/>
                <w:kern w:val="0"/>
                <w:sz w:val="16"/>
                <w:szCs w:val="16"/>
                <w:lang w:val="en-GB"/>
                <w14:ligatures w14:val="none"/>
              </w:rPr>
              <w:t xml:space="preserve">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78E1F4C3" w14:textId="77777777" w:rsidR="00BA1475" w:rsidRPr="00BA1475" w:rsidRDefault="00BA1475" w:rsidP="00BA1475">
            <w:pPr>
              <w:spacing w:before="120" w:after="12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 xml:space="preserve">A standard construction design for the construction of buildings necessary for the provision of long-term care services close to the family environment has been adopted by the Ministry of Welfare. </w:t>
            </w:r>
          </w:p>
          <w:p w14:paraId="0F77C465"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construction design shall be intended for the construction of highly energy-efficient buildings (nearly zero-energy buildings). </w:t>
            </w:r>
            <w:r w:rsidRPr="00BA1475">
              <w:rPr>
                <w:rFonts w:ascii="Arial Narrow" w:eastAsia="Calibri" w:hAnsi="Arial Narrow" w:cs="Times New Roman"/>
                <w:noProof/>
                <w:kern w:val="0"/>
                <w:sz w:val="16"/>
                <w:szCs w:val="16"/>
                <w14:ligatures w14:val="none"/>
              </w:rPr>
              <w:t xml:space="preserve"> </w:t>
            </w:r>
          </w:p>
          <w:p w14:paraId="00B60B5F"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sidDel="60C8C21A">
              <w:rPr>
                <w:rFonts w:ascii="Arial Narrow" w:eastAsia="Calibri" w:hAnsi="Arial Narrow" w:cs="Times New Roman"/>
                <w:noProof/>
                <w:kern w:val="0"/>
                <w:sz w:val="16"/>
                <w:szCs w:val="16"/>
                <w:lang w:val="en-GB"/>
                <w14:ligatures w14:val="none"/>
              </w:rPr>
              <w:t>Municipalities shall be in possession of a</w:t>
            </w:r>
            <w:r w:rsidRPr="00BA1475">
              <w:rPr>
                <w:rFonts w:ascii="Arial Narrow" w:eastAsia="Calibri" w:hAnsi="Arial Narrow" w:cs="Times New Roman"/>
                <w:noProof/>
                <w:kern w:val="0"/>
                <w:sz w:val="16"/>
                <w:szCs w:val="16"/>
                <w:lang w:val="en-GB"/>
                <w14:ligatures w14:val="none"/>
              </w:rPr>
              <w:t xml:space="preserve"> standard construction project  already ready, thus reducing project costs.</w:t>
            </w:r>
          </w:p>
          <w:p w14:paraId="62DEE33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14:ligatures w14:val="none"/>
              </w:rPr>
              <w:t>S</w:t>
            </w:r>
            <w:r w:rsidRPr="00BA1475">
              <w:rPr>
                <w:rFonts w:ascii="Arial Narrow" w:eastAsia="Calibri" w:hAnsi="Arial Narrow" w:cs="Times New Roman"/>
                <w:noProof/>
                <w:kern w:val="0"/>
                <w:sz w:val="16"/>
                <w:szCs w:val="16"/>
                <w:lang w:val="en-GB"/>
                <w14:ligatures w14:val="none"/>
              </w:rPr>
              <w:t>impler project implementation for municipalities shall reduce risks for delays in project implementation</w:t>
            </w:r>
            <w:r w:rsidRPr="00BA1475">
              <w:rPr>
                <w:rFonts w:ascii="Arial Narrow" w:eastAsia="Calibri" w:hAnsi="Arial Narrow" w:cs="Times New Roman"/>
                <w:noProof/>
                <w:color w:val="2B579A"/>
                <w:kern w:val="0"/>
                <w:sz w:val="16"/>
                <w:szCs w:val="16"/>
                <w:lang w:val="en-GB"/>
                <w14:ligatures w14:val="none"/>
              </w:rPr>
              <w:t>.</w:t>
            </w:r>
          </w:p>
        </w:tc>
      </w:tr>
      <w:tr w:rsidR="00B27E64" w:rsidRPr="00BA1475" w14:paraId="2653F62C"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2BE3152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122</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41AF2AE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b/>
                <w:bCs/>
                <w:noProof/>
                <w:kern w:val="0"/>
                <w:sz w:val="16"/>
                <w:szCs w:val="16"/>
                <w:lang w:val="en-GB"/>
                <w14:ligatures w14:val="none"/>
              </w:rPr>
              <w:t>3.1.2.3.i. Resilience and continuity of the long-term social care service</w:t>
            </w:r>
            <w:r w:rsidRPr="00BA1475">
              <w:rPr>
                <w:rFonts w:ascii="Arial Narrow" w:eastAsia="Calibri" w:hAnsi="Arial Narrow" w:cs="Times New Roman"/>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80E6A9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C1BE7F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Conclusion of contracts on the implementation of projects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59DCE4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02008A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contracts</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9D446B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FA8D13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6</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5A6EFE7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F2468F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2023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2DB370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Central Finance and Contracting Agency/ local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EDBC27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1FC039C8"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target (including all the constitutive elements,</w:t>
            </w:r>
            <w:r w:rsidRPr="00BA1475">
              <w:rPr>
                <w:rFonts w:ascii="Arial Narrow" w:eastAsia="Calibri" w:hAnsi="Arial Narrow" w:cs="Calibri"/>
                <w:noProof/>
                <w:kern w:val="0"/>
                <w:sz w:val="16"/>
                <w:szCs w:val="16"/>
                <w:lang w:val="en-GB"/>
                <w14:ligatures w14:val="none"/>
              </w:rPr>
              <w:t xml:space="preserve"> in particular in relation to the provision of long-term care services being close to the family environment</w:t>
            </w:r>
            <w:r w:rsidRPr="00BA1475">
              <w:rPr>
                <w:rFonts w:ascii="Arial Narrow" w:eastAsia="Arial Narrow" w:hAnsi="Arial Narrow" w:cs="Arial Narrow"/>
                <w:noProof/>
                <w:kern w:val="0"/>
                <w:sz w:val="16"/>
                <w:szCs w:val="16"/>
                <w14:ligatures w14:val="none"/>
              </w:rPr>
              <w:t xml:space="preserve">) was satisfactorily fulfilled, with appropriate links to the underlying evidence. </w:t>
            </w:r>
          </w:p>
          <w:p w14:paraId="2C756C5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a list and copies </w:t>
            </w:r>
            <w:r w:rsidRPr="00BA1475">
              <w:rPr>
                <w:rFonts w:ascii="Arial Narrow" w:eastAsia="Calibri" w:hAnsi="Arial Narrow" w:cs="Times New Roman"/>
                <w:noProof/>
                <w:kern w:val="0"/>
                <w:sz w:val="16"/>
                <w:szCs w:val="16"/>
                <w:lang w:val="en-GB"/>
                <w14:ligatures w14:val="none"/>
              </w:rPr>
              <w:t>of the concluded/signed agreements with local governments on the establishment of new places for the provision of community based long-term care services.</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2FCB53A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Central Finance and Contracting Agency has concluded at least 6 contracts on the establishment of new places for the provision of long-term care services close to the family environment.</w:t>
            </w:r>
          </w:p>
        </w:tc>
      </w:tr>
      <w:tr w:rsidR="00B27E64" w:rsidRPr="00BA1475" w14:paraId="27AF03FD"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7E17AFA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123</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6DBB7ACD" w14:textId="77777777" w:rsidR="00BA1475" w:rsidRPr="00BA1475" w:rsidRDefault="00BA1475" w:rsidP="00BA1475">
            <w:pPr>
              <w:spacing w:after="0" w:line="240" w:lineRule="auto"/>
              <w:rPr>
                <w:rFonts w:ascii="Arial Narrow" w:eastAsia="Calibri" w:hAnsi="Arial Narrow" w:cs="Times New Roman"/>
                <w:b/>
                <w:noProof/>
                <w:kern w:val="0"/>
                <w:sz w:val="16"/>
                <w:szCs w:val="16"/>
                <w14:ligatures w14:val="none"/>
              </w:rPr>
            </w:pPr>
            <w:r w:rsidRPr="00BA1475">
              <w:rPr>
                <w:rFonts w:ascii="Arial Narrow" w:eastAsia="Calibri" w:hAnsi="Arial Narrow" w:cs="Times New Roman"/>
                <w:b/>
                <w:bCs/>
                <w:noProof/>
                <w:kern w:val="0"/>
                <w:sz w:val="16"/>
                <w:szCs w:val="16"/>
                <w:lang w:val="en-GB"/>
                <w14:ligatures w14:val="none"/>
              </w:rPr>
              <w:t>3.1.2.3.i. Resilience and continuity of the long-term social care service</w:t>
            </w:r>
            <w:r w:rsidRPr="00BA1475">
              <w:rPr>
                <w:rFonts w:ascii="Arial Narrow" w:eastAsia="Calibri" w:hAnsi="Arial Narrow" w:cs="Times New Roman"/>
                <w:b/>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C630D8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F0A9BA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Provision of new places for long-term care services close to family. settings for 408 persons of retirement age</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5033F6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08A4EA9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places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9C7E92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548A8F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408</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F876BE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943DBD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2026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B553C7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Central Finance and Contracting Agency/ local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FFD830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2B97E581"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target (including all the constitutive elements) was satisfactorily fulfilled, with appropriate links to the underlying evidence. </w:t>
            </w:r>
          </w:p>
          <w:p w14:paraId="7D4C506A"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r w:rsidRPr="00BA1475">
              <w:rPr>
                <w:rFonts w:ascii="Arial Narrow" w:eastAsia="Arial Narrow" w:hAnsi="Arial Narrow" w:cs="Arial Narrow"/>
                <w:noProof/>
                <w:kern w:val="0"/>
                <w:sz w:val="16"/>
                <w:szCs w:val="16"/>
                <w14:ligatures w14:val="none"/>
              </w:rPr>
              <w:t>This document shall include as an annex the following documentary evidence:</w:t>
            </w:r>
          </w:p>
          <w:p w14:paraId="73B5E871"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p>
          <w:p w14:paraId="24A333A9"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r w:rsidRPr="00BA1475">
              <w:rPr>
                <w:rFonts w:ascii="Arial Narrow" w:eastAsia="Arial Narrow" w:hAnsi="Arial Narrow" w:cs="Arial Narrow"/>
                <w:noProof/>
                <w:kern w:val="0"/>
                <w:sz w:val="16"/>
                <w:szCs w:val="16"/>
                <w14:ligatures w14:val="none"/>
              </w:rPr>
              <w:t>a) the name, the location of  buildings, their surface in m2, how many people they would accommodate each and in total (including number of single and two-person rooms) and a brief description of the intervention in accordance with the CID Annex;</w:t>
            </w:r>
          </w:p>
          <w:p w14:paraId="24019092"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b) certification of entry into operation of the buildings, </w:t>
            </w:r>
          </w:p>
          <w:p w14:paraId="6B13F10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c) extract of the relevant parts of the completed projects proving alignment with the description of the target and investment in the CID Annex, including number of places for persons of retirement age and confirmation that they will be the final beneficiaries of the investment, available minimum equipment,</w:t>
            </w:r>
            <w:r w:rsidRPr="00BA1475">
              <w:rPr>
                <w:rFonts w:ascii="Arial Narrow" w:eastAsia="Arial Narrow" w:hAnsi="Arial Narrow" w:cs="Arial Narrow"/>
                <w:noProof/>
                <w:kern w:val="0"/>
                <w:sz w:val="16"/>
                <w:szCs w:val="16"/>
                <w:lang w:val="en-GB"/>
                <w14:ligatures w14:val="none"/>
              </w:rPr>
              <w:t>and in line with building accesibility standards.</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77127806"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Creation of new places for the provision of long-term care services close to the family environment for 408 persons of retirement age</w:t>
            </w:r>
            <w:r w:rsidRPr="00BA1475" w:rsidDel="60C8C21A">
              <w:rPr>
                <w:rFonts w:ascii="Arial Narrow" w:eastAsia="Calibri" w:hAnsi="Arial Narrow" w:cs="Times New Roman"/>
                <w:noProof/>
                <w:kern w:val="0"/>
                <w:sz w:val="16"/>
                <w:szCs w:val="16"/>
                <w:lang w:val="en-GB"/>
                <w14:ligatures w14:val="none"/>
              </w:rPr>
              <w:t xml:space="preserve"> (</w:t>
            </w:r>
            <w:r w:rsidRPr="00BA1475">
              <w:rPr>
                <w:rFonts w:ascii="Arial Narrow" w:eastAsia="Calibri" w:hAnsi="Arial Narrow" w:cs="Times New Roman"/>
                <w:noProof/>
                <w:kern w:val="0"/>
                <w:sz w:val="16"/>
                <w:szCs w:val="16"/>
                <w:lang w:val="en-GB"/>
                <w14:ligatures w14:val="none"/>
              </w:rPr>
              <w:t xml:space="preserve">26 </w:t>
            </w:r>
            <w:r w:rsidRPr="00BA1475" w:rsidDel="60C8C21A">
              <w:rPr>
                <w:rFonts w:ascii="Arial Narrow" w:eastAsia="Calibri" w:hAnsi="Arial Narrow" w:cs="Times New Roman"/>
                <w:noProof/>
                <w:kern w:val="0"/>
                <w:sz w:val="16"/>
                <w:szCs w:val="16"/>
                <w:lang w:val="en-GB"/>
                <w14:ligatures w14:val="none"/>
              </w:rPr>
              <w:t>buildings built with a maximum of 16 persons per building)</w:t>
            </w:r>
            <w:r w:rsidRPr="00BA1475">
              <w:rPr>
                <w:rFonts w:ascii="Arial Narrow" w:eastAsia="Calibri" w:hAnsi="Arial Narrow" w:cs="Times New Roman"/>
                <w:noProof/>
                <w:kern w:val="0"/>
                <w:sz w:val="16"/>
                <w:szCs w:val="16"/>
                <w:lang w:val="en-GB"/>
                <w14:ligatures w14:val="none"/>
              </w:rPr>
              <w:t xml:space="preserve">. </w:t>
            </w:r>
            <w:r w:rsidRPr="00BA1475">
              <w:rPr>
                <w:rFonts w:ascii="Arial Narrow" w:eastAsia="Calibri" w:hAnsi="Arial Narrow" w:cs="Times New Roman"/>
                <w:noProof/>
                <w:kern w:val="0"/>
                <w:sz w:val="16"/>
                <w:szCs w:val="16"/>
                <w14:ligatures w14:val="none"/>
              </w:rPr>
              <w:t xml:space="preserve"> </w:t>
            </w:r>
          </w:p>
          <w:p w14:paraId="1A93805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14:ligatures w14:val="none"/>
              </w:rPr>
              <w:t xml:space="preserve"> The construction of these buildings shall ensure that each building is provided with at least a predefined minimum equipment, such as appliances and furniture.</w:t>
            </w:r>
          </w:p>
        </w:tc>
      </w:tr>
      <w:tr w:rsidR="00B27E64" w:rsidRPr="00BA1475" w14:paraId="32867F42"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0038C2D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124</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1C97D2AE" w14:textId="77777777" w:rsidR="00BA1475" w:rsidRPr="00BA1475" w:rsidRDefault="00BA1475" w:rsidP="00BA1475">
            <w:pPr>
              <w:spacing w:after="0" w:line="240" w:lineRule="auto"/>
              <w:ind w:left="-111"/>
              <w:rPr>
                <w:rFonts w:ascii="Arial Narrow" w:eastAsia="Calibri" w:hAnsi="Arial Narrow" w:cs="Times New Roman"/>
                <w:b/>
                <w:bCs/>
                <w:noProof/>
                <w:kern w:val="0"/>
                <w:sz w:val="16"/>
                <w:szCs w:val="16"/>
                <w14:ligatures w14:val="none"/>
              </w:rPr>
            </w:pPr>
            <w:r w:rsidRPr="00BA1475">
              <w:rPr>
                <w:rFonts w:ascii="Arial Narrow" w:eastAsia="Calibri" w:hAnsi="Arial Narrow" w:cs="Times New Roman"/>
                <w:b/>
                <w:bCs/>
                <w:noProof/>
                <w:kern w:val="0"/>
                <w:sz w:val="16"/>
                <w:szCs w:val="16"/>
                <w:lang w:val="en-GB"/>
                <w14:ligatures w14:val="none"/>
              </w:rPr>
              <w:t>3.1.2.4.i. Synergistic development of social and vocational rehabilitation services for the promotion of the resilience of people with functional impairment</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77A1A8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2579F0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Description of the vocational rehabilitation service adopted</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67DADE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of a description of the vocational rehabilitation services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3E85849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33D1A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A346B8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480E2BB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2AF766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2023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05F0BD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Social Integration State Agency</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956F61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82B1A1B"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milestone (including all the constitutive elements) was satisfactorily fulfilled, with appropriate links to the underlying evidence.</w:t>
            </w:r>
          </w:p>
          <w:p w14:paraId="289578E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094C93A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a) a copy of the description of the vocational rehabilitation service adopted by t</w:t>
            </w:r>
            <w:r w:rsidRPr="00BA1475">
              <w:rPr>
                <w:rFonts w:ascii="Arial Narrow" w:eastAsia="Calibri" w:hAnsi="Arial Narrow" w:cs="Times New Roman"/>
                <w:noProof/>
                <w:kern w:val="0"/>
                <w:sz w:val="16"/>
                <w:szCs w:val="16"/>
                <w:lang w:val="en-GB"/>
                <w14:ligatures w14:val="none"/>
              </w:rPr>
              <w:t>he Advisory Council of the State Agency for Social Integration and approved by the Agency of Social Integration</w:t>
            </w:r>
            <w:r w:rsidRPr="00BA1475">
              <w:rPr>
                <w:rFonts w:ascii="Arial Narrow" w:eastAsia="Arial Narrow" w:hAnsi="Arial Narrow" w:cs="Arial Narrow"/>
                <w:noProof/>
                <w:kern w:val="0"/>
                <w:sz w:val="16"/>
                <w:szCs w:val="16"/>
                <w14:ligatures w14:val="none"/>
              </w:rPr>
              <w:t xml:space="preserve"> </w:t>
            </w:r>
            <w:r w:rsidRPr="00BA1475">
              <w:rPr>
                <w:rFonts w:ascii="Arial Narrow" w:eastAsia="Calibri" w:hAnsi="Arial Narrow" w:cs="Times New Roman"/>
                <w:noProof/>
                <w:kern w:val="0"/>
                <w:sz w:val="16"/>
                <w:szCs w:val="16"/>
                <w:lang w:val="en-GB"/>
                <w14:ligatures w14:val="none"/>
              </w:rPr>
              <w:t xml:space="preserve">;  </w:t>
            </w:r>
          </w:p>
          <w:p w14:paraId="59C8738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b) </w:t>
            </w:r>
            <w:r w:rsidRPr="00BA1475">
              <w:rPr>
                <w:rFonts w:ascii="Arial Narrow" w:eastAsia="Arial Narrow" w:hAnsi="Arial Narrow" w:cs="Arial Narrow"/>
                <w:noProof/>
                <w:kern w:val="0"/>
                <w:sz w:val="16"/>
                <w:szCs w:val="16"/>
                <w14:ligatures w14:val="none"/>
              </w:rPr>
              <w:t xml:space="preserve">extract of the relevant parts of the </w:t>
            </w:r>
            <w:r w:rsidRPr="00BA1475">
              <w:rPr>
                <w:rFonts w:ascii="Arial Narrow" w:eastAsia="Calibri" w:hAnsi="Arial Narrow" w:cs="Times New Roman"/>
                <w:noProof/>
                <w:kern w:val="0"/>
                <w:sz w:val="16"/>
                <w:szCs w:val="16"/>
                <w:lang w:val="en-GB"/>
                <w14:ligatures w14:val="none"/>
              </w:rPr>
              <w:t>description of a vocational rehabilitation service</w:t>
            </w:r>
            <w:r w:rsidRPr="00BA1475">
              <w:rPr>
                <w:rFonts w:ascii="Arial Narrow" w:eastAsia="Arial Narrow" w:hAnsi="Arial Narrow" w:cs="Arial Narrow"/>
                <w:noProof/>
                <w:kern w:val="0"/>
                <w:sz w:val="16"/>
                <w:szCs w:val="16"/>
                <w14:ligatures w14:val="none"/>
              </w:rPr>
              <w:t xml:space="preserve"> proving alignment with the description of the milestone in the CID Annex.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7A0525C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Advisory Council of the State Agency for Social Integration has adopted and the Agency for Social Integration has approved the description of  a vocational rehabilitation service that promotes the maintenance, renewal and acquisition of new education or skills for re-employment as soon as possible, promoting the safety of customers.</w:t>
            </w:r>
            <w:r w:rsidRPr="00BA1475">
              <w:rPr>
                <w:rFonts w:ascii="Arial Narrow" w:eastAsia="Calibri" w:hAnsi="Arial Narrow" w:cs="Times New Roman"/>
                <w:noProof/>
                <w:kern w:val="0"/>
                <w:sz w:val="16"/>
                <w:szCs w:val="16"/>
                <w14:ligatures w14:val="none"/>
              </w:rPr>
              <w:t xml:space="preserve"> </w:t>
            </w:r>
          </w:p>
        </w:tc>
      </w:tr>
      <w:tr w:rsidR="00B27E64" w:rsidRPr="00BA1475" w14:paraId="358158FA"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6CCCE38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125</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0B40FEF2" w14:textId="77777777" w:rsidR="00BA1475" w:rsidRPr="00BA1475" w:rsidRDefault="00BA1475" w:rsidP="00BA1475">
            <w:pPr>
              <w:spacing w:after="0" w:line="240" w:lineRule="auto"/>
              <w:rPr>
                <w:rFonts w:ascii="Arial Narrow" w:eastAsia="Calibri" w:hAnsi="Arial Narrow" w:cs="Times New Roman"/>
                <w:b/>
                <w:noProof/>
                <w:kern w:val="0"/>
                <w:sz w:val="16"/>
                <w:szCs w:val="16"/>
                <w14:ligatures w14:val="none"/>
              </w:rPr>
            </w:pPr>
            <w:r w:rsidRPr="00BA1475">
              <w:rPr>
                <w:rFonts w:ascii="Arial Narrow" w:eastAsia="Calibri" w:hAnsi="Arial Narrow" w:cs="Times New Roman"/>
                <w:b/>
                <w:noProof/>
                <w:kern w:val="0"/>
                <w:sz w:val="16"/>
                <w:szCs w:val="16"/>
                <w:lang w:val="en-GB"/>
                <w14:ligatures w14:val="none"/>
              </w:rPr>
              <w:t>3.1.2.4.i. Synergistic development of social and vocational rehabilitation services for the promotion of the resilience of people with functional impairment</w:t>
            </w:r>
            <w:r w:rsidRPr="00BA1475">
              <w:rPr>
                <w:rFonts w:ascii="Arial Narrow" w:eastAsia="Calibri" w:hAnsi="Arial Narrow" w:cs="Times New Roman"/>
                <w:b/>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781422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4D4EEB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Adaptation of building infrastructure, including promotion of environmental accessibility and energy efficiency, and improvement of the technical and material equipment</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7D70D6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Adaptation of  2 buildings where the infrastructure shall be improved, including environmental accessibility and energy efficiency, and the improvement of the technical and material equipment</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20299B8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774080F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09FF49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1377510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36D0D6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2026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9A912A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Social Integration State Agency</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63DA98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569D4222"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milestone (including all the constitutive elements) was satisfactorily fulfilled, with appropriate links to the underlying evidence.</w:t>
            </w:r>
          </w:p>
          <w:p w14:paraId="69FF04FD"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This document shall include as an annex the following documentary evidence:</w:t>
            </w:r>
          </w:p>
          <w:p w14:paraId="776F5AAA"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a copy of the certificate of completion of </w:t>
            </w:r>
            <w:r w:rsidRPr="00BA1475">
              <w:rPr>
                <w:rFonts w:ascii="Arial Narrow" w:eastAsia="Calibri" w:hAnsi="Arial Narrow" w:cs="Times New Roman"/>
                <w:noProof/>
                <w:kern w:val="0"/>
                <w:sz w:val="16"/>
                <w:szCs w:val="16"/>
                <w:lang w:val="en-GB"/>
                <w14:ligatures w14:val="none"/>
              </w:rPr>
              <w:t xml:space="preserve">2 buildings with the improved infrastructure and </w:t>
            </w:r>
            <w:r w:rsidRPr="00BA1475">
              <w:rPr>
                <w:rFonts w:ascii="Arial Narrow" w:eastAsia="Arial Narrow" w:hAnsi="Arial Narrow" w:cs="Arial Narrow"/>
                <w:noProof/>
                <w:kern w:val="0"/>
                <w:sz w:val="16"/>
                <w:szCs w:val="16"/>
                <w:lang w:val="en-GB"/>
                <w14:ligatures w14:val="none"/>
              </w:rPr>
              <w:t xml:space="preserve">the technical and material </w:t>
            </w:r>
            <w:r w:rsidRPr="00BA1475">
              <w:rPr>
                <w:rFonts w:ascii="Arial Narrow" w:eastAsia="Calibri" w:hAnsi="Arial Narrow" w:cs="Times New Roman"/>
                <w:noProof/>
                <w:kern w:val="0"/>
                <w:sz w:val="16"/>
                <w:szCs w:val="16"/>
                <w:lang w:val="en-GB"/>
                <w14:ligatures w14:val="none"/>
              </w:rPr>
              <w:t xml:space="preserve">equipment </w:t>
            </w:r>
            <w:r w:rsidRPr="00BA1475">
              <w:rPr>
                <w:rFonts w:ascii="Arial Narrow" w:eastAsia="Arial Narrow" w:hAnsi="Arial Narrow" w:cs="Arial Narrow"/>
                <w:noProof/>
                <w:kern w:val="0"/>
                <w:sz w:val="16"/>
                <w:szCs w:val="16"/>
                <w14:ligatures w14:val="none"/>
              </w:rPr>
              <w:t>issued in accordance with the national legislation;</w:t>
            </w:r>
          </w:p>
          <w:p w14:paraId="05F61629"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 b) type of intervention and brief justification proving alignment with the description of the milestone in the CID Annex; </w:t>
            </w:r>
          </w:p>
          <w:p w14:paraId="4CBCD3A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c) aggregated energy performance certificates before and after the renovation action/adaptation of buildings to increase energy efficiency in the buildings</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031150D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infrastructure and logistical equipment have been improved  in buildings where services shall be  provided to promote the resilience  of people with functional impairments, including:</w:t>
            </w:r>
          </w:p>
          <w:p w14:paraId="4A571C6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measures to adapt the environment of the building Slokas street 61, Jūrmala;</w:t>
            </w:r>
          </w:p>
          <w:p w14:paraId="0AE95C2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increased energy efficiency in the building Dubultu prospect 71, Jūrmala.</w:t>
            </w:r>
          </w:p>
        </w:tc>
      </w:tr>
      <w:tr w:rsidR="00B27E64" w:rsidRPr="00BA1475" w14:paraId="54F770C4"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3E3F3E9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126</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1B521E66" w14:textId="77777777" w:rsidR="00BA1475" w:rsidRPr="00BA1475" w:rsidRDefault="00BA1475" w:rsidP="00BA1475">
            <w:pPr>
              <w:spacing w:after="0" w:line="240" w:lineRule="auto"/>
              <w:rPr>
                <w:rFonts w:ascii="Arial Narrow" w:eastAsia="Calibri" w:hAnsi="Arial Narrow" w:cs="Times New Roman"/>
                <w:b/>
                <w:noProof/>
                <w:kern w:val="0"/>
                <w:sz w:val="16"/>
                <w:szCs w:val="16"/>
                <w14:ligatures w14:val="none"/>
              </w:rPr>
            </w:pPr>
            <w:r w:rsidRPr="00BA1475">
              <w:rPr>
                <w:rFonts w:ascii="Arial Narrow" w:eastAsia="Calibri" w:hAnsi="Arial Narrow" w:cs="Times New Roman"/>
                <w:b/>
                <w:noProof/>
                <w:kern w:val="0"/>
                <w:sz w:val="16"/>
                <w:szCs w:val="16"/>
                <w:lang w:val="en-GB"/>
                <w14:ligatures w14:val="none"/>
              </w:rPr>
              <w:t>3.1.2.4.i. Synergistic development of social and vocational rehabilitation services for the promotion of the resilience of people with functional impairment</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864F13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386B3B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a new standard for social and vocational rehabilitation services for the promotion of the resilience of people with functional impairments have been established and approved</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1A9E43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New rehabilitation service standard is approved</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5DA54FF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29FADC0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7D8C69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246C5C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01F1F7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507EC5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Social Integration State Agency</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C023E4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D1B71D1"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milestone (including all the constitutive elements) was satisfactorily fulfilled, with appropriate links to the underlying evidence.</w:t>
            </w:r>
          </w:p>
          <w:p w14:paraId="20EA6B45"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This document shall include as an annex the following documentary evidence:</w:t>
            </w:r>
          </w:p>
          <w:p w14:paraId="5C21F1C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a) a copy of the new standard for vocational rehabilitation service</w:t>
            </w:r>
            <w:r w:rsidRPr="00BA1475">
              <w:rPr>
                <w:rFonts w:ascii="Arial Narrow" w:eastAsia="Calibri" w:hAnsi="Arial Narrow" w:cs="Times New Roman"/>
                <w:noProof/>
                <w:kern w:val="0"/>
                <w:sz w:val="16"/>
                <w:szCs w:val="16"/>
                <w:lang w:val="en-GB"/>
                <w14:ligatures w14:val="none"/>
              </w:rPr>
              <w:t xml:space="preserve">, which also includes a social rehabilitation component, </w:t>
            </w:r>
            <w:r w:rsidRPr="00BA1475">
              <w:rPr>
                <w:rFonts w:ascii="Arial Narrow" w:eastAsia="Calibri" w:hAnsi="Arial Narrow" w:cs="Calibri"/>
                <w:noProof/>
                <w:kern w:val="0"/>
                <w:sz w:val="16"/>
                <w:szCs w:val="16"/>
                <w:lang w:val="en-GB"/>
                <w14:ligatures w14:val="none"/>
              </w:rPr>
              <w:t xml:space="preserve">adopted by the Advisory Council of </w:t>
            </w:r>
            <w:r w:rsidRPr="00BA1475">
              <w:rPr>
                <w:rFonts w:ascii="Arial Narrow" w:eastAsia="Calibri" w:hAnsi="Arial Narrow" w:cs="Times New Roman"/>
                <w:noProof/>
                <w:kern w:val="0"/>
                <w:sz w:val="16"/>
                <w:szCs w:val="16"/>
                <w:lang w:val="en-GB"/>
                <w14:ligatures w14:val="none"/>
              </w:rPr>
              <w:t xml:space="preserve">State Agency for Social Integration and approved by the Agency for Social Integration, </w:t>
            </w:r>
          </w:p>
          <w:p w14:paraId="1D457CF2" w14:textId="77777777" w:rsidR="00BA1475" w:rsidRPr="00BA1475" w:rsidRDefault="00BA1475" w:rsidP="00BA1475">
            <w:pPr>
              <w:spacing w:after="0" w:line="240" w:lineRule="auto"/>
              <w:rPr>
                <w:rFonts w:ascii="Arial Narrow" w:eastAsia="Calibri" w:hAnsi="Arial Narrow" w:cs="Arial"/>
                <w:noProof/>
                <w:color w:val="FF0000"/>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w:t>
            </w:r>
            <w:bookmarkStart w:id="11" w:name="_Hlk157526581"/>
            <w:r w:rsidRPr="00BA1475">
              <w:rPr>
                <w:rFonts w:ascii="Arial Narrow" w:eastAsia="Calibri" w:hAnsi="Arial Narrow" w:cs="Arial"/>
                <w:noProof/>
                <w:color w:val="000000"/>
                <w:kern w:val="0"/>
                <w:sz w:val="16"/>
                <w:szCs w:val="16"/>
                <w:lang w:val="en-GB"/>
                <w14:ligatures w14:val="none"/>
              </w:rPr>
              <w:t>a copy of documents justifying that Competence development programme (methodology for the development of competences of professionals to work with informal carers and competence development training programmes (modules) for informal carers of persons with functional disabilities) has been elaborated,</w:t>
            </w:r>
            <w:bookmarkEnd w:id="11"/>
          </w:p>
          <w:p w14:paraId="0DD709F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c) </w:t>
            </w:r>
            <w:r w:rsidRPr="00BA1475">
              <w:rPr>
                <w:rFonts w:ascii="Arial Narrow" w:eastAsia="Arial Narrow" w:hAnsi="Arial Narrow" w:cs="Arial Narrow"/>
                <w:noProof/>
                <w:kern w:val="0"/>
                <w:sz w:val="16"/>
                <w:szCs w:val="16"/>
                <w14:ligatures w14:val="none"/>
              </w:rPr>
              <w:t xml:space="preserve">copy of the decision minutes of </w:t>
            </w:r>
            <w:r w:rsidRPr="00BA1475">
              <w:rPr>
                <w:rFonts w:ascii="Arial Narrow" w:eastAsia="Calibri" w:hAnsi="Arial Narrow" w:cs="Calibri"/>
                <w:noProof/>
                <w:kern w:val="0"/>
                <w:sz w:val="16"/>
                <w:szCs w:val="16"/>
                <w:lang w:val="en-GB"/>
                <w14:ligatures w14:val="none"/>
              </w:rPr>
              <w:t xml:space="preserve">the </w:t>
            </w:r>
            <w:r w:rsidRPr="00BA1475">
              <w:rPr>
                <w:rFonts w:ascii="Arial Narrow" w:eastAsia="Arial Narrow" w:hAnsi="Arial Narrow" w:cs="Arial Narrow"/>
                <w:noProof/>
                <w:kern w:val="0"/>
                <w:sz w:val="16"/>
                <w:szCs w:val="16"/>
                <w:lang w:val="en-GB"/>
                <w14:ligatures w14:val="none"/>
              </w:rPr>
              <w:t>State Agency for Social Integration</w:t>
            </w:r>
            <w:r w:rsidRPr="00BA1475">
              <w:rPr>
                <w:rFonts w:ascii="Arial Narrow" w:eastAsia="Calibri" w:hAnsi="Arial Narrow" w:cs="Calibri"/>
                <w:noProof/>
                <w:kern w:val="0"/>
                <w:sz w:val="16"/>
                <w:szCs w:val="16"/>
                <w:lang w:val="en-GB"/>
                <w14:ligatures w14:val="none"/>
              </w:rPr>
              <w:t xml:space="preserve"> Advisory Council approving the results of the pilot projects on the adoptions of service</w:t>
            </w:r>
            <w:r w:rsidRPr="00BA1475" w:rsidDel="60C8C21A">
              <w:rPr>
                <w:rFonts w:ascii="Arial Narrow" w:eastAsia="Calibri" w:hAnsi="Arial Narrow" w:cs="Calibri"/>
                <w:noProof/>
                <w:kern w:val="0"/>
                <w:sz w:val="16"/>
                <w:szCs w:val="16"/>
                <w:lang w:val="en-GB"/>
                <w14:ligatures w14:val="none"/>
              </w:rPr>
              <w:t>s</w:t>
            </w:r>
            <w:r w:rsidRPr="00BA1475">
              <w:rPr>
                <w:rFonts w:ascii="Arial Narrow" w:eastAsia="Calibri" w:hAnsi="Arial Narrow" w:cs="Calibri"/>
                <w:noProof/>
                <w:kern w:val="0"/>
                <w:sz w:val="16"/>
                <w:szCs w:val="16"/>
                <w:lang w:val="en-GB"/>
                <w14:ligatures w14:val="none"/>
              </w:rPr>
              <w:t>.</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0DA6D99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Advisory Council of State Agency for Social Integration has adopted and State Agency for Social Integration has approved a new service standard for </w:t>
            </w:r>
            <w:r w:rsidRPr="00BA1475" w:rsidDel="60C8C21A">
              <w:rPr>
                <w:rFonts w:ascii="Arial Narrow" w:eastAsia="Calibri" w:hAnsi="Arial Narrow" w:cs="Times New Roman"/>
                <w:noProof/>
                <w:kern w:val="0"/>
                <w:sz w:val="16"/>
                <w:szCs w:val="16"/>
                <w:lang w:val="en-GB"/>
                <w14:ligatures w14:val="none"/>
              </w:rPr>
              <w:t>social and</w:t>
            </w:r>
            <w:r w:rsidRPr="00BA1475">
              <w:rPr>
                <w:rFonts w:ascii="Arial Narrow" w:eastAsia="Calibri" w:hAnsi="Arial Narrow" w:cs="Times New Roman"/>
                <w:noProof/>
                <w:kern w:val="0"/>
                <w:sz w:val="16"/>
                <w:szCs w:val="16"/>
                <w:lang w:val="en-GB"/>
                <w14:ligatures w14:val="none"/>
              </w:rPr>
              <w:t xml:space="preserve">  vocational rehabilitation services for the promotion of the resilience of people with functional impairments </w:t>
            </w:r>
            <w:r w:rsidRPr="00BA1475" w:rsidDel="60C8C21A">
              <w:rPr>
                <w:rFonts w:ascii="Arial Narrow" w:eastAsia="Calibri" w:hAnsi="Arial Narrow" w:cs="Times New Roman"/>
                <w:noProof/>
                <w:kern w:val="0"/>
                <w:sz w:val="16"/>
                <w:szCs w:val="16"/>
                <w:lang w:val="en-GB"/>
                <w14:ligatures w14:val="none"/>
              </w:rPr>
              <w:t>(competence development programme and vocational rehabilitation service)</w:t>
            </w:r>
            <w:r w:rsidRPr="00BA1475">
              <w:rPr>
                <w:rFonts w:ascii="Arial Narrow" w:eastAsia="Calibri" w:hAnsi="Arial Narrow" w:cs="Times New Roman"/>
                <w:noProof/>
                <w:kern w:val="0"/>
                <w:sz w:val="16"/>
                <w:szCs w:val="16"/>
                <w:lang w:val="en-GB"/>
                <w14:ligatures w14:val="none"/>
              </w:rPr>
              <w:t>, including through the adoption of service</w:t>
            </w:r>
            <w:r w:rsidRPr="00BA1475" w:rsidDel="60C8C21A">
              <w:rPr>
                <w:rFonts w:ascii="Arial Narrow" w:eastAsia="Calibri" w:hAnsi="Arial Narrow" w:cs="Times New Roman"/>
                <w:noProof/>
                <w:kern w:val="0"/>
                <w:sz w:val="16"/>
                <w:szCs w:val="16"/>
                <w:lang w:val="en-GB"/>
                <w14:ligatures w14:val="none"/>
              </w:rPr>
              <w:t>s</w:t>
            </w:r>
            <w:r w:rsidRPr="00BA1475">
              <w:rPr>
                <w:rFonts w:ascii="Arial Narrow" w:eastAsia="Calibri" w:hAnsi="Arial Narrow" w:cs="Times New Roman"/>
                <w:noProof/>
                <w:kern w:val="0"/>
                <w:sz w:val="16"/>
                <w:szCs w:val="16"/>
                <w:lang w:val="en-GB"/>
                <w14:ligatures w14:val="none"/>
              </w:rPr>
              <w:t xml:space="preserve"> in pilot project</w:t>
            </w:r>
            <w:r w:rsidRPr="00BA1475" w:rsidDel="60C8C21A">
              <w:rPr>
                <w:rFonts w:ascii="Arial Narrow" w:eastAsia="Calibri" w:hAnsi="Arial Narrow" w:cs="Times New Roman"/>
                <w:noProof/>
                <w:kern w:val="0"/>
                <w:sz w:val="16"/>
                <w:szCs w:val="16"/>
                <w:lang w:val="en-GB"/>
                <w14:ligatures w14:val="none"/>
              </w:rPr>
              <w:t>s</w:t>
            </w:r>
            <w:r w:rsidRPr="00BA1475">
              <w:rPr>
                <w:rFonts w:ascii="Arial Narrow" w:eastAsia="Calibri" w:hAnsi="Arial Narrow" w:cs="Times New Roman"/>
                <w:noProof/>
                <w:kern w:val="0"/>
                <w:sz w:val="16"/>
                <w:szCs w:val="16"/>
                <w:lang w:val="en-GB"/>
                <w14:ligatures w14:val="none"/>
              </w:rPr>
              <w:t xml:space="preserve"> and the use of the material base of the project.</w:t>
            </w:r>
          </w:p>
        </w:tc>
      </w:tr>
      <w:tr w:rsidR="00B27E64" w:rsidRPr="00BA1475" w14:paraId="03D2190A"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33ADFE6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127</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350557D0" w14:textId="77777777" w:rsidR="00BA1475" w:rsidRPr="00BA1475" w:rsidRDefault="00BA1475" w:rsidP="00BA1475">
            <w:pPr>
              <w:spacing w:after="0" w:line="240" w:lineRule="auto"/>
              <w:rPr>
                <w:rFonts w:ascii="Arial Narrow" w:eastAsia="Calibri" w:hAnsi="Arial Narrow" w:cs="Times New Roman"/>
                <w:b/>
                <w:noProof/>
                <w:kern w:val="0"/>
                <w:sz w:val="16"/>
                <w:szCs w:val="16"/>
                <w14:ligatures w14:val="none"/>
              </w:rPr>
            </w:pPr>
            <w:r w:rsidRPr="00BA1475">
              <w:rPr>
                <w:rFonts w:ascii="Arial Narrow" w:eastAsia="Calibri" w:hAnsi="Arial Narrow" w:cs="Times New Roman"/>
                <w:b/>
                <w:noProof/>
                <w:kern w:val="0"/>
                <w:sz w:val="16"/>
                <w:szCs w:val="16"/>
                <w:lang w:val="en-GB"/>
                <w14:ligatures w14:val="none"/>
              </w:rPr>
              <w:t>3.1.2.5.i. Participation in the labour market of unemployed, jobseekers and people at risk of unemployment</w:t>
            </w:r>
            <w:r w:rsidRPr="00BA1475">
              <w:rPr>
                <w:rFonts w:ascii="Arial Narrow" w:eastAsia="Calibri" w:hAnsi="Arial Narrow" w:cs="Times New Roman"/>
                <w:b/>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906885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AA9AA9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 retraining and up-skilling offer, with a focus on digital skills, has been established to clients (unemployed, jobseekers, persons at risk of unemployment) of the State Employment Agency for the job-rich recovery of the  economy by implementing active labour market policy measures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A02C1D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a new retraining and upskilling offer (including digital skills) for the State Employment Agency clients</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36D3448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1F8A65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1B12336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44A70B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Q2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6D34A8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2023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2DF681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FA96A5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31623F1D"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milestone (including all the constitutive elements) was satisfactorily fulfilled, with appropriate links to the underlying evidence.</w:t>
            </w:r>
          </w:p>
          <w:p w14:paraId="211C176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4DBA720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a) a copy of the </w:t>
            </w:r>
            <w:r w:rsidRPr="00BA1475">
              <w:rPr>
                <w:rFonts w:ascii="Arial Narrow" w:eastAsia="Calibri" w:hAnsi="Arial Narrow" w:cs="Times New Roman"/>
                <w:noProof/>
                <w:kern w:val="0"/>
                <w:sz w:val="16"/>
                <w:szCs w:val="16"/>
                <w:lang w:val="en-GB"/>
                <w14:ligatures w14:val="none"/>
              </w:rPr>
              <w:t xml:space="preserve">new retraining and upskilling offer (including digital skills) for the State Employment Agency clients, adopted by the Training Commission in accordance with the measures of active labour market policy for the recovery of the job-friendly economy; </w:t>
            </w:r>
          </w:p>
          <w:p w14:paraId="04B6604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b) </w:t>
            </w:r>
            <w:r w:rsidRPr="00BA1475">
              <w:rPr>
                <w:rFonts w:ascii="Arial Narrow" w:eastAsia="Arial Narrow" w:hAnsi="Arial Narrow" w:cs="Arial Narrow"/>
                <w:noProof/>
                <w:kern w:val="0"/>
                <w:sz w:val="16"/>
                <w:szCs w:val="16"/>
                <w14:ligatures w14:val="none"/>
              </w:rPr>
              <w:t>extract of the relevant parts of the offer proving alignment with the milestone in the CID Annex, in particular the focus on digital skills.</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63991BF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An offer of retraining and up-skilling programmes to clients of the Latvian Employment Service (unemployed, jobseekers, persons at risk of unemployment) has been adopted at the meeting of the Latvian Training Commission in accordance with the measures of active labour market policy for the recovery of the job-friendly economy.</w:t>
            </w:r>
          </w:p>
        </w:tc>
      </w:tr>
      <w:tr w:rsidR="00B27E64" w:rsidRPr="00BA1475" w14:paraId="0F70B88E"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2E174D5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128</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4EFF62CA" w14:textId="77777777" w:rsidR="00BA1475" w:rsidRPr="00BA1475" w:rsidRDefault="00BA1475" w:rsidP="00BA1475">
            <w:pPr>
              <w:spacing w:after="0" w:line="240" w:lineRule="auto"/>
              <w:rPr>
                <w:rFonts w:ascii="Arial Narrow" w:eastAsia="Calibri" w:hAnsi="Arial Narrow" w:cs="Times New Roman"/>
                <w:b/>
                <w:noProof/>
                <w:kern w:val="0"/>
                <w:sz w:val="16"/>
                <w:szCs w:val="16"/>
                <w14:ligatures w14:val="none"/>
              </w:rPr>
            </w:pPr>
            <w:r w:rsidRPr="00BA1475">
              <w:rPr>
                <w:rFonts w:ascii="Arial Narrow" w:eastAsia="Calibri" w:hAnsi="Arial Narrow" w:cs="Times New Roman"/>
                <w:b/>
                <w:noProof/>
                <w:kern w:val="0"/>
                <w:sz w:val="16"/>
                <w:szCs w:val="16"/>
                <w:lang w:val="en-GB"/>
                <w14:ligatures w14:val="none"/>
              </w:rPr>
              <w:t>3.1.2.5.i. Participation in the labour market of unemployed, jobseekers and people at risk of unemployment</w:t>
            </w:r>
            <w:r w:rsidRPr="00BA1475">
              <w:rPr>
                <w:rFonts w:ascii="Arial Narrow" w:eastAsia="Calibri" w:hAnsi="Arial Narrow" w:cs="Times New Roman"/>
                <w:b/>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67DCB3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2E9725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Development of a digital tool for skills assessment  </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0D4556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Digital tool developed and implemented</w:t>
            </w:r>
            <w:r w:rsidRPr="00BA1475">
              <w:rPr>
                <w:rFonts w:ascii="Arial Narrow" w:eastAsia="Calibri" w:hAnsi="Arial Narrow" w:cs="Times New Roman"/>
                <w:noProof/>
                <w:kern w:val="0"/>
                <w:sz w:val="16"/>
                <w:szCs w:val="16"/>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0CDC926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4E85DC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163045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EA993E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Q4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3A9B13A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2023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A4CC8C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 Central Finance and Contracting Agency/ State Employment Agency</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EBE4F9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600CFB1"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milestone (including all the constitutive elements) was satisfactorily fulfilled, with appropriate links to the underlying evidence. </w:t>
            </w:r>
          </w:p>
          <w:p w14:paraId="682C7FBB" w14:textId="77777777" w:rsidR="00BA1475" w:rsidRPr="00BA1475" w:rsidRDefault="00BA1475" w:rsidP="00BA1475">
            <w:pPr>
              <w:spacing w:after="0" w:line="240" w:lineRule="auto"/>
              <w:rPr>
                <w:rFonts w:ascii="Arial Narrow" w:eastAsia="Calibri" w:hAnsi="Arial Narrow" w:cs="Calibri"/>
                <w:noProof/>
                <w:kern w:val="0"/>
                <w:sz w:val="16"/>
                <w:szCs w:val="16"/>
                <w14:ligatures w14:val="none"/>
              </w:rPr>
            </w:pPr>
            <w:r w:rsidRPr="00BA1475">
              <w:rPr>
                <w:rFonts w:ascii="Arial Narrow" w:eastAsia="Arial Narrow" w:hAnsi="Arial Narrow" w:cs="Arial Narrow"/>
                <w:noProof/>
                <w:kern w:val="0"/>
                <w:sz w:val="16"/>
                <w:szCs w:val="16"/>
                <w14:ligatures w14:val="none"/>
              </w:rPr>
              <w:t>This summary document shall include as an annex the following documentary evidence and elements:</w:t>
            </w:r>
          </w:p>
          <w:p w14:paraId="0E2D1F40" w14:textId="77777777" w:rsidR="00BA1475" w:rsidRPr="00BA1475" w:rsidRDefault="00BA1475" w:rsidP="00BA1475">
            <w:pPr>
              <w:spacing w:after="0" w:line="240" w:lineRule="auto"/>
              <w:rPr>
                <w:rFonts w:ascii="Arial Narrow" w:eastAsia="Calibri" w:hAnsi="Arial Narrow" w:cs="Calibri"/>
                <w:noProof/>
                <w:kern w:val="0"/>
                <w:sz w:val="16"/>
                <w:szCs w:val="16"/>
                <w14:ligatures w14:val="none"/>
              </w:rPr>
            </w:pPr>
          </w:p>
          <w:p w14:paraId="74148674" w14:textId="77777777" w:rsidR="00BA1475" w:rsidRPr="00BA1475" w:rsidRDefault="00BA1475" w:rsidP="00BA1475">
            <w:pPr>
              <w:spacing w:after="0" w:line="240" w:lineRule="auto"/>
              <w:rPr>
                <w:rFonts w:ascii="Arial Narrow" w:eastAsia="Calibri" w:hAnsi="Arial Narrow" w:cs="Calibri"/>
                <w:noProof/>
                <w:kern w:val="0"/>
                <w:sz w:val="16"/>
                <w:szCs w:val="16"/>
                <w14:ligatures w14:val="none"/>
              </w:rPr>
            </w:pPr>
            <w:r w:rsidRPr="00BA1475">
              <w:rPr>
                <w:rFonts w:ascii="Arial Narrow" w:eastAsia="Arial Narrow" w:hAnsi="Arial Narrow" w:cs="Arial Narrow"/>
                <w:noProof/>
                <w:kern w:val="0"/>
                <w:sz w:val="16"/>
                <w:szCs w:val="16"/>
                <w14:ligatures w14:val="none"/>
              </w:rPr>
              <w:t>a) the list of participants (anonymised), for whom the profiling was made (printout from the unemployment registration and information system IS BURVIS) (information to be provided for those persons who have been profiled using a digital tool at the time of achieving the milestone);</w:t>
            </w:r>
          </w:p>
          <w:p w14:paraId="527716C9" w14:textId="77777777" w:rsidR="00BA1475" w:rsidRPr="00BA1475" w:rsidRDefault="00BA1475" w:rsidP="00BA1475">
            <w:pPr>
              <w:spacing w:after="0" w:line="240" w:lineRule="auto"/>
              <w:rPr>
                <w:rFonts w:ascii="Arial Narrow" w:eastAsia="Calibri" w:hAnsi="Arial Narrow" w:cs="Calibri"/>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b) a brief description of the </w:t>
            </w:r>
            <w:r w:rsidRPr="00BA1475">
              <w:rPr>
                <w:rFonts w:ascii="Arial Narrow" w:eastAsia="Calibri" w:hAnsi="Arial Narrow" w:cs="Times New Roman"/>
                <w:noProof/>
                <w:kern w:val="0"/>
                <w:sz w:val="16"/>
                <w:szCs w:val="16"/>
                <w:lang w:val="en-GB"/>
                <w14:ligatures w14:val="none"/>
              </w:rPr>
              <w:t xml:space="preserve">digital tool for skills assessment </w:t>
            </w:r>
            <w:r w:rsidRPr="00BA1475">
              <w:rPr>
                <w:rFonts w:ascii="Arial Narrow" w:eastAsia="Calibri" w:hAnsi="Arial Narrow" w:cs="Times New Roman"/>
                <w:noProof/>
                <w:kern w:val="0"/>
                <w:sz w:val="16"/>
                <w:szCs w:val="16"/>
                <w14:ligatures w14:val="none"/>
              </w:rPr>
              <w:t xml:space="preserve"> </w:t>
            </w:r>
            <w:r w:rsidRPr="00BA1475">
              <w:rPr>
                <w:rFonts w:ascii="Arial Narrow" w:eastAsia="Arial Narrow" w:hAnsi="Arial Narrow" w:cs="Arial Narrow"/>
                <w:noProof/>
                <w:kern w:val="0"/>
                <w:sz w:val="16"/>
                <w:szCs w:val="16"/>
                <w14:ligatures w14:val="none"/>
              </w:rPr>
              <w:t>proving alignment with the description of the milestone in the CID Annex, including how the client profiling method will benefit from the new digital tool;</w:t>
            </w:r>
          </w:p>
          <w:p w14:paraId="3DB20698" w14:textId="77777777" w:rsidR="00BA1475" w:rsidRPr="00BA1475" w:rsidRDefault="00BA1475" w:rsidP="00BA1475">
            <w:pPr>
              <w:spacing w:after="0" w:line="240" w:lineRule="auto"/>
              <w:rPr>
                <w:rFonts w:ascii="Arial Narrow" w:eastAsia="Calibri" w:hAnsi="Arial Narrow" w:cs="Calibri"/>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c) a description of how the client profiling method works and how it is supplemented with digital tool for skills assessment as well as the use of the test results in the client career advice process and training offer. (including Transfer Acceptance Act if public procurement procedures took place to develop a digital tool by a third party). </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71B3CC6F"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State Employment Agency has developed and implemented a digital assessment tool for an improved skills profiling system, which shall ensure the assessment of the skills and competences of the agency clients, to complete an appropriate offer of retraining and acquisition of skills, depending on the individual’s level of knowledge and skills.</w:t>
            </w:r>
            <w:r w:rsidRPr="00BA1475">
              <w:rPr>
                <w:rFonts w:ascii="Arial Narrow" w:eastAsia="Calibri" w:hAnsi="Arial Narrow" w:cs="Times New Roman"/>
                <w:noProof/>
                <w:kern w:val="0"/>
                <w:sz w:val="16"/>
                <w:szCs w:val="16"/>
                <w14:ligatures w14:val="none"/>
              </w:rPr>
              <w:t xml:space="preserve"> </w:t>
            </w:r>
          </w:p>
          <w:p w14:paraId="19B6A8A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client profiling method currently used by the agency shall be supplemented by a digital skills assessment </w:t>
            </w:r>
            <w:r w:rsidRPr="00BA1475" w:rsidDel="60C8C21A">
              <w:rPr>
                <w:rFonts w:ascii="Arial Narrow" w:eastAsia="Calibri" w:hAnsi="Arial Narrow" w:cs="Times New Roman"/>
                <w:noProof/>
                <w:kern w:val="0"/>
                <w:sz w:val="16"/>
                <w:szCs w:val="16"/>
                <w:lang w:val="en-GB"/>
                <w14:ligatures w14:val="none"/>
              </w:rPr>
              <w:t>tool (tests)</w:t>
            </w:r>
            <w:r w:rsidRPr="00BA1475">
              <w:rPr>
                <w:rFonts w:ascii="Arial Narrow" w:eastAsia="Calibri" w:hAnsi="Arial Narrow" w:cs="Times New Roman"/>
                <w:noProof/>
                <w:kern w:val="0"/>
                <w:sz w:val="16"/>
                <w:szCs w:val="16"/>
                <w:lang w:val="en-GB"/>
                <w14:ligatures w14:val="none"/>
              </w:rPr>
              <w:t xml:space="preserve"> and the results of the tests shall be used in the client career advice process and in the preparation of the individual training offer.</w:t>
            </w:r>
            <w:r w:rsidRPr="00BA1475">
              <w:rPr>
                <w:rFonts w:ascii="Arial Narrow" w:eastAsia="Calibri" w:hAnsi="Arial Narrow" w:cs="Times New Roman"/>
                <w:noProof/>
                <w:kern w:val="0"/>
                <w:sz w:val="16"/>
                <w:szCs w:val="16"/>
                <w14:ligatures w14:val="none"/>
              </w:rPr>
              <w:t xml:space="preserve"> </w:t>
            </w:r>
          </w:p>
        </w:tc>
      </w:tr>
      <w:tr w:rsidR="00B27E64" w:rsidRPr="00BA1475" w14:paraId="7A3B718E"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7264E7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129</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24185AEC" w14:textId="77777777" w:rsidR="00BA1475" w:rsidRPr="00BA1475" w:rsidRDefault="00BA1475" w:rsidP="00BA1475">
            <w:pPr>
              <w:spacing w:after="0" w:line="240" w:lineRule="auto"/>
              <w:rPr>
                <w:rFonts w:ascii="Arial Narrow" w:eastAsia="Calibri" w:hAnsi="Arial Narrow" w:cs="Times New Roman"/>
                <w:b/>
                <w:noProof/>
                <w:kern w:val="0"/>
                <w:sz w:val="16"/>
                <w:szCs w:val="16"/>
                <w14:ligatures w14:val="none"/>
              </w:rPr>
            </w:pPr>
            <w:r w:rsidRPr="00BA1475">
              <w:rPr>
                <w:rFonts w:ascii="Arial Narrow" w:eastAsia="Calibri" w:hAnsi="Arial Narrow" w:cs="Times New Roman"/>
                <w:b/>
                <w:noProof/>
                <w:kern w:val="0"/>
                <w:sz w:val="16"/>
                <w:szCs w:val="16"/>
                <w:lang w:val="en-GB"/>
                <w14:ligatures w14:val="none"/>
              </w:rPr>
              <w:t>3.1.2.5.i. Participation in the labour market of unemployed, jobseekers and people at risk of unemployment</w:t>
            </w:r>
            <w:r w:rsidRPr="00BA1475">
              <w:rPr>
                <w:rFonts w:ascii="Arial Narrow" w:eastAsia="Calibri" w:hAnsi="Arial Narrow" w:cs="Times New Roman"/>
                <w:b/>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564D47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836E28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Unemployed, jobseekers, people at risk of unemployment with improved skills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C9DD32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DB94A4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6863E6A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5B94727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10 000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68F89C0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Q1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487372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2025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25B8EE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Central Finance and Contracting Agency/ State Employment Agency</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D856B6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42759566"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A summary document duly justifying how the target (including all the constitutive elements, </w:t>
            </w:r>
            <w:r w:rsidRPr="00BA1475">
              <w:rPr>
                <w:rFonts w:ascii="Arial Narrow" w:eastAsia="Calibri" w:hAnsi="Arial Narrow" w:cs="Calibri"/>
                <w:noProof/>
                <w:kern w:val="0"/>
                <w:sz w:val="16"/>
                <w:szCs w:val="16"/>
                <w:lang w:val="en-GB"/>
                <w14:ligatures w14:val="none"/>
              </w:rPr>
              <w:t xml:space="preserve">in particular as regards the improved skills of </w:t>
            </w:r>
            <w:r w:rsidRPr="00BA1475">
              <w:rPr>
                <w:rFonts w:ascii="Arial Narrow" w:eastAsia="Calibri" w:hAnsi="Arial Narrow" w:cs="Times New Roman"/>
                <w:noProof/>
                <w:kern w:val="0"/>
                <w:sz w:val="16"/>
                <w:szCs w:val="16"/>
                <w:lang w:val="en-GB"/>
                <w14:ligatures w14:val="none"/>
              </w:rPr>
              <w:t>unemployed, jobseekers, people at risk of unemployment, as certified by State Employment Agency client accounting system</w:t>
            </w:r>
            <w:r w:rsidRPr="00BA1475">
              <w:rPr>
                <w:rFonts w:ascii="Arial Narrow" w:eastAsia="Arial Narrow" w:hAnsi="Arial Narrow" w:cs="Arial Narrow"/>
                <w:noProof/>
                <w:kern w:val="0"/>
                <w:sz w:val="16"/>
                <w:szCs w:val="16"/>
                <w14:ligatures w14:val="none"/>
              </w:rPr>
              <w:t>) was satisfactorily fulfilled, with appropriate links to the underlying evidence.</w:t>
            </w:r>
          </w:p>
          <w:p w14:paraId="33F13B2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487628F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Arial"/>
                <w:noProof/>
                <w:kern w:val="0"/>
                <w:sz w:val="16"/>
                <w:szCs w:val="16"/>
                <w14:ligatures w14:val="none"/>
              </w:rPr>
              <w:t xml:space="preserve">a) the list of participants in training measures (anonymised) provided by the State Employment Agency </w:t>
            </w:r>
            <w:r w:rsidRPr="00BA1475">
              <w:rPr>
                <w:rFonts w:ascii="Arial Narrow" w:eastAsia="Arial Narrow" w:hAnsi="Arial Narrow" w:cs="Arial Narrow"/>
                <w:noProof/>
                <w:kern w:val="0"/>
                <w:sz w:val="16"/>
                <w:szCs w:val="16"/>
                <w14:ligatures w14:val="none"/>
              </w:rPr>
              <w:t>(printout from the unemployment registration and information system IS BURVIS). That list shall include, inter alia, a note as to whether a digital tool has been used in the profiling of that person;</w:t>
            </w:r>
            <w:r w:rsidRPr="00BA1475">
              <w:rPr>
                <w:rFonts w:ascii="Arial Narrow" w:eastAsia="Calibri" w:hAnsi="Arial Narrow" w:cs="Arial"/>
                <w:noProof/>
                <w:kern w:val="0"/>
                <w:sz w:val="16"/>
                <w:szCs w:val="16"/>
                <w14:ligatures w14:val="none"/>
              </w:rPr>
              <w:t xml:space="preserve"> </w:t>
            </w:r>
          </w:p>
          <w:p w14:paraId="780F877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b) a brief description of the topics of the upskilling that the unemployed, jobseekers and people at risk of unemployment have received.</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06CCCF5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10 000 unemployed, jobseekers, people at risk of unemployment with improved skills as certified by the State Employment Agency client accounting system</w:t>
            </w:r>
            <w:r w:rsidRPr="00BA1475">
              <w:rPr>
                <w:rFonts w:ascii="Arial Narrow" w:eastAsia="Calibri" w:hAnsi="Arial Narrow" w:cs="Times New Roman"/>
                <w:noProof/>
                <w:kern w:val="0"/>
                <w:sz w:val="16"/>
                <w:szCs w:val="16"/>
                <w14:ligatures w14:val="none"/>
              </w:rPr>
              <w:t xml:space="preserve"> </w:t>
            </w:r>
          </w:p>
        </w:tc>
      </w:tr>
      <w:tr w:rsidR="00B27E64" w:rsidRPr="00BA1475" w14:paraId="263FCDC1"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558047D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130</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35505194" w14:textId="77777777" w:rsidR="00BA1475" w:rsidRPr="00BA1475" w:rsidRDefault="00BA1475" w:rsidP="00BA1475">
            <w:pPr>
              <w:spacing w:after="0" w:line="240" w:lineRule="auto"/>
              <w:rPr>
                <w:rFonts w:ascii="Arial Narrow" w:eastAsia="Calibri" w:hAnsi="Arial Narrow" w:cs="Times New Roman"/>
                <w:b/>
                <w:noProof/>
                <w:kern w:val="0"/>
                <w:sz w:val="16"/>
                <w:szCs w:val="16"/>
                <w14:ligatures w14:val="none"/>
              </w:rPr>
            </w:pPr>
            <w:r w:rsidRPr="00BA1475">
              <w:rPr>
                <w:rFonts w:ascii="Arial Narrow" w:eastAsia="Calibri" w:hAnsi="Arial Narrow" w:cs="Times New Roman"/>
                <w:b/>
                <w:noProof/>
                <w:kern w:val="0"/>
                <w:sz w:val="16"/>
                <w:szCs w:val="16"/>
                <w:lang w:val="en-GB"/>
                <w14:ligatures w14:val="none"/>
              </w:rPr>
              <w:t>3.1.2.5.i. Participation in the labour market of unemployed, jobseekers and people at risk of unemployment</w:t>
            </w:r>
            <w:r w:rsidRPr="00BA1475">
              <w:rPr>
                <w:rFonts w:ascii="Arial Narrow" w:eastAsia="Calibri" w:hAnsi="Arial Narrow" w:cs="Times New Roman"/>
                <w:b/>
                <w:noProof/>
                <w:kern w:val="0"/>
                <w:sz w:val="16"/>
                <w:szCs w:val="16"/>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556722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Target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065544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Unemployed, jobseekers, people at risk of unemployment with improved skills</w:t>
            </w:r>
            <w:r w:rsidRPr="00BA1475">
              <w:rPr>
                <w:rFonts w:ascii="Arial Narrow" w:eastAsia="Calibri" w:hAnsi="Arial Narrow"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A5DE32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4EE143F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2F81B1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10 000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3331C9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7802BD">
              <w:rPr>
                <w:rFonts w:ascii="Arial Narrow" w:eastAsia="Calibri" w:hAnsi="Arial Narrow" w:cs="Times New Roman"/>
                <w:noProof/>
                <w:kern w:val="0"/>
                <w:sz w:val="12"/>
                <w:szCs w:val="12"/>
                <w:lang w:val="en-GB"/>
                <w14:ligatures w14:val="none"/>
              </w:rPr>
              <w:t xml:space="preserve">20 450 </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ADC964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Q3 </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B7E48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2026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6B6429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Welfare/ Central Finance and Contracting Agency/ State Employment Agency</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924F0A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931C634"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A summary document duly justifying how the target (including all the constitutive elements</w:t>
            </w:r>
            <w:r w:rsidRPr="00BA1475">
              <w:rPr>
                <w:rFonts w:ascii="Arial Narrow" w:eastAsia="Calibri" w:hAnsi="Arial Narrow" w:cs="Calibri"/>
                <w:noProof/>
                <w:kern w:val="0"/>
                <w:sz w:val="16"/>
                <w:szCs w:val="16"/>
                <w:lang w:val="en-GB"/>
                <w14:ligatures w14:val="none"/>
              </w:rPr>
              <w:t xml:space="preserve"> in particular as regards the improved skills of </w:t>
            </w:r>
            <w:r w:rsidRPr="00BA1475">
              <w:rPr>
                <w:rFonts w:ascii="Arial Narrow" w:eastAsia="Calibri" w:hAnsi="Arial Narrow" w:cs="Times New Roman"/>
                <w:noProof/>
                <w:kern w:val="0"/>
                <w:sz w:val="16"/>
                <w:szCs w:val="16"/>
                <w:lang w:val="en-GB"/>
                <w14:ligatures w14:val="none"/>
              </w:rPr>
              <w:t>unemployed, jobseekers, people at risk of unemployment, as certified by State Employment Agency client accounting system</w:t>
            </w:r>
            <w:r w:rsidRPr="00BA1475">
              <w:rPr>
                <w:rFonts w:ascii="Arial Narrow" w:eastAsia="Arial Narrow" w:hAnsi="Arial Narrow" w:cs="Arial Narrow"/>
                <w:noProof/>
                <w:kern w:val="0"/>
                <w:sz w:val="16"/>
                <w:szCs w:val="16"/>
                <w14:ligatures w14:val="none"/>
              </w:rPr>
              <w:t>) was satisfactorily fulfilled, with appropriate links to the underlying evidence.</w:t>
            </w:r>
          </w:p>
          <w:p w14:paraId="058DC349" w14:textId="77777777" w:rsidR="00BA1475" w:rsidRPr="00BA1475" w:rsidRDefault="00BA1475" w:rsidP="00BA1475">
            <w:pPr>
              <w:spacing w:after="0" w:line="240" w:lineRule="auto"/>
              <w:rPr>
                <w:rFonts w:ascii="Arial Narrow" w:eastAsia="Arial Narrow" w:hAnsi="Arial Narrow" w:cs="Arial Narrow"/>
                <w:noProof/>
                <w:kern w:val="0"/>
                <w:sz w:val="16"/>
                <w:szCs w:val="16"/>
                <w14:ligatures w14:val="none"/>
              </w:rPr>
            </w:pPr>
            <w:r w:rsidRPr="00BA1475">
              <w:rPr>
                <w:rFonts w:ascii="Arial Narrow" w:eastAsia="Arial Narrow" w:hAnsi="Arial Narrow" w:cs="Arial Narrow"/>
                <w:noProof/>
                <w:kern w:val="0"/>
                <w:sz w:val="16"/>
                <w:szCs w:val="16"/>
                <w14:ligatures w14:val="none"/>
              </w:rPr>
              <w:t xml:space="preserve">This document shall include as an annex the following documentary evidence: </w:t>
            </w:r>
          </w:p>
          <w:p w14:paraId="2A898DE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Arial"/>
                <w:noProof/>
                <w:kern w:val="0"/>
                <w:sz w:val="16"/>
                <w:szCs w:val="16"/>
                <w:lang w:val="en-GB"/>
                <w14:ligatures w14:val="none"/>
              </w:rPr>
              <w:t xml:space="preserve">a) the list of participants in training measures (anonymised) provided by the State Employment Agency </w:t>
            </w:r>
            <w:r w:rsidRPr="00BA1475">
              <w:rPr>
                <w:rFonts w:ascii="Arial Narrow" w:eastAsia="Arial Narrow" w:hAnsi="Arial Narrow" w:cs="Arial Narrow"/>
                <w:noProof/>
                <w:kern w:val="0"/>
                <w:sz w:val="16"/>
                <w:szCs w:val="16"/>
                <w14:ligatures w14:val="none"/>
              </w:rPr>
              <w:t>(printout from the unemployment registration and information system IS BURVIS). That list shall include, inter alia, a note as to whether a digital tool has been used in the profiling of that person;</w:t>
            </w:r>
            <w:r w:rsidRPr="00BA1475">
              <w:rPr>
                <w:rFonts w:ascii="Arial Narrow" w:eastAsia="Calibri" w:hAnsi="Arial Narrow" w:cs="Arial"/>
                <w:noProof/>
                <w:kern w:val="0"/>
                <w:sz w:val="16"/>
                <w:lang w:val="en-GB"/>
                <w14:ligatures w14:val="none"/>
              </w:rPr>
              <w:t xml:space="preserve"> </w:t>
            </w:r>
          </w:p>
          <w:p w14:paraId="7A14B9B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14:ligatures w14:val="none"/>
              </w:rPr>
              <w:t>b) a brief description of the topics of the upskilling that the unemployed, jobseekers and people at risk of unemployment have received.</w:t>
            </w: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08259E8A" w14:textId="77777777" w:rsidR="00BA1475" w:rsidRPr="00BA1475" w:rsidRDefault="00BA1475" w:rsidP="00BA1475">
            <w:pPr>
              <w:spacing w:after="0" w:line="240" w:lineRule="auto"/>
              <w:rPr>
                <w:rFonts w:ascii="Arial Narrow" w:eastAsia="Calibri" w:hAnsi="Arial Narrow" w:cs="Times New Roman"/>
                <w:noProof/>
                <w:kern w:val="0"/>
                <w:sz w:val="16"/>
                <w:szCs w:val="16"/>
                <w14:ligatures w14:val="none"/>
              </w:rPr>
            </w:pPr>
            <w:r w:rsidRPr="00BA1475">
              <w:rPr>
                <w:rFonts w:ascii="Arial Narrow" w:eastAsia="Calibri" w:hAnsi="Arial Narrow" w:cs="Times New Roman"/>
                <w:noProof/>
                <w:kern w:val="0"/>
                <w:sz w:val="16"/>
                <w:szCs w:val="16"/>
                <w:lang w:val="en-GB"/>
                <w14:ligatures w14:val="none"/>
              </w:rPr>
              <w:t>20 450 unemployed, jobseekers, people at risk of unemployment with improved skills as certified by State Employment Agency client accounting system</w:t>
            </w:r>
          </w:p>
        </w:tc>
      </w:tr>
      <w:tr w:rsidR="00B27E64" w:rsidRPr="00BA1475" w14:paraId="27EB6AA7" w14:textId="77777777" w:rsidTr="00B27E64">
        <w:trPr>
          <w:trHeight w:val="300"/>
          <w:jc w:val="center"/>
        </w:trPr>
        <w:tc>
          <w:tcPr>
            <w:tcW w:w="581" w:type="dxa"/>
            <w:tcBorders>
              <w:top w:val="single" w:sz="4" w:space="0" w:color="auto"/>
              <w:left w:val="single" w:sz="4" w:space="0" w:color="auto"/>
              <w:bottom w:val="single" w:sz="4" w:space="0" w:color="auto"/>
              <w:right w:val="single" w:sz="4" w:space="0" w:color="auto"/>
            </w:tcBorders>
            <w:shd w:val="clear" w:color="auto" w:fill="C6EFCE"/>
          </w:tcPr>
          <w:p w14:paraId="78C532B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130a</w:t>
            </w:r>
          </w:p>
        </w:tc>
        <w:tc>
          <w:tcPr>
            <w:tcW w:w="1297" w:type="dxa"/>
            <w:tcBorders>
              <w:top w:val="single" w:sz="4" w:space="0" w:color="auto"/>
              <w:left w:val="single" w:sz="4" w:space="0" w:color="auto"/>
              <w:bottom w:val="single" w:sz="4" w:space="0" w:color="auto"/>
              <w:right w:val="single" w:sz="4" w:space="0" w:color="auto"/>
            </w:tcBorders>
            <w:shd w:val="clear" w:color="auto" w:fill="C6EFCE"/>
          </w:tcPr>
          <w:p w14:paraId="40385D65"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3.1.2.6.i. Facilitating the availability of technical aids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D63B25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4BDE53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Technical aids for persons with functional impairments</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40E28A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2E3A235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076AEC4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2BF6CBD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7802BD">
              <w:rPr>
                <w:rFonts w:ascii="Arial Narrow" w:eastAsia="Calibri" w:hAnsi="Arial Narrow" w:cs="Times New Roman"/>
                <w:noProof/>
                <w:kern w:val="0"/>
                <w:sz w:val="14"/>
                <w:szCs w:val="14"/>
                <w:lang w:val="en-GB"/>
                <w14:ligatures w14:val="none"/>
              </w:rPr>
              <w:t>10474</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35F7AA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9676D3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FD6F2B7" w14:textId="77777777" w:rsidR="00BA1475" w:rsidRPr="00BA1475" w:rsidRDefault="00BA1475" w:rsidP="00BA1475">
            <w:pPr>
              <w:spacing w:after="0" w:line="276" w:lineRule="auto"/>
              <w:rPr>
                <w:rFonts w:ascii="Arial Narrow" w:eastAsia="Arial Narrow" w:hAnsi="Arial Narrow" w:cs="Arial Narrow"/>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w:t>
            </w:r>
            <w:r w:rsidRPr="00322EF4">
              <w:rPr>
                <w:rFonts w:ascii="Arial Narrow" w:eastAsia="Calibri" w:hAnsi="Arial Narrow" w:cs="Calibri"/>
                <w:noProof/>
                <w:kern w:val="0"/>
                <w:sz w:val="16"/>
                <w:szCs w:val="16"/>
                <w:lang w:val="en-GB"/>
                <w14:ligatures w14:val="none"/>
              </w:rPr>
              <w:t>Welfare/</w:t>
            </w:r>
            <w:r w:rsidRPr="00322EF4">
              <w:rPr>
                <w:rFonts w:ascii="Arial Narrow" w:eastAsia="Arial Narrow" w:hAnsi="Arial Narrow" w:cs="Arial Narrow"/>
                <w:noProof/>
                <w:kern w:val="0"/>
                <w:sz w:val="16"/>
                <w:szCs w:val="16"/>
                <w:lang w:val="en-GB"/>
                <w14:ligatures w14:val="none"/>
              </w:rPr>
              <w:t xml:space="preserve"> Central Finance and Contracting Agency/ National Rehabilitation Centre "Vaivari"</w:t>
            </w:r>
          </w:p>
          <w:p w14:paraId="442A0E74" w14:textId="77777777" w:rsidR="00BA1475" w:rsidRPr="00BA1475" w:rsidRDefault="00BA1475" w:rsidP="00BA1475">
            <w:pPr>
              <w:spacing w:after="0" w:line="240" w:lineRule="auto"/>
              <w:rPr>
                <w:rFonts w:ascii="Calibri" w:eastAsia="Calibri" w:hAnsi="Calibri" w:cs="Arial"/>
                <w:kern w:val="0"/>
                <w:lang w:val="en-GB"/>
                <w14:ligatures w14:val="none"/>
              </w:rPr>
            </w:pPr>
          </w:p>
          <w:p w14:paraId="1C7945E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37C10A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7998A18C" w14:textId="77777777" w:rsidR="00BA1475" w:rsidRPr="00322EF4" w:rsidRDefault="00BA1475" w:rsidP="00BA1475">
            <w:pPr>
              <w:spacing w:after="200" w:line="276"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Summary document duly justifying how the target (including all the constitutive elements) was satisfactorily fulfilled, with appropriate links to the underlying evidence. This summary document shall include as an annex the following </w:t>
            </w:r>
            <w:r w:rsidRPr="00322EF4">
              <w:rPr>
                <w:rFonts w:ascii="Arial Narrow" w:eastAsia="Calibri" w:hAnsi="Arial Narrow" w:cs="Times New Roman"/>
                <w:noProof/>
                <w:kern w:val="0"/>
                <w:sz w:val="16"/>
                <w:szCs w:val="16"/>
                <w:lang w:val="en-GB"/>
                <w14:ligatures w14:val="none"/>
              </w:rPr>
              <w:t>documentary evidence:</w:t>
            </w:r>
          </w:p>
          <w:p w14:paraId="6F7A7CDB" w14:textId="77777777" w:rsidR="00BA1475" w:rsidRPr="00BA1475" w:rsidRDefault="00BA1475" w:rsidP="00BA1475">
            <w:pPr>
              <w:spacing w:after="200" w:line="276" w:lineRule="auto"/>
              <w:rPr>
                <w:rFonts w:ascii="Arial Narrow" w:eastAsia="Calibri" w:hAnsi="Arial Narrow" w:cs="Times New Roman"/>
                <w:noProof/>
                <w:kern w:val="0"/>
                <w:lang w:val="en-GB"/>
                <w14:ligatures w14:val="none"/>
              </w:rPr>
            </w:pPr>
            <w:r w:rsidRPr="00322EF4">
              <w:rPr>
                <w:rFonts w:ascii="Arial Narrow" w:eastAsia="Arial Narrow" w:hAnsi="Arial Narrow" w:cs="Arial Narrow"/>
                <w:noProof/>
                <w:kern w:val="0"/>
                <w:sz w:val="16"/>
                <w:szCs w:val="16"/>
                <w:lang w:val="en-GB"/>
                <w14:ligatures w14:val="none"/>
              </w:rPr>
              <w:t xml:space="preserve">An extract from the technical aid information system, including information on the issued technical aids to persons with functional impairments </w:t>
            </w:r>
            <w:r w:rsidRPr="00322EF4">
              <w:rPr>
                <w:rFonts w:ascii="Arial Narrow" w:eastAsia="Calibri" w:hAnsi="Arial Narrow" w:cs="Times New Roman"/>
                <w:noProof/>
                <w:kern w:val="0"/>
                <w:sz w:val="16"/>
                <w:szCs w:val="16"/>
                <w:lang w:val="en-GB"/>
                <w14:ligatures w14:val="none"/>
              </w:rPr>
              <w:t>.</w:t>
            </w:r>
          </w:p>
          <w:p w14:paraId="4914C748" w14:textId="77777777" w:rsidR="00BA1475" w:rsidRPr="00BA1475" w:rsidRDefault="00BA1475" w:rsidP="00BA1475">
            <w:pPr>
              <w:spacing w:after="200" w:line="276" w:lineRule="auto"/>
              <w:rPr>
                <w:rFonts w:ascii="Arial Narrow" w:eastAsia="Calibri" w:hAnsi="Arial Narrow" w:cs="Times New Roman"/>
                <w:noProof/>
                <w:kern w:val="0"/>
                <w:sz w:val="16"/>
                <w:szCs w:val="16"/>
                <w14:ligatures w14:val="none"/>
              </w:rPr>
            </w:pPr>
          </w:p>
        </w:tc>
        <w:tc>
          <w:tcPr>
            <w:tcW w:w="2444" w:type="dxa"/>
            <w:tcBorders>
              <w:top w:val="single" w:sz="4" w:space="0" w:color="auto"/>
              <w:left w:val="single" w:sz="4" w:space="0" w:color="auto"/>
              <w:bottom w:val="single" w:sz="4" w:space="0" w:color="auto"/>
              <w:right w:val="single" w:sz="4" w:space="0" w:color="auto"/>
            </w:tcBorders>
            <w:shd w:val="clear" w:color="auto" w:fill="C6EFCE"/>
          </w:tcPr>
          <w:p w14:paraId="3D2DFA6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10 474 technical aids have been issued to persons with functional impairments.</w:t>
            </w:r>
          </w:p>
        </w:tc>
      </w:tr>
    </w:tbl>
    <w:p w14:paraId="0D675579" w14:textId="77777777" w:rsidR="00BA1475" w:rsidRPr="00BA1475" w:rsidRDefault="00BA1475" w:rsidP="00BA1475">
      <w:pPr>
        <w:spacing w:before="120" w:after="120" w:line="240" w:lineRule="auto"/>
        <w:ind w:left="709"/>
        <w:jc w:val="both"/>
        <w:rPr>
          <w:rFonts w:ascii="Arial Narrow" w:eastAsia="Calibri" w:hAnsi="Arial Narrow" w:cs="Times New Roman"/>
          <w:noProof/>
          <w:kern w:val="0"/>
          <w:sz w:val="24"/>
          <w:lang w:val="en-GB"/>
          <w14:ligatures w14:val="none"/>
        </w:rPr>
        <w:sectPr w:rsidR="00BA1475" w:rsidRPr="00BA1475" w:rsidSect="00BA1475">
          <w:headerReference w:type="even" r:id="rId38"/>
          <w:headerReference w:type="default" r:id="rId39"/>
          <w:footerReference w:type="even" r:id="rId40"/>
          <w:footerReference w:type="default" r:id="rId41"/>
          <w:headerReference w:type="first" r:id="rId42"/>
          <w:footerReference w:type="first" r:id="rId43"/>
          <w:pgSz w:w="16839" w:h="11907" w:orient="landscape"/>
          <w:pgMar w:top="1417" w:right="679" w:bottom="1417" w:left="709" w:header="709" w:footer="709" w:gutter="0"/>
          <w:cols w:space="720"/>
          <w:docGrid w:linePitch="360"/>
        </w:sectPr>
      </w:pPr>
    </w:p>
    <w:p w14:paraId="5046BD67" w14:textId="77777777" w:rsidR="00BA1475" w:rsidRPr="00BA1475" w:rsidRDefault="00BA1475" w:rsidP="00BA1475">
      <w:pPr>
        <w:spacing w:before="120" w:after="120" w:line="240" w:lineRule="auto"/>
        <w:ind w:left="709"/>
        <w:jc w:val="both"/>
        <w:rPr>
          <w:rFonts w:ascii="Arial Narrow" w:eastAsia="Calibri" w:hAnsi="Arial Narrow" w:cs="Times New Roman"/>
          <w:noProof/>
          <w:kern w:val="0"/>
          <w:sz w:val="24"/>
          <w:szCs w:val="24"/>
          <w:lang w:val="en-GB"/>
          <w14:ligatures w14:val="none"/>
        </w:rPr>
      </w:pPr>
    </w:p>
    <w:p w14:paraId="44DCE5F8" w14:textId="77777777" w:rsidR="00BA1475" w:rsidRPr="00BA1475" w:rsidRDefault="00BA1475" w:rsidP="00BA1475">
      <w:pPr>
        <w:keepNext/>
        <w:keepLines/>
        <w:spacing w:before="40" w:after="120"/>
        <w:ind w:left="851"/>
        <w:outlineLvl w:val="1"/>
        <w:rPr>
          <w:rFonts w:ascii="Arial Narrow" w:eastAsia="MS Mincho" w:hAnsi="Arial Narrow" w:cs="Times New Roman"/>
          <w:b/>
          <w:bCs/>
          <w:noProof/>
          <w:kern w:val="0"/>
          <w:sz w:val="24"/>
          <w:szCs w:val="26"/>
          <w:lang w:val="en-GB"/>
          <w14:ligatures w14:val="none"/>
        </w:rPr>
      </w:pPr>
      <w:r w:rsidRPr="00BA1475">
        <w:rPr>
          <w:rFonts w:ascii="Arial Narrow" w:eastAsia="MS Gothic" w:hAnsi="Arial Narrow" w:cs="Times New Roman"/>
          <w:b/>
          <w:bCs/>
          <w:noProof/>
          <w:kern w:val="0"/>
          <w:sz w:val="24"/>
          <w:szCs w:val="26"/>
          <w:lang w:val="en-GB"/>
          <w14:ligatures w14:val="none"/>
        </w:rPr>
        <w:t>D</w:t>
      </w:r>
      <w:r w:rsidRPr="00BA1475">
        <w:rPr>
          <w:rFonts w:ascii="Arial Narrow" w:eastAsia="MS Mincho" w:hAnsi="Arial Narrow" w:cs="Times New Roman"/>
          <w:b/>
          <w:bCs/>
          <w:noProof/>
          <w:kern w:val="0"/>
          <w:sz w:val="24"/>
          <w:szCs w:val="26"/>
          <w:lang w:val="en-GB"/>
          <w14:ligatures w14:val="none"/>
        </w:rPr>
        <w:t xml:space="preserve">. COMPONENT 4: HEALTH </w:t>
      </w:r>
    </w:p>
    <w:tbl>
      <w:tblPr>
        <w:tblW w:w="16076" w:type="dxa"/>
        <w:jc w:val="center"/>
        <w:tblLayout w:type="fixed"/>
        <w:tblLook w:val="04A0" w:firstRow="1" w:lastRow="0" w:firstColumn="1" w:lastColumn="0" w:noHBand="0" w:noVBand="1"/>
      </w:tblPr>
      <w:tblGrid>
        <w:gridCol w:w="475"/>
        <w:gridCol w:w="1284"/>
        <w:gridCol w:w="851"/>
        <w:gridCol w:w="1276"/>
        <w:gridCol w:w="1275"/>
        <w:gridCol w:w="837"/>
        <w:gridCol w:w="851"/>
        <w:gridCol w:w="567"/>
        <w:gridCol w:w="425"/>
        <w:gridCol w:w="567"/>
        <w:gridCol w:w="1276"/>
        <w:gridCol w:w="1417"/>
        <w:gridCol w:w="2140"/>
        <w:gridCol w:w="2835"/>
      </w:tblGrid>
      <w:tr w:rsidR="009B5730" w:rsidRPr="00BA1475" w14:paraId="008C6281" w14:textId="77777777" w:rsidTr="009B5730">
        <w:trPr>
          <w:trHeight w:val="562"/>
          <w:tblHeader/>
          <w:jc w:val="center"/>
        </w:trPr>
        <w:tc>
          <w:tcPr>
            <w:tcW w:w="475" w:type="dxa"/>
            <w:vMerge w:val="restart"/>
            <w:tcBorders>
              <w:top w:val="single" w:sz="4" w:space="0" w:color="auto"/>
              <w:left w:val="single" w:sz="4" w:space="0" w:color="000000" w:themeColor="text1"/>
              <w:right w:val="single" w:sz="4" w:space="0" w:color="000000" w:themeColor="text1"/>
            </w:tcBorders>
            <w:shd w:val="clear" w:color="auto" w:fill="BDD7EE"/>
            <w:vAlign w:val="center"/>
          </w:tcPr>
          <w:p w14:paraId="696F34DB" w14:textId="77777777" w:rsidR="00BA1475" w:rsidRPr="00BA1475" w:rsidRDefault="00BA1475" w:rsidP="00BA1475">
            <w:pPr>
              <w:spacing w:after="0" w:line="240" w:lineRule="auto"/>
              <w:jc w:val="center"/>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noProof/>
                <w:kern w:val="0"/>
                <w:sz w:val="16"/>
                <w:szCs w:val="16"/>
                <w:lang w:val="en-GB"/>
                <w14:ligatures w14:val="none"/>
              </w:rPr>
              <w:t>#</w:t>
            </w:r>
          </w:p>
        </w:tc>
        <w:tc>
          <w:tcPr>
            <w:tcW w:w="1284" w:type="dxa"/>
            <w:vMerge w:val="restart"/>
            <w:tcBorders>
              <w:top w:val="single" w:sz="4" w:space="0" w:color="auto"/>
              <w:left w:val="single" w:sz="4" w:space="0" w:color="000000" w:themeColor="text1"/>
              <w:right w:val="single" w:sz="4" w:space="0" w:color="000000" w:themeColor="text1"/>
            </w:tcBorders>
            <w:shd w:val="clear" w:color="auto" w:fill="BDD7EE"/>
            <w:vAlign w:val="center"/>
          </w:tcPr>
          <w:p w14:paraId="6A4BA6A0" w14:textId="77777777" w:rsidR="00BA1475" w:rsidRPr="00BA1475" w:rsidRDefault="00BA1475" w:rsidP="00BA1475">
            <w:pPr>
              <w:spacing w:after="0" w:line="240" w:lineRule="auto"/>
              <w:jc w:val="center"/>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noProof/>
                <w:kern w:val="0"/>
                <w:sz w:val="16"/>
                <w:szCs w:val="16"/>
                <w:lang w:val="en-GB"/>
                <w14:ligatures w14:val="none"/>
              </w:rPr>
              <w:t>Related Measure (Reform or Investment)</w:t>
            </w:r>
          </w:p>
        </w:tc>
        <w:tc>
          <w:tcPr>
            <w:tcW w:w="851" w:type="dxa"/>
            <w:vMerge w:val="restart"/>
            <w:tcBorders>
              <w:top w:val="single" w:sz="4" w:space="0" w:color="auto"/>
              <w:left w:val="single" w:sz="4" w:space="0" w:color="000000" w:themeColor="text1"/>
              <w:right w:val="single" w:sz="4" w:space="0" w:color="000000" w:themeColor="text1"/>
            </w:tcBorders>
            <w:shd w:val="clear" w:color="auto" w:fill="BDD7EE"/>
            <w:vAlign w:val="center"/>
          </w:tcPr>
          <w:p w14:paraId="734425A2" w14:textId="77777777" w:rsidR="00BA1475" w:rsidRPr="00BA1475" w:rsidRDefault="00BA1475" w:rsidP="00BA1475">
            <w:pPr>
              <w:spacing w:after="0" w:line="240" w:lineRule="auto"/>
              <w:jc w:val="center"/>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noProof/>
                <w:kern w:val="0"/>
                <w:sz w:val="16"/>
                <w:szCs w:val="16"/>
                <w:lang w:val="en-GB"/>
                <w14:ligatures w14:val="none"/>
              </w:rPr>
              <w:t>M/T</w:t>
            </w:r>
          </w:p>
        </w:tc>
        <w:tc>
          <w:tcPr>
            <w:tcW w:w="1276" w:type="dxa"/>
            <w:vMerge w:val="restart"/>
            <w:tcBorders>
              <w:top w:val="single" w:sz="4" w:space="0" w:color="auto"/>
              <w:left w:val="single" w:sz="4" w:space="0" w:color="000000" w:themeColor="text1"/>
              <w:right w:val="single" w:sz="4" w:space="0" w:color="000000" w:themeColor="text1"/>
            </w:tcBorders>
            <w:shd w:val="clear" w:color="auto" w:fill="BDD7EE"/>
            <w:vAlign w:val="center"/>
          </w:tcPr>
          <w:p w14:paraId="1864AC11" w14:textId="77777777" w:rsidR="00BA1475" w:rsidRPr="00BA1475" w:rsidRDefault="00BA1475" w:rsidP="00BA1475">
            <w:pPr>
              <w:spacing w:after="0" w:line="240" w:lineRule="auto"/>
              <w:jc w:val="center"/>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noProof/>
                <w:kern w:val="0"/>
                <w:sz w:val="16"/>
                <w:szCs w:val="16"/>
                <w:lang w:val="en-GB"/>
                <w14:ligatures w14:val="none"/>
              </w:rPr>
              <w:t>Name</w:t>
            </w:r>
          </w:p>
        </w:tc>
        <w:tc>
          <w:tcPr>
            <w:tcW w:w="1275" w:type="dxa"/>
            <w:vMerge w:val="restart"/>
            <w:tcBorders>
              <w:top w:val="single" w:sz="4" w:space="0" w:color="auto"/>
              <w:left w:val="single" w:sz="4" w:space="0" w:color="000000" w:themeColor="text1"/>
              <w:right w:val="single" w:sz="4" w:space="0" w:color="auto"/>
            </w:tcBorders>
            <w:shd w:val="clear" w:color="auto" w:fill="BDD7EE"/>
            <w:vAlign w:val="center"/>
          </w:tcPr>
          <w:p w14:paraId="6929D786" w14:textId="77777777" w:rsidR="00BA1475" w:rsidRPr="00BA1475" w:rsidRDefault="00BA1475" w:rsidP="00BA1475">
            <w:pPr>
              <w:spacing w:after="0" w:line="240" w:lineRule="auto"/>
              <w:jc w:val="center"/>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noProof/>
                <w:kern w:val="0"/>
                <w:sz w:val="16"/>
                <w:szCs w:val="16"/>
                <w:lang w:val="en-GB"/>
                <w14:ligatures w14:val="none"/>
              </w:rPr>
              <w:t xml:space="preserve">Qualitative indicators </w:t>
            </w:r>
            <w:r w:rsidRPr="00BA1475">
              <w:rPr>
                <w:rFonts w:ascii="Arial Narrow" w:eastAsia="Calibri" w:hAnsi="Arial Narrow" w:cs="Times New Roman"/>
                <w:noProof/>
                <w:kern w:val="0"/>
                <w:sz w:val="16"/>
                <w:szCs w:val="16"/>
                <w:lang w:val="en-GB"/>
                <w14:ligatures w14:val="none"/>
              </w:rPr>
              <w:br/>
            </w:r>
            <w:r w:rsidRPr="00BA1475">
              <w:rPr>
                <w:rFonts w:ascii="Arial Narrow" w:eastAsia="Times New Roman" w:hAnsi="Arial Narrow" w:cs="Times New Roman"/>
                <w:b/>
                <w:noProof/>
                <w:kern w:val="0"/>
                <w:sz w:val="16"/>
                <w:szCs w:val="16"/>
                <w:lang w:val="en-GB"/>
                <w14:ligatures w14:val="none"/>
              </w:rPr>
              <w:t>(for milestones)</w:t>
            </w:r>
          </w:p>
        </w:tc>
        <w:tc>
          <w:tcPr>
            <w:tcW w:w="2255" w:type="dxa"/>
            <w:gridSpan w:val="3"/>
            <w:tcBorders>
              <w:top w:val="single" w:sz="4" w:space="0" w:color="auto"/>
              <w:left w:val="single" w:sz="4" w:space="0" w:color="auto"/>
              <w:bottom w:val="single" w:sz="4" w:space="0" w:color="000000" w:themeColor="text1"/>
              <w:right w:val="single" w:sz="4" w:space="0" w:color="auto"/>
            </w:tcBorders>
            <w:shd w:val="clear" w:color="auto" w:fill="BDD7EE"/>
            <w:vAlign w:val="center"/>
          </w:tcPr>
          <w:p w14:paraId="053E173C" w14:textId="77777777" w:rsidR="00BA1475" w:rsidRPr="00BA1475" w:rsidRDefault="00BA1475" w:rsidP="00BA1475">
            <w:pPr>
              <w:spacing w:after="0" w:line="240" w:lineRule="auto"/>
              <w:jc w:val="center"/>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noProof/>
                <w:kern w:val="0"/>
                <w:sz w:val="16"/>
                <w:szCs w:val="16"/>
                <w:lang w:val="en-GB"/>
                <w14:ligatures w14:val="none"/>
              </w:rPr>
              <w:t xml:space="preserve">Quantitative indicators </w:t>
            </w:r>
            <w:r w:rsidRPr="00BA1475">
              <w:rPr>
                <w:rFonts w:ascii="Arial Narrow" w:eastAsia="Calibri" w:hAnsi="Arial Narrow" w:cs="Times New Roman"/>
                <w:noProof/>
                <w:kern w:val="0"/>
                <w:sz w:val="16"/>
                <w:szCs w:val="16"/>
                <w:lang w:val="en-GB"/>
                <w14:ligatures w14:val="none"/>
              </w:rPr>
              <w:br/>
            </w:r>
            <w:r w:rsidRPr="00BA1475">
              <w:rPr>
                <w:rFonts w:ascii="Arial Narrow" w:eastAsia="Times New Roman" w:hAnsi="Arial Narrow" w:cs="Times New Roman"/>
                <w:b/>
                <w:noProof/>
                <w:kern w:val="0"/>
                <w:sz w:val="16"/>
                <w:szCs w:val="16"/>
                <w:lang w:val="en-GB"/>
                <w14:ligatures w14:val="none"/>
              </w:rPr>
              <w:t>(for targets)</w:t>
            </w:r>
          </w:p>
        </w:tc>
        <w:tc>
          <w:tcPr>
            <w:tcW w:w="992" w:type="dxa"/>
            <w:gridSpan w:val="2"/>
            <w:tcBorders>
              <w:top w:val="single" w:sz="4" w:space="0" w:color="auto"/>
              <w:left w:val="single" w:sz="4" w:space="0" w:color="auto"/>
              <w:bottom w:val="single" w:sz="4" w:space="0" w:color="000000" w:themeColor="text1"/>
              <w:right w:val="single" w:sz="4" w:space="0" w:color="auto"/>
            </w:tcBorders>
            <w:shd w:val="clear" w:color="auto" w:fill="BDD7EE"/>
            <w:vAlign w:val="center"/>
          </w:tcPr>
          <w:p w14:paraId="3A0E0D53" w14:textId="77777777" w:rsidR="00BA1475" w:rsidRPr="00BA1475" w:rsidRDefault="00BA1475" w:rsidP="00BA1475">
            <w:pPr>
              <w:spacing w:after="0" w:line="240" w:lineRule="auto"/>
              <w:jc w:val="center"/>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noProof/>
                <w:kern w:val="0"/>
                <w:sz w:val="16"/>
                <w:szCs w:val="16"/>
                <w:lang w:val="en-GB"/>
                <w14:ligatures w14:val="none"/>
              </w:rPr>
              <w:t>Indicative timeline for completion</w:t>
            </w:r>
          </w:p>
        </w:tc>
        <w:tc>
          <w:tcPr>
            <w:tcW w:w="1276" w:type="dxa"/>
            <w:vMerge w:val="restart"/>
            <w:tcBorders>
              <w:top w:val="single" w:sz="4" w:space="0" w:color="auto"/>
              <w:left w:val="single" w:sz="4" w:space="0" w:color="auto"/>
              <w:right w:val="single" w:sz="4" w:space="0" w:color="000000" w:themeColor="text1"/>
            </w:tcBorders>
            <w:shd w:val="clear" w:color="auto" w:fill="BDD7EE"/>
            <w:vAlign w:val="center"/>
          </w:tcPr>
          <w:p w14:paraId="4821E94A"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14:ligatures w14:val="none"/>
              </w:rPr>
            </w:pPr>
            <w:r w:rsidRPr="00BA1475">
              <w:rPr>
                <w:rFonts w:ascii="Arial Narrow" w:eastAsia="Calibri" w:hAnsi="Arial Narrow" w:cs="Calibri"/>
                <w:b/>
                <w:noProof/>
                <w:kern w:val="0"/>
                <w:sz w:val="16"/>
                <w:szCs w:val="16"/>
                <w:lang w:val="en-GB"/>
                <w14:ligatures w14:val="none"/>
              </w:rPr>
              <w:t>Responsibility for reporting and implementation</w:t>
            </w:r>
          </w:p>
        </w:tc>
        <w:tc>
          <w:tcPr>
            <w:tcW w:w="1417" w:type="dxa"/>
            <w:vMerge w:val="restart"/>
            <w:tcBorders>
              <w:top w:val="single" w:sz="4" w:space="0" w:color="auto"/>
              <w:left w:val="single" w:sz="4" w:space="0" w:color="000000" w:themeColor="text1"/>
              <w:right w:val="single" w:sz="4" w:space="0" w:color="000000" w:themeColor="text1"/>
            </w:tcBorders>
            <w:shd w:val="clear" w:color="auto" w:fill="BDD7EE"/>
            <w:vAlign w:val="center"/>
          </w:tcPr>
          <w:p w14:paraId="57FFA84E" w14:textId="77777777" w:rsidR="00BA1475" w:rsidRPr="00BA1475" w:rsidRDefault="00BA1475" w:rsidP="00BA1475">
            <w:pPr>
              <w:spacing w:after="0" w:line="240" w:lineRule="auto"/>
              <w:jc w:val="center"/>
              <w:rPr>
                <w:rFonts w:ascii="Arial Narrow" w:eastAsia="Calibri" w:hAnsi="Arial Narrow" w:cs="Calibri"/>
                <w:b/>
                <w:noProof/>
                <w:kern w:val="0"/>
                <w:sz w:val="16"/>
                <w:szCs w:val="16"/>
                <w:lang w:val="en-GB"/>
                <w14:ligatures w14:val="none"/>
              </w:rPr>
            </w:pPr>
            <w:r w:rsidRPr="00BA1475">
              <w:rPr>
                <w:rFonts w:ascii="Arial Narrow" w:eastAsia="Calibri" w:hAnsi="Arial Narrow" w:cs="Calibri"/>
                <w:b/>
                <w:noProof/>
                <w:kern w:val="0"/>
                <w:sz w:val="16"/>
                <w:szCs w:val="16"/>
                <w:lang w:val="en-GB"/>
                <w14:ligatures w14:val="none"/>
              </w:rPr>
              <w:t>Further specification (if necessary)</w:t>
            </w:r>
          </w:p>
        </w:tc>
        <w:tc>
          <w:tcPr>
            <w:tcW w:w="2140" w:type="dxa"/>
            <w:vMerge w:val="restart"/>
            <w:tcBorders>
              <w:top w:val="single" w:sz="4" w:space="0" w:color="auto"/>
              <w:left w:val="single" w:sz="4" w:space="0" w:color="000000" w:themeColor="text1"/>
              <w:right w:val="single" w:sz="4" w:space="0" w:color="000000" w:themeColor="text1"/>
            </w:tcBorders>
            <w:shd w:val="clear" w:color="auto" w:fill="BDD7EE"/>
            <w:vAlign w:val="center"/>
          </w:tcPr>
          <w:p w14:paraId="05E88BCF" w14:textId="77777777" w:rsidR="00BA1475" w:rsidRPr="00BA1475" w:rsidRDefault="00BA1475" w:rsidP="00BA1475">
            <w:pPr>
              <w:spacing w:after="0" w:line="240" w:lineRule="auto"/>
              <w:jc w:val="center"/>
              <w:rPr>
                <w:rFonts w:ascii="Arial Narrow" w:eastAsia="Calibri" w:hAnsi="Arial Narrow" w:cs="Calibri"/>
                <w:b/>
                <w:noProof/>
                <w:kern w:val="0"/>
                <w:sz w:val="16"/>
                <w:szCs w:val="16"/>
                <w:lang w:val="en-GB"/>
                <w14:ligatures w14:val="none"/>
              </w:rPr>
            </w:pPr>
            <w:r w:rsidRPr="00BA1475">
              <w:rPr>
                <w:rFonts w:ascii="Arial Narrow" w:eastAsia="Calibri" w:hAnsi="Arial Narrow" w:cs="Calibri"/>
                <w:b/>
                <w:noProof/>
                <w:kern w:val="0"/>
                <w:sz w:val="16"/>
                <w:szCs w:val="16"/>
                <w:lang w:val="en-GB"/>
                <w14:ligatures w14:val="none"/>
              </w:rPr>
              <w:t>Verification mechanism</w:t>
            </w:r>
          </w:p>
        </w:tc>
        <w:tc>
          <w:tcPr>
            <w:tcW w:w="2835" w:type="dxa"/>
            <w:vMerge w:val="restart"/>
            <w:tcBorders>
              <w:top w:val="single" w:sz="4" w:space="0" w:color="auto"/>
              <w:left w:val="single" w:sz="4" w:space="0" w:color="000000" w:themeColor="text1"/>
              <w:right w:val="single" w:sz="4" w:space="0" w:color="000000" w:themeColor="text1"/>
            </w:tcBorders>
            <w:shd w:val="clear" w:color="auto" w:fill="BDD7EE"/>
            <w:vAlign w:val="center"/>
          </w:tcPr>
          <w:p w14:paraId="45484503" w14:textId="77777777" w:rsidR="00BA1475" w:rsidRPr="00BA1475" w:rsidRDefault="00BA1475" w:rsidP="00BA1475">
            <w:pPr>
              <w:spacing w:after="0" w:line="240" w:lineRule="auto"/>
              <w:jc w:val="center"/>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noProof/>
                <w:kern w:val="0"/>
                <w:sz w:val="16"/>
                <w:szCs w:val="16"/>
                <w:lang w:val="en-GB"/>
                <w14:ligatures w14:val="none"/>
              </w:rPr>
              <w:t>Description of each milestone and target</w:t>
            </w:r>
          </w:p>
        </w:tc>
      </w:tr>
      <w:tr w:rsidR="009B5730" w:rsidRPr="00BA1475" w14:paraId="172F76DE" w14:textId="77777777" w:rsidTr="009B5730">
        <w:trPr>
          <w:trHeight w:val="346"/>
          <w:tblHeader/>
          <w:jc w:val="center"/>
        </w:trPr>
        <w:tc>
          <w:tcPr>
            <w:tcW w:w="475" w:type="dxa"/>
            <w:vMerge/>
            <w:tcBorders>
              <w:left w:val="single" w:sz="4" w:space="0" w:color="000000" w:themeColor="text1"/>
              <w:right w:val="single" w:sz="4" w:space="0" w:color="000000" w:themeColor="text1"/>
            </w:tcBorders>
            <w:vAlign w:val="center"/>
          </w:tcPr>
          <w:p w14:paraId="24AB9D3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1284" w:type="dxa"/>
            <w:vMerge/>
            <w:tcBorders>
              <w:left w:val="single" w:sz="4" w:space="0" w:color="000000" w:themeColor="text1"/>
              <w:right w:val="single" w:sz="4" w:space="0" w:color="000000" w:themeColor="text1"/>
            </w:tcBorders>
            <w:vAlign w:val="center"/>
          </w:tcPr>
          <w:p w14:paraId="66BC3E1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51" w:type="dxa"/>
            <w:vMerge/>
            <w:tcBorders>
              <w:left w:val="single" w:sz="4" w:space="0" w:color="000000" w:themeColor="text1"/>
              <w:right w:val="single" w:sz="4" w:space="0" w:color="000000" w:themeColor="text1"/>
            </w:tcBorders>
            <w:vAlign w:val="center"/>
          </w:tcPr>
          <w:p w14:paraId="5EA6291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1276" w:type="dxa"/>
            <w:vMerge/>
            <w:tcBorders>
              <w:left w:val="single" w:sz="4" w:space="0" w:color="000000" w:themeColor="text1"/>
              <w:right w:val="single" w:sz="4" w:space="0" w:color="000000" w:themeColor="text1"/>
            </w:tcBorders>
            <w:vAlign w:val="center"/>
          </w:tcPr>
          <w:p w14:paraId="27844DB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1275" w:type="dxa"/>
            <w:vMerge/>
            <w:tcBorders>
              <w:left w:val="single" w:sz="4" w:space="0" w:color="000000" w:themeColor="text1"/>
            </w:tcBorders>
            <w:vAlign w:val="center"/>
          </w:tcPr>
          <w:p w14:paraId="19A591C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837" w:type="dxa"/>
            <w:tcBorders>
              <w:top w:val="single" w:sz="4" w:space="0" w:color="000000" w:themeColor="text1"/>
              <w:left w:val="single" w:sz="4" w:space="0" w:color="auto"/>
              <w:bottom w:val="single" w:sz="4" w:space="0" w:color="auto"/>
              <w:right w:val="single" w:sz="4" w:space="0" w:color="auto"/>
            </w:tcBorders>
            <w:shd w:val="clear" w:color="auto" w:fill="BDD7EE"/>
            <w:vAlign w:val="center"/>
          </w:tcPr>
          <w:p w14:paraId="7FD6A9FA" w14:textId="77777777" w:rsidR="00BA1475" w:rsidRPr="00BA1475" w:rsidRDefault="00BA1475" w:rsidP="00BA1475">
            <w:pPr>
              <w:spacing w:after="0" w:line="240" w:lineRule="auto"/>
              <w:jc w:val="center"/>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bCs/>
                <w:noProof/>
                <w:kern w:val="0"/>
                <w:sz w:val="16"/>
                <w:szCs w:val="16"/>
                <w:lang w:val="en-GB"/>
                <w14:ligatures w14:val="none"/>
              </w:rPr>
              <w:t>Unit</w:t>
            </w:r>
          </w:p>
        </w:tc>
        <w:tc>
          <w:tcPr>
            <w:tcW w:w="851" w:type="dxa"/>
            <w:tcBorders>
              <w:top w:val="single" w:sz="4" w:space="0" w:color="000000" w:themeColor="text1"/>
              <w:left w:val="single" w:sz="4" w:space="0" w:color="auto"/>
              <w:bottom w:val="single" w:sz="4" w:space="0" w:color="auto"/>
              <w:right w:val="single" w:sz="4" w:space="0" w:color="auto"/>
            </w:tcBorders>
            <w:shd w:val="clear" w:color="auto" w:fill="BDD7EE"/>
            <w:vAlign w:val="center"/>
          </w:tcPr>
          <w:p w14:paraId="6943D37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bCs/>
                <w:noProof/>
                <w:kern w:val="0"/>
                <w:sz w:val="16"/>
                <w:szCs w:val="16"/>
                <w:lang w:val="en-GB"/>
                <w14:ligatures w14:val="none"/>
              </w:rPr>
              <w:t xml:space="preserve">Baseline </w:t>
            </w:r>
          </w:p>
        </w:tc>
        <w:tc>
          <w:tcPr>
            <w:tcW w:w="567" w:type="dxa"/>
            <w:tcBorders>
              <w:top w:val="single" w:sz="4" w:space="0" w:color="000000" w:themeColor="text1"/>
              <w:left w:val="single" w:sz="4" w:space="0" w:color="auto"/>
              <w:bottom w:val="single" w:sz="4" w:space="0" w:color="auto"/>
              <w:right w:val="single" w:sz="4" w:space="0" w:color="auto"/>
            </w:tcBorders>
            <w:shd w:val="clear" w:color="auto" w:fill="BDD7EE"/>
            <w:vAlign w:val="center"/>
          </w:tcPr>
          <w:p w14:paraId="6A14F2A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bCs/>
                <w:noProof/>
                <w:kern w:val="0"/>
                <w:sz w:val="16"/>
                <w:szCs w:val="16"/>
                <w:lang w:val="en-GB"/>
                <w14:ligatures w14:val="none"/>
              </w:rPr>
              <w:t xml:space="preserve">Goal </w:t>
            </w:r>
          </w:p>
        </w:tc>
        <w:tc>
          <w:tcPr>
            <w:tcW w:w="425" w:type="dxa"/>
            <w:tcBorders>
              <w:top w:val="single" w:sz="4" w:space="0" w:color="000000" w:themeColor="text1"/>
              <w:left w:val="single" w:sz="4" w:space="0" w:color="auto"/>
              <w:bottom w:val="single" w:sz="4" w:space="0" w:color="auto"/>
              <w:right w:val="single" w:sz="4" w:space="0" w:color="auto"/>
            </w:tcBorders>
            <w:shd w:val="clear" w:color="auto" w:fill="BDD7EE"/>
            <w:vAlign w:val="center"/>
          </w:tcPr>
          <w:p w14:paraId="40AE73E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bCs/>
                <w:noProof/>
                <w:kern w:val="0"/>
                <w:sz w:val="16"/>
                <w:szCs w:val="16"/>
                <w:lang w:val="en-GB"/>
                <w14:ligatures w14:val="none"/>
              </w:rPr>
              <w:t>Q</w:t>
            </w:r>
          </w:p>
        </w:tc>
        <w:tc>
          <w:tcPr>
            <w:tcW w:w="567" w:type="dxa"/>
            <w:tcBorders>
              <w:top w:val="single" w:sz="4" w:space="0" w:color="000000" w:themeColor="text1"/>
              <w:left w:val="single" w:sz="4" w:space="0" w:color="auto"/>
              <w:bottom w:val="single" w:sz="4" w:space="0" w:color="auto"/>
              <w:right w:val="single" w:sz="4" w:space="0" w:color="auto"/>
            </w:tcBorders>
            <w:shd w:val="clear" w:color="auto" w:fill="BDD7EE"/>
            <w:vAlign w:val="center"/>
          </w:tcPr>
          <w:p w14:paraId="7FA1EA7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b/>
                <w:bCs/>
                <w:noProof/>
                <w:kern w:val="0"/>
                <w:sz w:val="16"/>
                <w:szCs w:val="16"/>
                <w:lang w:val="en-GB"/>
                <w14:ligatures w14:val="none"/>
              </w:rPr>
              <w:t>Year</w:t>
            </w:r>
          </w:p>
        </w:tc>
        <w:tc>
          <w:tcPr>
            <w:tcW w:w="1276" w:type="dxa"/>
            <w:vMerge/>
            <w:tcBorders>
              <w:right w:val="single" w:sz="4" w:space="0" w:color="000000" w:themeColor="text1"/>
            </w:tcBorders>
          </w:tcPr>
          <w:p w14:paraId="01ADC1B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1417" w:type="dxa"/>
            <w:vMerge/>
            <w:tcBorders>
              <w:left w:val="single" w:sz="4" w:space="0" w:color="000000" w:themeColor="text1"/>
              <w:right w:val="single" w:sz="4" w:space="0" w:color="000000" w:themeColor="text1"/>
            </w:tcBorders>
          </w:tcPr>
          <w:p w14:paraId="01EE1ABF" w14:textId="77777777" w:rsidR="00BA1475" w:rsidRPr="00BA1475" w:rsidRDefault="00BA1475" w:rsidP="00BA1475">
            <w:pPr>
              <w:spacing w:after="0" w:line="240" w:lineRule="auto"/>
              <w:rPr>
                <w:rFonts w:ascii="Arial Narrow" w:eastAsia="Times New Roman" w:hAnsi="Arial Narrow" w:cs="Times New Roman"/>
                <w:b/>
                <w:noProof/>
                <w:kern w:val="0"/>
                <w:sz w:val="16"/>
                <w:szCs w:val="16"/>
                <w:lang w:val="en-GB"/>
                <w14:ligatures w14:val="none"/>
              </w:rPr>
            </w:pPr>
          </w:p>
        </w:tc>
        <w:tc>
          <w:tcPr>
            <w:tcW w:w="2140" w:type="dxa"/>
            <w:vMerge/>
            <w:tcBorders>
              <w:left w:val="single" w:sz="4" w:space="0" w:color="000000" w:themeColor="text1"/>
              <w:right w:val="single" w:sz="4" w:space="0" w:color="000000" w:themeColor="text1"/>
            </w:tcBorders>
          </w:tcPr>
          <w:p w14:paraId="2684D5E0" w14:textId="77777777" w:rsidR="00BA1475" w:rsidRPr="00BA1475" w:rsidRDefault="00BA1475" w:rsidP="00BA1475">
            <w:pPr>
              <w:spacing w:after="0" w:line="240" w:lineRule="auto"/>
              <w:rPr>
                <w:rFonts w:ascii="Arial Narrow" w:eastAsia="Calibri" w:hAnsi="Arial Narrow" w:cs="Times New Roman"/>
                <w:noProof/>
                <w:color w:val="4F6228"/>
                <w:kern w:val="0"/>
                <w:sz w:val="16"/>
                <w:szCs w:val="16"/>
                <w:lang w:val="en-GB"/>
                <w14:ligatures w14:val="none"/>
              </w:rPr>
            </w:pPr>
          </w:p>
        </w:tc>
        <w:tc>
          <w:tcPr>
            <w:tcW w:w="2835" w:type="dxa"/>
            <w:vMerge/>
            <w:tcBorders>
              <w:left w:val="single" w:sz="4" w:space="0" w:color="000000" w:themeColor="text1"/>
              <w:right w:val="single" w:sz="4" w:space="0" w:color="000000" w:themeColor="text1"/>
            </w:tcBorders>
            <w:vAlign w:val="center"/>
          </w:tcPr>
          <w:p w14:paraId="510DBD9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r>
      <w:tr w:rsidR="009B5730" w:rsidRPr="00BA1475" w14:paraId="1FC92E0F" w14:textId="77777777" w:rsidTr="009B5730">
        <w:trPr>
          <w:trHeight w:val="315"/>
          <w:jc w:val="center"/>
        </w:trPr>
        <w:tc>
          <w:tcPr>
            <w:tcW w:w="475" w:type="dxa"/>
            <w:tcBorders>
              <w:top w:val="single" w:sz="4" w:space="0" w:color="auto"/>
              <w:left w:val="single" w:sz="4" w:space="0" w:color="000000" w:themeColor="text1"/>
              <w:bottom w:val="single" w:sz="4" w:space="0" w:color="auto"/>
              <w:right w:val="single" w:sz="4" w:space="0" w:color="auto"/>
            </w:tcBorders>
            <w:shd w:val="clear" w:color="auto" w:fill="C6EFCE"/>
          </w:tcPr>
          <w:p w14:paraId="12EFE5C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131</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184F2045"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4.1.1.r. </w:t>
            </w:r>
          </w:p>
          <w:p w14:paraId="2E95BF26"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Sustainability and resilience of a human-centred, comprehensive, integrated healthcare system</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1D2E49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000000" w:themeColor="text1"/>
            </w:tcBorders>
            <w:shd w:val="clear" w:color="auto" w:fill="C6EFCE"/>
          </w:tcPr>
          <w:p w14:paraId="5298D2F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a digital health strategy</w:t>
            </w:r>
          </w:p>
        </w:tc>
        <w:tc>
          <w:tcPr>
            <w:tcW w:w="1275" w:type="dxa"/>
            <w:tcBorders>
              <w:top w:val="single" w:sz="4" w:space="0" w:color="auto"/>
              <w:left w:val="single" w:sz="4" w:space="0" w:color="000000" w:themeColor="text1"/>
              <w:bottom w:val="single" w:sz="4" w:space="0" w:color="auto"/>
              <w:right w:val="single" w:sz="4" w:space="0" w:color="auto"/>
            </w:tcBorders>
            <w:shd w:val="clear" w:color="auto" w:fill="C6EFCE"/>
          </w:tcPr>
          <w:p w14:paraId="4BE1501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Digital health strategy adopted by the Ministry of Health</w:t>
            </w:r>
          </w:p>
        </w:tc>
        <w:tc>
          <w:tcPr>
            <w:tcW w:w="837" w:type="dxa"/>
            <w:tcBorders>
              <w:top w:val="single" w:sz="4" w:space="0" w:color="auto"/>
              <w:left w:val="single" w:sz="4" w:space="0" w:color="auto"/>
              <w:bottom w:val="single" w:sz="4" w:space="0" w:color="auto"/>
              <w:right w:val="single" w:sz="4" w:space="0" w:color="auto"/>
            </w:tcBorders>
            <w:shd w:val="clear" w:color="auto" w:fill="C6EFCE"/>
          </w:tcPr>
          <w:p w14:paraId="1DC9D1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27CCAF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68830A4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62ED1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4D2E283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ECAC94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4498CB8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34C534B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publication of the digital health strategy and a link to the Official Journal, including a reference to the provision indicating the entry into force, accompanied by a summary document duly justifying how the milestone (including all the constitutive elements) was satisfactorily fulfilled, with appropriate links to the underlying evidence, including evidence of the alignment with the Public Health Guidelines 2021-27 and the Digital transformation guidelines 2021-27.</w:t>
            </w:r>
            <w:r w:rsidRPr="00BA1475">
              <w:rPr>
                <w:rFonts w:ascii="Arial Narrow" w:eastAsia="Calibri" w:hAnsi="Arial Narrow" w:cs="Calibri"/>
                <w:b/>
                <w:bCs/>
                <w:noProof/>
                <w:kern w:val="0"/>
                <w:sz w:val="16"/>
                <w:szCs w:val="16"/>
                <w:lang w:val="en-GB"/>
                <w14:ligatures w14:val="none"/>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0C832FB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milestone shall be deemed to be reached after the digital health strategy has been approved by the Ministry of Health. The strategy shall be developed in line with the Public Health Guidelines 2021-2027 and Digital Transformation guidelines 2021-2027. The strategy shall contain an action plan and monitoring framework. The strategy shall cover such aspects as health care, use of data for research, common use of data, data management, public health sector IT systems and solutions, private IT systems, cross-border data exchange and digital skills.</w:t>
            </w:r>
          </w:p>
        </w:tc>
      </w:tr>
      <w:tr w:rsidR="009B5730" w:rsidRPr="00BA1475" w14:paraId="7BAEE68F"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03F8B4F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132</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774428F2"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4.1.1.r. </w:t>
            </w:r>
          </w:p>
          <w:p w14:paraId="0CE3C05B"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Sustainability and resilience of a human-centred, comprehensive, integrated healthcare system</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857210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19AC55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Development of a human-centred, comprehensive, integrated healthcare delivery model through the development of an investment strategy and recommendations for the development of integrated and epidemiologically safe health care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9914C2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Integrated healthcare model documents approved by the Ministry of Health </w:t>
            </w:r>
          </w:p>
        </w:tc>
        <w:tc>
          <w:tcPr>
            <w:tcW w:w="837" w:type="dxa"/>
            <w:tcBorders>
              <w:top w:val="single" w:sz="4" w:space="0" w:color="auto"/>
              <w:left w:val="single" w:sz="4" w:space="0" w:color="auto"/>
              <w:bottom w:val="single" w:sz="4" w:space="0" w:color="auto"/>
              <w:right w:val="single" w:sz="4" w:space="0" w:color="auto"/>
            </w:tcBorders>
            <w:shd w:val="clear" w:color="auto" w:fill="C6EFCE"/>
          </w:tcPr>
          <w:p w14:paraId="262290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7149B3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0C9304B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F29A13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4" w:space="0" w:color="auto"/>
              <w:left w:val="single" w:sz="4" w:space="0" w:color="auto"/>
              <w:bottom w:val="single" w:sz="4" w:space="0" w:color="auto"/>
              <w:right w:val="single" w:sz="4" w:space="0" w:color="auto"/>
            </w:tcBorders>
            <w:shd w:val="clear" w:color="auto" w:fill="C6EFCE"/>
          </w:tcPr>
          <w:p w14:paraId="7B1BDEE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742344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41DC803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432F20D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milestone (including all the constitutive elements) was satisfactorily fulfilled, with appropriate links to the underlying evidence. </w:t>
            </w:r>
          </w:p>
          <w:p w14:paraId="020B725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0C2DF06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investment strategy, link to the publication in Official Journal and reference to the relevant provisions indicating the entry into force </w:t>
            </w:r>
            <w:r w:rsidRPr="00BA1475">
              <w:rPr>
                <w:rFonts w:ascii="Arial Narrow" w:eastAsia="Calibri" w:hAnsi="Arial Narrow" w:cs="Times New Roman"/>
                <w:noProof/>
                <w:kern w:val="0"/>
                <w:sz w:val="16"/>
                <w:szCs w:val="16"/>
                <w:lang w:val="en-GB"/>
                <w14:ligatures w14:val="none"/>
              </w:rPr>
              <w:t>and the decision of the Ministry of Health approving the investment strategy;</w:t>
            </w:r>
          </w:p>
          <w:p w14:paraId="596BC0B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a copy of the </w:t>
            </w:r>
            <w:r w:rsidRPr="00BA1475">
              <w:rPr>
                <w:rFonts w:ascii="Arial Narrow" w:eastAsia="Calibri" w:hAnsi="Arial Narrow" w:cs="Times New Roman"/>
                <w:noProof/>
                <w:kern w:val="0"/>
                <w:sz w:val="16"/>
                <w:szCs w:val="16"/>
                <w:lang w:val="en-GB"/>
                <w14:ligatures w14:val="none"/>
              </w:rPr>
              <w:t xml:space="preserve">recommendations for the implementation of the integrated care approach, </w:t>
            </w:r>
            <w:r w:rsidRPr="00BA1475">
              <w:rPr>
                <w:rFonts w:ascii="Arial Narrow" w:eastAsia="Calibri" w:hAnsi="Arial Narrow" w:cs="Calibri"/>
                <w:noProof/>
                <w:kern w:val="0"/>
                <w:sz w:val="16"/>
                <w:szCs w:val="16"/>
                <w:lang w:val="en-GB"/>
                <w14:ligatures w14:val="none"/>
              </w:rPr>
              <w:t>link to the publication and reference to the relevant provisions,</w:t>
            </w:r>
            <w:r w:rsidRPr="00BA1475">
              <w:rPr>
                <w:rFonts w:ascii="Arial Narrow" w:eastAsia="Calibri" w:hAnsi="Arial Narrow" w:cs="Times New Roman"/>
                <w:noProof/>
                <w:kern w:val="0"/>
                <w:sz w:val="16"/>
                <w:szCs w:val="16"/>
                <w:lang w:val="en-GB"/>
                <w14:ligatures w14:val="none"/>
              </w:rPr>
              <w:t xml:space="preserve"> and the decision of the Ministry of Health approving these recommendations; </w:t>
            </w:r>
          </w:p>
          <w:p w14:paraId="15CCE02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 </w:t>
            </w:r>
            <w:r w:rsidRPr="00BA1475">
              <w:rPr>
                <w:rFonts w:ascii="Arial Narrow" w:eastAsia="Calibri" w:hAnsi="Arial Narrow" w:cs="Times New Roman"/>
                <w:noProof/>
                <w:kern w:val="0"/>
                <w:sz w:val="16"/>
                <w:szCs w:val="16"/>
                <w:lang w:val="en-GB"/>
                <w14:ligatures w14:val="none"/>
              </w:rPr>
              <w:t>a copy of the set of recommendations for epidemiological requirements,</w:t>
            </w:r>
            <w:r w:rsidRPr="00BA1475">
              <w:rPr>
                <w:rFonts w:ascii="Arial Narrow" w:eastAsia="Calibri" w:hAnsi="Arial Narrow" w:cs="Calibri"/>
                <w:noProof/>
                <w:kern w:val="0"/>
                <w:sz w:val="16"/>
                <w:szCs w:val="16"/>
                <w:lang w:val="en-GB"/>
                <w14:ligatures w14:val="none"/>
              </w:rPr>
              <w:t xml:space="preserve"> link to the publication and reference to the relevant provisions,</w:t>
            </w:r>
            <w:r w:rsidRPr="00BA1475">
              <w:rPr>
                <w:rFonts w:ascii="Arial Narrow" w:eastAsia="Calibri" w:hAnsi="Arial Narrow" w:cs="Times New Roman"/>
                <w:noProof/>
                <w:kern w:val="0"/>
                <w:sz w:val="16"/>
                <w:szCs w:val="16"/>
                <w:lang w:val="en-GB"/>
                <w14:ligatures w14:val="none"/>
              </w:rPr>
              <w:t xml:space="preserve"> and the decision of the Ministry of Health approving these recommendations.</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6FC0CF46"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integrated healthcare shall be established once the following documents are developed and approved by the Ministry of Health:</w:t>
            </w:r>
          </w:p>
          <w:p w14:paraId="52DCA1B8"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 an investment strategy for infrastructure investments for the provision of publicly funded health services, including a hospital mapping shall be included to ensure the continuation of the reform of the hospital network, including taking into account the assessment of hospital levels;</w:t>
            </w:r>
          </w:p>
          <w:p w14:paraId="75350242"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 recommendations for the implementation of the integrated care approach;</w:t>
            </w:r>
          </w:p>
          <w:p w14:paraId="0DA485D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3) a set of recommendations for epidemiological requirements</w:t>
            </w:r>
          </w:p>
        </w:tc>
      </w:tr>
      <w:tr w:rsidR="009B5730" w:rsidRPr="00BA1475" w14:paraId="135FEAD5"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7FD0064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133</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6A8D4487"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4.1.1.r. </w:t>
            </w:r>
          </w:p>
          <w:p w14:paraId="488AE98D"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Sustainability and resilience of a human-centred, comprehensive, integrated healthcare system</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42E9F6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BA578A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genome reference of the Latvian population has been established (Latvia’s participation in the Genome for Europe project – GoLatvia project)</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612506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Genome reference established in Latvia</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37A40A1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B23D98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195C698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0949525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Q1</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CE77A9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757B1A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A480F1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7978C07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287DB6B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79D801A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a copy of the genomic design documentation demonstrating the completion of the Genome project</w:t>
            </w:r>
            <w:r w:rsidRPr="00BA1475">
              <w:rPr>
                <w:rFonts w:ascii="Arial Narrow" w:eastAsia="Arial Narrow" w:hAnsi="Arial Narrow" w:cs="Arial Narrow"/>
                <w:noProof/>
                <w:kern w:val="0"/>
                <w:sz w:val="16"/>
                <w:szCs w:val="16"/>
                <w:lang w:val="en-GB"/>
                <w14:ligatures w14:val="none"/>
              </w:rPr>
              <w:t>;</w:t>
            </w:r>
            <w:r w:rsidRPr="00BA1475">
              <w:rPr>
                <w:rFonts w:ascii="Arial Narrow" w:eastAsia="Calibri" w:hAnsi="Arial Narrow" w:cs="Calibri"/>
                <w:noProof/>
                <w:kern w:val="0"/>
                <w:sz w:val="16"/>
                <w:szCs w:val="16"/>
                <w:lang w:val="en-GB"/>
                <w14:ligatures w14:val="none"/>
              </w:rPr>
              <w:t xml:space="preserve"> </w:t>
            </w:r>
          </w:p>
          <w:p w14:paraId="6EC4DFE0" w14:textId="77777777" w:rsidR="00BA1475" w:rsidRPr="00BA1475" w:rsidRDefault="00BA1475" w:rsidP="00BA1475">
            <w:pPr>
              <w:spacing w:after="0" w:line="240" w:lineRule="auto"/>
              <w:rPr>
                <w:rFonts w:ascii="Arial Narrow" w:eastAsia="Calibri" w:hAnsi="Arial Narrow" w:cs="Calibri"/>
                <w:noProof/>
                <w:kern w:val="0"/>
                <w:sz w:val="16"/>
                <w:szCs w:val="16"/>
                <w:highlight w:val="yellow"/>
                <w:lang w:val="en-GB"/>
                <w14:ligatures w14:val="none"/>
              </w:rPr>
            </w:pPr>
            <w:r w:rsidRPr="00BA1475">
              <w:rPr>
                <w:rFonts w:ascii="Arial Narrow" w:eastAsia="Calibri" w:hAnsi="Arial Narrow" w:cs="Calibri"/>
                <w:noProof/>
                <w:kern w:val="0"/>
                <w:sz w:val="16"/>
                <w:szCs w:val="16"/>
                <w:lang w:val="en-GB"/>
                <w14:ligatures w14:val="none"/>
              </w:rPr>
              <w:t xml:space="preserve">b) a copy of the decision of the Ministry of Health approving the </w:t>
            </w:r>
            <w:r w:rsidRPr="00BA1475">
              <w:rPr>
                <w:rFonts w:ascii="Arial Narrow" w:eastAsia="Calibri" w:hAnsi="Arial Narrow" w:cs="Times New Roman"/>
                <w:noProof/>
                <w:kern w:val="0"/>
                <w:sz w:val="16"/>
                <w:szCs w:val="16"/>
                <w:lang w:val="en-GB"/>
                <w14:ligatures w14:val="none"/>
              </w:rPr>
              <w:t>establishment of the Latvian population genome reference.</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11CD7DC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genomic design documentation demonstrating the establishment of the Latvian population genome reference has been approved by the Ministry of Health</w:t>
            </w:r>
          </w:p>
        </w:tc>
      </w:tr>
      <w:tr w:rsidR="009B5730" w:rsidRPr="00BA1475" w14:paraId="2D39D48E"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61C09A2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134</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34E7EEBE"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4.1.1.r. </w:t>
            </w:r>
          </w:p>
          <w:p w14:paraId="40BEB78E"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Sustainability and resilience of a human-centred, comprehensive, integrated healthcare system</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F9495D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244DEA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Methodological management in the field of oncology ensured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171E713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Methodological documents for the implementation of common principles in the field of oncology approved by the Ministry of Health</w:t>
            </w:r>
          </w:p>
        </w:tc>
        <w:tc>
          <w:tcPr>
            <w:tcW w:w="837" w:type="dxa"/>
            <w:tcBorders>
              <w:top w:val="single" w:sz="4" w:space="0" w:color="auto"/>
              <w:left w:val="single" w:sz="4" w:space="0" w:color="auto"/>
              <w:bottom w:val="single" w:sz="8" w:space="0" w:color="auto"/>
              <w:right w:val="single" w:sz="8" w:space="0" w:color="auto"/>
            </w:tcBorders>
            <w:shd w:val="clear" w:color="auto" w:fill="C6EFCE"/>
          </w:tcPr>
          <w:p w14:paraId="05EA9FA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4" w:space="0" w:color="auto"/>
              <w:left w:val="single" w:sz="8" w:space="0" w:color="auto"/>
              <w:bottom w:val="single" w:sz="8" w:space="0" w:color="auto"/>
              <w:right w:val="single" w:sz="8" w:space="0" w:color="auto"/>
            </w:tcBorders>
            <w:shd w:val="clear" w:color="auto" w:fill="C6EFCE"/>
          </w:tcPr>
          <w:p w14:paraId="14FAAA0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4" w:space="0" w:color="auto"/>
              <w:left w:val="single" w:sz="8" w:space="0" w:color="auto"/>
              <w:bottom w:val="single" w:sz="8" w:space="0" w:color="auto"/>
              <w:right w:val="single" w:sz="8" w:space="0" w:color="auto"/>
            </w:tcBorders>
            <w:shd w:val="clear" w:color="auto" w:fill="C6EFCE"/>
          </w:tcPr>
          <w:p w14:paraId="6F58728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4" w:space="0" w:color="auto"/>
              <w:left w:val="single" w:sz="8" w:space="0" w:color="auto"/>
              <w:bottom w:val="single" w:sz="8" w:space="0" w:color="auto"/>
              <w:right w:val="single" w:sz="8" w:space="0" w:color="auto"/>
            </w:tcBorders>
            <w:shd w:val="clear" w:color="auto" w:fill="C6EFCE"/>
          </w:tcPr>
          <w:p w14:paraId="2F2F800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4" w:space="0" w:color="auto"/>
              <w:left w:val="single" w:sz="8" w:space="0" w:color="auto"/>
              <w:bottom w:val="single" w:sz="8" w:space="0" w:color="auto"/>
              <w:right w:val="single" w:sz="4" w:space="0" w:color="auto"/>
            </w:tcBorders>
            <w:shd w:val="clear" w:color="auto" w:fill="C6EFCE"/>
          </w:tcPr>
          <w:p w14:paraId="4C4FBA0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99F7EF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Health</w:t>
            </w:r>
          </w:p>
          <w:p w14:paraId="66D5E7C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72A6DC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71C3328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6875615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7A23545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a copy of methodological documents for oncology treatment infrastructure;</w:t>
            </w:r>
          </w:p>
          <w:p w14:paraId="3867675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a copy of a planning document </w:t>
            </w:r>
            <w:r w:rsidRPr="00BA1475">
              <w:rPr>
                <w:rFonts w:ascii="Arial Narrow" w:eastAsia="Calibri" w:hAnsi="Arial Narrow" w:cs="Times New Roman"/>
                <w:noProof/>
                <w:kern w:val="0"/>
                <w:sz w:val="16"/>
                <w:szCs w:val="16"/>
                <w:lang w:val="en-GB"/>
                <w14:ligatures w14:val="none"/>
              </w:rPr>
              <w:t>introducing a uniform methodological management in the field of oncology;</w:t>
            </w:r>
          </w:p>
          <w:p w14:paraId="71F5725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c) a copy of the decision of the Ministry of Health or its subordinate body approving the methodological documents.</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7031453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objective shall be achieved following the approval by the Ministry of Health of documents ensuring the introduction of uniform methodological management in the field of oncology.</w:t>
            </w:r>
          </w:p>
        </w:tc>
      </w:tr>
      <w:tr w:rsidR="009B5730" w:rsidRPr="00BA1475" w14:paraId="72630FAD"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1E9C29A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135</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67F59106"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4.1.1.1.i. </w:t>
            </w:r>
          </w:p>
          <w:p w14:paraId="52C99255"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public health research</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9FFAA1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02CD45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a methodology for three studies to improve public health policy planning and implementation in the field of antimicrobial resistance, vaccination and infectious diseases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2DB49A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of methodology by the Ministry of Health </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41A6488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339C46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7A3171D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55E8788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264BAF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D65937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Health and the Centre for Disease Prevention and Control as a subordinate institution of the Ministry of Health</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CD6E7C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1B86123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milestone (including all the constitutive elements) was satisfactorily fulfilled, with appropriate links to the underlying evidence. </w:t>
            </w:r>
          </w:p>
          <w:p w14:paraId="01756A7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1081868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a copy of the approved methodology of the study in the area of anti-microbial resistance;</w:t>
            </w:r>
          </w:p>
          <w:p w14:paraId="5412F78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a copy of approved methodology of the study in the area of vaccination; </w:t>
            </w:r>
          </w:p>
          <w:p w14:paraId="76AFFA5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 a copy of approved methodology of the study in the area of infection reduction; </w:t>
            </w:r>
          </w:p>
          <w:p w14:paraId="58246FA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d) copy of the decisions of the Ministry of Health or its subordinate body approving the methodology of the three studies.</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08DBC6B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milestone shall be considered to be achieved following the development by a subordinate institution of the Ministry of Health and the adoption by the Ministry of Health of a harmonised methodology for research in the areas of anti-microbial resistance (AMR), vaccination and infection reduction.</w:t>
            </w:r>
          </w:p>
        </w:tc>
      </w:tr>
      <w:tr w:rsidR="009B5730" w:rsidRPr="00BA1475" w14:paraId="3FD96789"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5D5D5EB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136</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6206E6CC"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4.1.1.1.i. </w:t>
            </w:r>
          </w:p>
          <w:p w14:paraId="3DD0FDEC"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public health research</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5AA0A1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7521FD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Public health research carried out to improve public health policy planning and implementation in the field of AMR, vaccination and infectious diseases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49D901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Public health research published</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0BADB9A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2B7A90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7ADBA92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57F5784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F13919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2025</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CC5DD6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Health and the Centre for Disease Prevention and Control as a subordinate institution of the Ministry of Health</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DCB4FB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3BBE327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milestone (including all the constitutive elements) was satisfactorily fulfilled, with appropriate links to the underlying evidence. </w:t>
            </w:r>
          </w:p>
          <w:p w14:paraId="0AA3CDC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491A72D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a copy of acts of acceptance of the studies carried out in the areas of anti-microbial resistance, vaccination and infectious diseases;</w:t>
            </w:r>
          </w:p>
          <w:p w14:paraId="16B434E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links to the studies published at the Ministry of Health website </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1A5EBF3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Three studies carried out and published by the subordinate institution of the Ministry of Health: 1) in the field of AMR, research on antimicrobial resistance to identify the most effective intervention and monitoring methods; 2) identify the reasons for non-vaccination and 3) in the field of infectious diseases, identify the infection risks  and their impact on public health indicators.</w:t>
            </w:r>
          </w:p>
        </w:tc>
      </w:tr>
      <w:tr w:rsidR="009B5730" w:rsidRPr="00BA1475" w14:paraId="03D0B651"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1265B71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137</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632E5375"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4.1.1.1.i. </w:t>
            </w:r>
          </w:p>
          <w:p w14:paraId="0344A8BE"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public health research</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C0A307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DF1AB2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amendments to legal acts aimed  to improve public health policy planning and implementation in the fields of antimicrobial resistance (AMR), vaccination and infectious diseases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B40065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Entry into force of revised legislation regarding  the public health policy planning and implementation</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5240AF5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692A39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129AF10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5D1CBE0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32B4013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EA07F6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E44E1D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239806B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legal acts in the fields of antimicrobial resistance, vaccination and infectious diseases and a link to the publication in the Official Journal, including a reference to the provision indicating the entry into force, accompanied by a summary document duly justifying how the milestone (including all the constitutive elements) was satisfactorily fulfilled, with appropriate links to the underlying evidence.</w:t>
            </w:r>
          </w:p>
          <w:p w14:paraId="1A47452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an explanation of how the results of the</w:t>
            </w:r>
            <w:r w:rsidRPr="00BA1475">
              <w:rPr>
                <w:rFonts w:ascii="Arial Narrow" w:eastAsia="Calibri" w:hAnsi="Arial Narrow" w:cs="Times New Roman"/>
                <w:noProof/>
                <w:kern w:val="0"/>
                <w:sz w:val="16"/>
                <w:szCs w:val="16"/>
                <w:lang w:val="en-GB"/>
                <w14:ligatures w14:val="none"/>
              </w:rPr>
              <w:t xml:space="preserve"> </w:t>
            </w:r>
            <w:r w:rsidRPr="00BA1475">
              <w:rPr>
                <w:rFonts w:ascii="Arial Narrow" w:eastAsia="Calibri" w:hAnsi="Arial Narrow" w:cs="Calibri"/>
                <w:noProof/>
                <w:kern w:val="0"/>
                <w:sz w:val="16"/>
                <w:szCs w:val="16"/>
                <w:lang w:val="en-GB"/>
                <w14:ligatures w14:val="none"/>
              </w:rPr>
              <w:t>antimicrobial resistance (AMR), vaccination and infectious diseases studies was taken into account in the preparation of the amendments.</w:t>
            </w:r>
          </w:p>
          <w:p w14:paraId="3B34770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66C7388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Based on the results of the research in the fields of antimicrobial resistance (AMR), vaccination and infectious diseases, entry into force of amendments to legal acts related to public health policies, such as recommendations to hospitals, Latvian Centre for Disease Prevention and Control working documents, guidelines, improvement of the vaccination process. </w:t>
            </w:r>
          </w:p>
        </w:tc>
      </w:tr>
      <w:tr w:rsidR="009B5730" w:rsidRPr="00BA1475" w14:paraId="28CA4853"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78EEED0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138</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0108412C"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4.1.1.2.i. </w:t>
            </w:r>
          </w:p>
          <w:p w14:paraId="34B8F2CD"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strengthening the health infrastructure of university and regional hospitals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64776B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EA14FE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projects which received a positive opinion of the Technology Commission on the eligibility of equipment for the provision of the relevant state-funded services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D846E1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1C7F984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6600EF2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4CE3501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47850AB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5F86EA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6B9357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A45C0D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61030BE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target (including all the constitutive elements) was satisfactorily fulfilled, with appropriate links to the underlying evidence. </w:t>
            </w:r>
          </w:p>
          <w:p w14:paraId="4CECB86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306AD0D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copies of positive opinions from the Technology Commission for projects that involve purchase of medical technology;</w:t>
            </w:r>
          </w:p>
          <w:p w14:paraId="0CDB5D6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 copy of the decision of the Ministry of Health</w:t>
            </w:r>
            <w:r w:rsidRPr="00BA1475">
              <w:rPr>
                <w:rFonts w:ascii="Arial Narrow" w:eastAsia="Calibri" w:hAnsi="Arial Narrow" w:cs="Times New Roman"/>
                <w:noProof/>
                <w:kern w:val="0"/>
                <w:sz w:val="16"/>
                <w:szCs w:val="16"/>
                <w:lang w:val="en-GB"/>
                <w14:ligatures w14:val="none"/>
              </w:rPr>
              <w:t xml:space="preserve"> </w:t>
            </w:r>
            <w:r w:rsidRPr="00BA1475">
              <w:rPr>
                <w:rFonts w:ascii="Arial Narrow" w:eastAsia="Calibri" w:hAnsi="Arial Narrow" w:cs="Calibri"/>
                <w:noProof/>
                <w:kern w:val="0"/>
                <w:sz w:val="16"/>
                <w:szCs w:val="16"/>
                <w:lang w:val="en-GB"/>
                <w14:ligatures w14:val="none"/>
              </w:rPr>
              <w:t>on the harmonisation of the acquisition of medical technology in each of the ten projects supporting health infrastructure of university and regional hospitals.</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569B8F0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target shall be considered to be achieved with the positive decision of the Ministry of Health on the harmonisation of the acquisition of medical technology in each of the ten projects supporting health infrastructure of university and regional hospitals. This decision shall be prepared for all projects. If such acquisitions are not planned, a decision to that effect is required. If a project involves the purchase of medical technology, it requires a positive opinion from the Technology Commission.</w:t>
            </w:r>
          </w:p>
        </w:tc>
      </w:tr>
      <w:tr w:rsidR="009B5730" w:rsidRPr="00BA1475" w14:paraId="0B64606B"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734550A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139</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4533C87F"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4.1.1.2.i. </w:t>
            </w:r>
          </w:p>
          <w:p w14:paraId="6E9F8208"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strengthening the health infrastructure of university and regional hospitals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84C5B3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4539BC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Achievement of budget execution as measured by overall procurement in projects improving the infrastructure of university and regional hospitals amounting to at least EUR 59 800 000 of total budget EUR 149 500 000.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68B081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0EC13C8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EUR million </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63CFF4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0D19617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59.8</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21BDE27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0CA496F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141398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Health.</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E4802A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0B9A6CA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target (including all the constitutive elements) was satisfactorily fulfilled, with appropriate links to the underlying evidence. </w:t>
            </w:r>
          </w:p>
          <w:p w14:paraId="3E470E0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46F2B1D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from Management Information System (KPVIS) confirming the total amount of procurements processed, </w:t>
            </w:r>
          </w:p>
          <w:p w14:paraId="679E140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a list of projects with the amounts contracted; </w:t>
            </w:r>
          </w:p>
          <w:p w14:paraId="3673E30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 extract of the relevant parts of the tender specifications of the concluded procurements proving alignment with the description of the target and investment in the CID Annex taking into account in particular </w:t>
            </w:r>
            <w:r w:rsidRPr="00BA1475">
              <w:rPr>
                <w:rFonts w:ascii="Arial Narrow" w:eastAsia="Calibri" w:hAnsi="Arial Narrow" w:cs="Times New Roman"/>
                <w:noProof/>
                <w:kern w:val="0"/>
                <w:sz w:val="16"/>
                <w:szCs w:val="16"/>
                <w:lang w:val="en-GB"/>
                <w14:ligatures w14:val="none"/>
              </w:rPr>
              <w:t>infrastructure and equipment for the hospitals to ensure the provision of comprehensive sustainable integrated health services</w:t>
            </w:r>
            <w:r w:rsidRPr="00BA1475">
              <w:rPr>
                <w:rFonts w:ascii="Arial Narrow" w:eastAsia="Calibri" w:hAnsi="Arial Narrow" w:cs="Calibri"/>
                <w:noProof/>
                <w:kern w:val="0"/>
                <w:sz w:val="16"/>
                <w:szCs w:val="16"/>
                <w:lang w:val="en-GB"/>
                <w14:ligatures w14:val="none"/>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16D8849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target shall be considered to be achieved once at least 40 % of the total planned project volume EUR 59 800 000 has been implemented – progress shall be measured by the overall procurement (projects completed) of the projects against the total planned investment volume of EUR 149 500 000 for the infrastructure and equipment for three university and seven regional hospitals to ensure the provision of comprehensive sustainable integrated health services.</w:t>
            </w:r>
          </w:p>
        </w:tc>
      </w:tr>
      <w:tr w:rsidR="009B5730" w:rsidRPr="00BA1475" w14:paraId="00A87FC1" w14:textId="77777777" w:rsidTr="009B5730">
        <w:trPr>
          <w:trHeight w:val="277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24D3932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140</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63C043E9"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4.1.1.2.i.</w:t>
            </w:r>
          </w:p>
          <w:p w14:paraId="61FA2333"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strengthening the health infrastructure of university and regional hospitals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425486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55747F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hospitals with improved infrastructure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070E9E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36CA49F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0983625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105F870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BCB197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99BC2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79453E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40649A3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6E7D182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5013964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for each of the 10 projects: </w:t>
            </w:r>
          </w:p>
          <w:p w14:paraId="1A784DF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brief description of the action proving alignment with the description of the target and investment in the CID Annex; </w:t>
            </w:r>
          </w:p>
          <w:p w14:paraId="1453334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 b) evidence of completion of works and that the building and/or equipment is operational and meets the quality requirements, such as a copy of project promoter’s report on completion of the project and the Central Financing and Contracting Agency’s confirmation of completion of the project.</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56E3EA8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target shall be deemed to be achieved when development projects in three university and seven regional hospitals are completed in accordance with the technical description of each project and aimed to ensure the necessary infrastructure for integrated health services, ensuring the capacity of health institutions to adapt to crisis situations, and ensuring continued sustainable and high-quality state-funded health services. </w:t>
            </w:r>
          </w:p>
        </w:tc>
      </w:tr>
      <w:tr w:rsidR="009B5730" w:rsidRPr="00BA1475" w14:paraId="03EFB18A"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5B39D29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141</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545210DA"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4.1.1.3.i. </w:t>
            </w:r>
          </w:p>
          <w:p w14:paraId="6B5D607F"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strengthening health infrastructure of secondary outpatient service providers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84BD82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0B03F4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 of secondary outpatient providers with improved infrastructure</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478BBB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N/a</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36C75B4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905011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7008A55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16BB61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D9E314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8D5B3C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95DE51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122A14A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7367CD3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 a list of projects and for each of them:</w:t>
            </w:r>
          </w:p>
          <w:p w14:paraId="7039BDA7" w14:textId="7811054F"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description of the action proving alignment with the description of the target and investment in the CID Annex, taking into account in particular (1) </w:t>
            </w:r>
            <w:r w:rsidRPr="00BA1475">
              <w:rPr>
                <w:rFonts w:ascii="Arial Narrow" w:eastAsia="Calibri" w:hAnsi="Arial Narrow" w:cs="Times New Roman"/>
                <w:noProof/>
                <w:kern w:val="0"/>
                <w:sz w:val="16"/>
                <w:szCs w:val="16"/>
                <w:lang w:val="en-GB"/>
                <w14:ligatures w14:val="none"/>
              </w:rPr>
              <w:t>epidemiological safety, (2) environmental accessibility or (3) infrastructure for integrated care services</w:t>
            </w:r>
            <w:r w:rsidRPr="00BA1475">
              <w:rPr>
                <w:rFonts w:ascii="Arial Narrow" w:eastAsia="Calibri" w:hAnsi="Arial Narrow" w:cs="Calibri"/>
                <w:noProof/>
                <w:kern w:val="0"/>
                <w:sz w:val="16"/>
                <w:szCs w:val="16"/>
                <w:lang w:val="en-GB"/>
                <w14:ligatures w14:val="none"/>
              </w:rPr>
              <w:t xml:space="preserve">; </w:t>
            </w:r>
          </w:p>
          <w:p w14:paraId="722DB2D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 copy of the project promoter’s report on completion of the project and Central Financing and Contracting Agency’s confirmation of completion of the project proving the completion of works and that the infrastructure and/or equipment is operational..</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5E33CA9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target shall be considered to be reached upon completion of development projects in secondary outpatient healthcare institutions aimed to improve  (1) the epidemiological safety, (2) environmental accessibility or (3) infrastructure for integrated care services.</w:t>
            </w:r>
            <w:r w:rsidRPr="00BA1475">
              <w:rPr>
                <w:rFonts w:ascii="Times New Roman" w:eastAsia="Calibri" w:hAnsi="Times New Roman" w:cs="Arial"/>
                <w:kern w:val="0"/>
                <w:sz w:val="20"/>
                <w:szCs w:val="20"/>
                <w:lang w:val="en-GB"/>
                <w14:ligatures w14:val="none"/>
              </w:rPr>
              <w:t xml:space="preserve"> </w:t>
            </w:r>
          </w:p>
        </w:tc>
      </w:tr>
      <w:tr w:rsidR="009B5730" w:rsidRPr="00BA1475" w14:paraId="3D566D3C"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1D7AB4D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142</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0777FD9D"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4.1.1.3.i. </w:t>
            </w:r>
          </w:p>
          <w:p w14:paraId="21492649"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strengthening health infrastructure of secondary outpatient service  providers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E4E857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56373A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Number of secondary outpatient providers with improved infrastructure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359DCA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2973226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40FA94B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68271FA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40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FF5D28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499AFB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6F6442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50A0D1F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44A32BF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42D9C67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 a list of projects and for each of them:</w:t>
            </w:r>
          </w:p>
          <w:p w14:paraId="37A0B8F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brief description of the action proving alignment with the description of the target and investment in the CID Annex, taking into account in particular : (1) </w:t>
            </w:r>
            <w:r w:rsidRPr="00BA1475">
              <w:rPr>
                <w:rFonts w:ascii="Arial Narrow" w:eastAsia="Calibri" w:hAnsi="Arial Narrow" w:cs="Times New Roman"/>
                <w:noProof/>
                <w:kern w:val="0"/>
                <w:sz w:val="16"/>
                <w:szCs w:val="16"/>
                <w:lang w:val="en-GB"/>
                <w14:ligatures w14:val="none"/>
              </w:rPr>
              <w:t>epidemiological safety, (2) environmental accessibility or (3) infrastructure for integrated care services</w:t>
            </w:r>
            <w:r w:rsidRPr="00BA1475">
              <w:rPr>
                <w:rFonts w:ascii="Arial Narrow" w:eastAsia="Calibri" w:hAnsi="Arial Narrow" w:cs="Calibri"/>
                <w:noProof/>
                <w:kern w:val="0"/>
                <w:sz w:val="16"/>
                <w:szCs w:val="16"/>
                <w:lang w:val="en-GB"/>
                <w14:ligatures w14:val="none"/>
              </w:rPr>
              <w:t xml:space="preserve">; </w:t>
            </w:r>
          </w:p>
          <w:p w14:paraId="2BE5033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evidence of completion of works and that the infrastructure and/or equipment is operational, such as a copy of project promoter’s report on completion of the project and Central Financing and Contracting Agency’s confirmation of completion of the project.</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0BB86DB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target shall be considered to be reached upon completion of development projects in at least 40 secondary outpatient healthcare institutions aimed to improve: (1) the epidemiological safety, (2) environmental accessibility or (3) infrastructure for integrated care services. </w:t>
            </w:r>
          </w:p>
        </w:tc>
      </w:tr>
      <w:tr w:rsidR="009B5730" w:rsidRPr="00BA1475" w14:paraId="3811F060"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37A9698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143</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7941DB2B"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4.2.1.r. </w:t>
            </w:r>
          </w:p>
          <w:p w14:paraId="6E82083D"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Provision of human resources and upskilling</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D8303A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630AC8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Human resources development strategy</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457CF7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Latvian authorities have adopted a comprehensive health workforce strategy, which includes models for lifelong learning and for health workforce planning</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77BE33E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56DB4AC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35D00D4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09995E7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5BC9CBA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795B58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56103C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25DAFB6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publication of the health workforce strategy and a link in the Official Journal, including a reference to the provision indicating the entry into force, accompanied by a summary document duly justifying how the milestone (including all the constitutive elements) was satisfactorily fulfilled, with appropriate links to the underlying evidence. </w:t>
            </w:r>
          </w:p>
          <w:p w14:paraId="5CEB800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519C403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w:t>
            </w:r>
            <w:r w:rsidRPr="00BA1475">
              <w:rPr>
                <w:rFonts w:ascii="Arial Narrow" w:eastAsia="Calibri" w:hAnsi="Arial Narrow" w:cs="Times New Roman"/>
                <w:noProof/>
                <w:kern w:val="0"/>
                <w:sz w:val="16"/>
                <w:szCs w:val="16"/>
                <w:lang w:val="en-GB"/>
                <w14:ligatures w14:val="none"/>
              </w:rPr>
              <w:t xml:space="preserve">) </w:t>
            </w:r>
            <w:r w:rsidRPr="00BA1475">
              <w:rPr>
                <w:rFonts w:ascii="Arial Narrow" w:eastAsia="Calibri" w:hAnsi="Arial Narrow" w:cs="Calibri"/>
                <w:noProof/>
                <w:kern w:val="0"/>
                <w:sz w:val="16"/>
                <w:szCs w:val="16"/>
                <w:lang w:val="en-GB"/>
                <w14:ligatures w14:val="none"/>
              </w:rPr>
              <w:t>proof of consultation of social partners and other stakeholders;</w:t>
            </w:r>
          </w:p>
          <w:p w14:paraId="7257B75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 b) a brief description and extracts of the relevant provisions proving alignment with the description of the target and investment in the CID Annex.</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2A20B9FB"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 human resources development strategy has been adopted, in consultation with social partners and other stakeholders, in accordance with the Cabinet of Ministers’ Rules of Procedure.</w:t>
            </w:r>
          </w:p>
          <w:p w14:paraId="448B88F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health workforce strategy shall provide a framework for the development of health workforce planning mechanism, including needs for under-graduate and post-graduate study places, a robust information system that shall include up-to-date information at individual level on the development of the skills and competences of medical practitioners during their career and an effective lifelong learning planning and management. The strategy shall also lay out the principles of the healthcare remuneration model.</w:t>
            </w:r>
          </w:p>
        </w:tc>
      </w:tr>
      <w:tr w:rsidR="009B5730" w:rsidRPr="00BA1475" w14:paraId="682F8B2C"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233F76C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144</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54BBA8D2"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4.2.1.r. </w:t>
            </w:r>
          </w:p>
          <w:p w14:paraId="3E4870E8"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Provision of human resources and upskilling</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C204E5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7E6A6C8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of Human Resources Mapping in Healthcare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3D303F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Human resources mapping developed and approved by the Ministry of Health</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614BCAC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33AE5EE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437A8E8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4FBA414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376847F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69EC26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0393B45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mapping shall include the total number of health professionals in the public and private sector taken together.</w:t>
            </w: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5479604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milestone (including all the constitutive elements) was satisfactorily fulfilled, with appropriate links to the underlying evidence. </w:t>
            </w:r>
          </w:p>
          <w:p w14:paraId="4F6FE10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 link to the publication, a brief description of the topics covered and as an annex a copy of the approved mapping proving alignment with the description of the milestone in the CID Annex.</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1219BEB0"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human resources in healthcare mapping has been completed. </w:t>
            </w:r>
          </w:p>
          <w:p w14:paraId="00B52F4C"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mapping shall include detailed information on the number of health professionals working in different disciplines, in the public and in the private sector, at all levels of care. </w:t>
            </w:r>
          </w:p>
          <w:p w14:paraId="41E4236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mapping shall also include detailed information on the workload borne by health professionals and on continuous training, highlighting the criticalities in the assessed levels of qualification and in the readiness to deal with technological and organisational innovation. </w:t>
            </w:r>
          </w:p>
        </w:tc>
      </w:tr>
      <w:tr w:rsidR="009B5730" w:rsidRPr="00BA1475" w14:paraId="4AA6AC34"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02FB115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145</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74D52832"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4.2.1.r. </w:t>
            </w:r>
          </w:p>
          <w:p w14:paraId="3073EE18"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Provision of human resources and upskilling</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A81D6B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217666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New remuneration model for healthcare staff implemented</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6C0462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Entry into force of a law/regulation ensuring the implementation of a new remuneration model for healthcare </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3950EE2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70CC7A9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6F8911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7877497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Q2</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13499E8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A52EA6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9F7FB1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2969651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and the link of the publication in the Official Journal, including reference to the provision indicating the entry into force of the law/regulation implementing the new remuneration model for healthcare, accompanied by a document referencing the relevant provisions and duly justifying how the milestone (including all the constitutive elements) was satisfactorily fulfilled, with appropriate links to the underlying evidence.</w:t>
            </w:r>
          </w:p>
          <w:p w14:paraId="4B592B1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36D68FC8" w14:textId="77777777" w:rsidR="00BA1475" w:rsidRPr="00BA1475" w:rsidRDefault="00BA1475" w:rsidP="00BA1475">
            <w:pPr>
              <w:numPr>
                <w:ilvl w:val="0"/>
                <w:numId w:val="49"/>
              </w:numPr>
              <w:spacing w:after="0" w:line="240" w:lineRule="auto"/>
              <w:ind w:left="285" w:hanging="283"/>
              <w:contextualSpacing/>
              <w:rPr>
                <w:rFonts w:ascii="Calibri" w:eastAsia="MS Mincho" w:hAnsi="Calibri" w:cs="Arial"/>
                <w:noProof/>
                <w:kern w:val="0"/>
                <w:sz w:val="16"/>
                <w:szCs w:val="16"/>
                <w:lang w:val="en-US"/>
                <w14:ligatures w14:val="none"/>
              </w:rPr>
            </w:pPr>
            <w:r w:rsidRPr="00BA1475">
              <w:rPr>
                <w:rFonts w:ascii="Arial Narrow" w:eastAsia="Calibri" w:hAnsi="Arial Narrow" w:cs="Calibri"/>
                <w:noProof/>
                <w:kern w:val="0"/>
                <w:sz w:val="16"/>
                <w:szCs w:val="16"/>
                <w:lang w:val="en-GB"/>
                <w14:ligatures w14:val="none"/>
              </w:rPr>
              <w:t>details on the transparent wage calculation mechanism;</w:t>
            </w:r>
          </w:p>
          <w:p w14:paraId="6056CC9D" w14:textId="77777777" w:rsidR="00BA1475" w:rsidRPr="00BA1475" w:rsidRDefault="00BA1475" w:rsidP="00BA1475">
            <w:pPr>
              <w:numPr>
                <w:ilvl w:val="0"/>
                <w:numId w:val="49"/>
              </w:numPr>
              <w:spacing w:after="0" w:line="240" w:lineRule="auto"/>
              <w:ind w:left="285" w:hanging="283"/>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details of the solutions to ensure transparency, fairness and gradual wage increases.</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7CF47E8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new remuneration model for healthcare staff  shall include a transparent wage calculation mechanism and streamlines the wages across the health sector;  solutions to ensure transparency, fairness, as well as gradual wage increases, with a view to improving the availability and quality of services. </w:t>
            </w:r>
          </w:p>
        </w:tc>
      </w:tr>
      <w:tr w:rsidR="009B5730" w:rsidRPr="00BA1475" w14:paraId="667AC2CC"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7729125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146</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7DB1906F"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4.2.1.r. </w:t>
            </w:r>
          </w:p>
          <w:p w14:paraId="1FFEE3D8"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Provision of human resources and upskilling</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077902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Milestone </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55E1712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a model for health workforce planning</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4BF726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and deployment of a model for forecasting future health workforce needs </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7F940BC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6D953DB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N/a </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116C8C2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0C48F6A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662B39A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34EFB4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80BB80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64A0A6F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milestone (including all the constitutive elements) was satisfactorily fulfilled, with appropriate links to the underlying evidence. </w:t>
            </w:r>
          </w:p>
          <w:p w14:paraId="0231F5D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51B14E7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report by a third party shall be provided to certify that the IT tool (model) is developed and operational, and that the estimates described in the milestone are available to the authorities;</w:t>
            </w:r>
          </w:p>
          <w:p w14:paraId="1A1AF8E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extract of the relevant parts of the technical specifications of the IT tool proving alignment with the description of the milestone and investment in the CID Annex.</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17CB9B13"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 model (IT tool) to forecast the future needs of health workforce delivered and approved by the Ministry of Health. The model is to be used for planning purposes. The model shall provide estimates, based on projected population health care needs and the organisation of healthcare service delivery, on: </w:t>
            </w:r>
          </w:p>
          <w:p w14:paraId="7908E39E" w14:textId="77777777" w:rsidR="00BA1475" w:rsidRPr="00BA1475" w:rsidRDefault="00BA1475" w:rsidP="00BA1475">
            <w:pPr>
              <w:numPr>
                <w:ilvl w:val="0"/>
                <w:numId w:val="16"/>
              </w:numPr>
              <w:spacing w:before="120" w:after="200" w:line="276" w:lineRule="auto"/>
              <w:ind w:left="357" w:hanging="357"/>
              <w:contextualSpacing/>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 xml:space="preserve">The need for healthcare professionals, by specialty and geographic area / place of practice; </w:t>
            </w:r>
          </w:p>
          <w:p w14:paraId="65111BAF" w14:textId="77777777" w:rsidR="00BA1475" w:rsidRPr="00BA1475" w:rsidRDefault="00BA1475" w:rsidP="00BA1475">
            <w:pPr>
              <w:numPr>
                <w:ilvl w:val="0"/>
                <w:numId w:val="16"/>
              </w:numPr>
              <w:spacing w:before="120" w:after="200" w:line="276" w:lineRule="auto"/>
              <w:ind w:left="357" w:hanging="357"/>
              <w:contextualSpacing/>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The need for professional development of health professionals,</w:t>
            </w:r>
          </w:p>
          <w:p w14:paraId="5C5FE901" w14:textId="77777777" w:rsidR="00BA1475" w:rsidRPr="00BA1475" w:rsidRDefault="00BA1475" w:rsidP="00BA1475">
            <w:pPr>
              <w:numPr>
                <w:ilvl w:val="0"/>
                <w:numId w:val="16"/>
              </w:numPr>
              <w:spacing w:before="120" w:after="200" w:line="276" w:lineRule="auto"/>
              <w:ind w:left="357" w:hanging="357"/>
              <w:contextualSpacing/>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Expected</w:t>
            </w:r>
            <w:r w:rsidRPr="00BA1475">
              <w:rPr>
                <w:rFonts w:ascii="Arial Narrow" w:eastAsia="Calibri" w:hAnsi="Arial Narrow" w:cs="Times New Roman"/>
                <w:noProof/>
                <w:kern w:val="0"/>
                <w:sz w:val="16"/>
                <w:szCs w:val="16"/>
                <w:lang w:val="en-US"/>
                <w14:ligatures w14:val="none"/>
              </w:rPr>
              <w:t xml:space="preserve"> gaps in workforce supply.</w:t>
            </w:r>
          </w:p>
        </w:tc>
      </w:tr>
      <w:tr w:rsidR="009B5730" w:rsidRPr="00BA1475" w14:paraId="78882D88"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0E8FFA7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147</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44890984"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4.2.1.1.i. </w:t>
            </w:r>
          </w:p>
          <w:p w14:paraId="583ED5B5"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the implementation of the human resources development system.</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D9968E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15A523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 coordinating mechanism for health workforce training established</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10FE76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 coordination mechanism for continuous health workforce training ensuring cooperation between the involved institutions, methodological management and quality control established by the Ministry of Health </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5A2D772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D4191A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777DD43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31440BD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1A861AE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5C20E4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20AB23F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608EC67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milestone (including all the constitutive elements) was satisfactorily fulfilled, with appropriate links to the underlying evidence. </w:t>
            </w:r>
          </w:p>
          <w:p w14:paraId="605FBA7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5382144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Ministry of Health decision approving the establishment of a coordination mechanism </w:t>
            </w:r>
            <w:r w:rsidRPr="00BA1475">
              <w:rPr>
                <w:rFonts w:ascii="Arial Narrow" w:eastAsia="Calibri" w:hAnsi="Arial Narrow" w:cs="Times New Roman"/>
                <w:noProof/>
                <w:kern w:val="0"/>
                <w:sz w:val="16"/>
                <w:szCs w:val="16"/>
                <w:lang w:val="en-GB"/>
                <w14:ligatures w14:val="none"/>
              </w:rPr>
              <w:t xml:space="preserve">for the management of the continuous education </w:t>
            </w:r>
            <w:r w:rsidRPr="00BA1475">
              <w:rPr>
                <w:rFonts w:ascii="Arial Narrow" w:eastAsia="Calibri" w:hAnsi="Arial Narrow" w:cs="Calibri"/>
                <w:noProof/>
                <w:kern w:val="0"/>
                <w:sz w:val="16"/>
                <w:szCs w:val="16"/>
                <w:lang w:val="en-GB"/>
                <w14:ligatures w14:val="none"/>
              </w:rPr>
              <w:t xml:space="preserve">process; </w:t>
            </w:r>
          </w:p>
          <w:p w14:paraId="405154A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w:t>
            </w:r>
            <w:r w:rsidRPr="00BA1475">
              <w:rPr>
                <w:rFonts w:ascii="Arial Narrow" w:eastAsia="Calibri" w:hAnsi="Arial Narrow" w:cs="Times New Roman"/>
                <w:noProof/>
                <w:kern w:val="0"/>
                <w:sz w:val="16"/>
                <w:szCs w:val="16"/>
                <w:lang w:val="en-GB"/>
                <w14:ligatures w14:val="none"/>
              </w:rPr>
              <w:t>a copy of the the adopted document laying down the principles of the coordination mechanism for the management of the continuous education process and a link</w:t>
            </w:r>
            <w:r w:rsidRPr="00BA1475">
              <w:rPr>
                <w:rFonts w:ascii="Arial Narrow" w:eastAsia="Calibri" w:hAnsi="Arial Narrow" w:cs="Calibri"/>
                <w:noProof/>
                <w:kern w:val="0"/>
                <w:sz w:val="16"/>
                <w:szCs w:val="16"/>
                <w:lang w:val="en-GB"/>
                <w14:ligatures w14:val="none"/>
              </w:rPr>
              <w:t xml:space="preserve"> to the website where the document can be accessed;</w:t>
            </w:r>
          </w:p>
          <w:p w14:paraId="0B28F7C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 explanation demonstrating the alignment with the description of the milestone and investment in the CID Annex and how the following constitutive elements are met:  </w:t>
            </w:r>
            <w:r w:rsidRPr="00BA1475">
              <w:rPr>
                <w:rFonts w:ascii="Calibri" w:eastAsia="Calibri" w:hAnsi="Calibri" w:cs="Arial"/>
                <w:noProof/>
                <w:kern w:val="0"/>
                <w:lang w:val="en-GB"/>
                <w14:ligatures w14:val="none"/>
              </w:rPr>
              <w:br/>
            </w:r>
            <w:r w:rsidRPr="00BA1475">
              <w:rPr>
                <w:rFonts w:ascii="Arial Narrow" w:eastAsia="Calibri" w:hAnsi="Arial Narrow" w:cs="Calibri"/>
                <w:noProof/>
                <w:kern w:val="0"/>
                <w:sz w:val="16"/>
                <w:szCs w:val="16"/>
                <w:lang w:val="en-GB"/>
                <w14:ligatures w14:val="none"/>
              </w:rPr>
              <w:t xml:space="preserve">- </w:t>
            </w:r>
            <w:r w:rsidRPr="00BA1475">
              <w:rPr>
                <w:rFonts w:ascii="Arial Narrow" w:eastAsia="Calibri" w:hAnsi="Arial Narrow" w:cs="Times New Roman"/>
                <w:noProof/>
                <w:kern w:val="0"/>
                <w:sz w:val="16"/>
                <w:szCs w:val="16"/>
                <w:lang w:val="en-GB"/>
                <w14:ligatures w14:val="none"/>
              </w:rPr>
              <w:t xml:space="preserve">ensuring cooperation between the involved institutions; </w:t>
            </w:r>
          </w:p>
          <w:p w14:paraId="3DB6BC8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methodological management</w:t>
            </w:r>
          </w:p>
          <w:p w14:paraId="266C419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 quality control; </w:t>
            </w:r>
          </w:p>
          <w:p w14:paraId="221D2BE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d) orders and/or decisions of the Ministry of Heath calling for the establishment of a coordination mechanism;</w:t>
            </w:r>
          </w:p>
          <w:p w14:paraId="542AF66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e) a copy of a document proving that </w:t>
            </w:r>
            <w:r w:rsidRPr="00BA1475">
              <w:rPr>
                <w:rFonts w:ascii="Arial Narrow" w:eastAsia="Calibri" w:hAnsi="Arial Narrow" w:cs="Times New Roman"/>
                <w:noProof/>
                <w:kern w:val="0"/>
                <w:sz w:val="16"/>
                <w:szCs w:val="16"/>
                <w:lang w:val="en-GB"/>
                <w14:ligatures w14:val="none"/>
              </w:rPr>
              <w:t xml:space="preserve">the organisational model for continuing training is established and focuses on the content of the training, the form of training, the necessary </w:t>
            </w:r>
            <w:r w:rsidRPr="00BA1475">
              <w:rPr>
                <w:rFonts w:ascii="Arial Narrow" w:eastAsia="Calibri" w:hAnsi="Arial Narrow" w:cs="Calibri"/>
                <w:noProof/>
                <w:kern w:val="0"/>
                <w:sz w:val="16"/>
                <w:szCs w:val="16"/>
                <w:lang w:val="en-GB"/>
                <w14:ligatures w14:val="none"/>
              </w:rPr>
              <w:t>facilitie</w:t>
            </w:r>
            <w:r w:rsidRPr="00BA1475">
              <w:rPr>
                <w:rFonts w:ascii="Arial Narrow" w:eastAsia="Calibri" w:hAnsi="Arial Narrow" w:cs="Times New Roman"/>
                <w:noProof/>
                <w:kern w:val="0"/>
                <w:sz w:val="16"/>
                <w:szCs w:val="16"/>
                <w:lang w:val="en-GB"/>
                <w14:ligatures w14:val="none"/>
              </w:rPr>
              <w:t xml:space="preserve">s </w:t>
            </w:r>
            <w:r w:rsidRPr="00BA1475">
              <w:rPr>
                <w:rFonts w:ascii="Arial Narrow" w:eastAsia="Calibri" w:hAnsi="Arial Narrow" w:cs="Calibri"/>
                <w:noProof/>
                <w:kern w:val="0"/>
                <w:sz w:val="16"/>
                <w:szCs w:val="16"/>
                <w:lang w:val="en-GB"/>
                <w14:ligatures w14:val="none"/>
              </w:rPr>
              <w:t xml:space="preserve">and equipment </w:t>
            </w:r>
            <w:r w:rsidRPr="00BA1475">
              <w:rPr>
                <w:rFonts w:ascii="Arial Narrow" w:eastAsia="Calibri" w:hAnsi="Arial Narrow" w:cs="Times New Roman"/>
                <w:noProof/>
                <w:kern w:val="0"/>
                <w:sz w:val="16"/>
                <w:szCs w:val="16"/>
                <w:lang w:val="en-GB"/>
                <w14:ligatures w14:val="none"/>
              </w:rPr>
              <w:t>(e.g. simulations, use of virtual reality, etc.);</w:t>
            </w:r>
          </w:p>
          <w:p w14:paraId="0F3C401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f) guidelines for the procurement of training services, as well as quality standards for training and system for monitoring and evaluating.</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157458D4"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establishment of a coordination mechanism for the management of the continuous education process, as evidenced by the relevant supporting documents of the Ministry of Health (e.g. orders, decisions). </w:t>
            </w:r>
          </w:p>
          <w:p w14:paraId="2B806AA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organisational model for continuing training shall be developed, focusing on the content of the training, the form of training, the necessary facilities and equipment (e.g. simulations, use of virtual reality, etc.), as well as cooperation mechanisms between educational institutions, clinical university hospitals, regional hospitals and other key stakeholders. The organisational model, a governance structure and clear lines of responsibility and accountability shall be established. Guidelines for the procurement of training services, as well as quality standards for training and system for monitoring and evaluating.</w:t>
            </w:r>
          </w:p>
        </w:tc>
      </w:tr>
      <w:tr w:rsidR="009B5730" w:rsidRPr="00BA1475" w14:paraId="4D617412"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1B47A25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148</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262B6E52"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4.2.1.1.i. </w:t>
            </w:r>
          </w:p>
          <w:p w14:paraId="6B3418A7"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the implementation of the human resources development system</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8A2A8D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233428C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Simulation approach introduced in the healthcare learning process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30D50F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Simulation approach introduced in healthcare learning process</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50E87C3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01F2D57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5BF46E5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4B39718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5C4E67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DCA335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11FFE1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simulation approach shall cover: all stages of medical eudcation, but shall primarily focus on lifelong learning</w:t>
            </w: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7363E41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milestone (including all the constitutive elements) was satisfactorily fulfilled, with appropriate links to the underlying evidence. </w:t>
            </w:r>
          </w:p>
          <w:p w14:paraId="5A322C7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copies of and links to the Ministry of Health decisions approving the action plan or guidelines for the implementation of simulations approach covering </w:t>
            </w:r>
            <w:r w:rsidRPr="00BA1475">
              <w:rPr>
                <w:rFonts w:ascii="Arial Narrow" w:eastAsia="Calibri" w:hAnsi="Arial Narrow" w:cs="Times New Roman"/>
                <w:noProof/>
                <w:kern w:val="0"/>
                <w:sz w:val="16"/>
                <w:szCs w:val="16"/>
                <w:lang w:val="en-GB"/>
                <w14:ligatures w14:val="none"/>
              </w:rPr>
              <w:t>all stages of medical education</w:t>
            </w:r>
            <w:r w:rsidRPr="00BA1475">
              <w:rPr>
                <w:rFonts w:ascii="Arial Narrow" w:eastAsia="Calibri" w:hAnsi="Arial Narrow" w:cs="Calibri"/>
                <w:noProof/>
                <w:kern w:val="0"/>
                <w:sz w:val="16"/>
                <w:szCs w:val="16"/>
                <w:lang w:val="en-GB"/>
                <w14:ligatures w14:val="none"/>
              </w:rPr>
              <w:t>.</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51E15AB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The milestone shall be deemed to have been achieved once the action plan or guidelines for the implementation of simulations at all stages of medical education are approved by the Ministry of Health </w:t>
            </w:r>
          </w:p>
        </w:tc>
      </w:tr>
      <w:tr w:rsidR="009B5730" w:rsidRPr="00BA1475" w14:paraId="4A3CF201"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2EAEB7B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149</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7FCAFE3C"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4.3.1.r.</w:t>
            </w:r>
          </w:p>
          <w:p w14:paraId="29882F52"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Sustainability of health care, strengthening governance, efficient use of health resources, increase of the total public budget in the health sector</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88C297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641EA6E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Coordination mechanism approved to assess, develop and implement new healthcare service delivery models services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6F6818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Coordination mechanism to assess and implement new healthcare service delivery models developed and approved by the Ministry of Health</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39D3F10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12D39E3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5B68C48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5D4812C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3105752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96BFB4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E93059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694B54C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milestone (including all the constitutive elements) was satisfactorily fulfilled, with appropriate links to the underlying evidence. </w:t>
            </w:r>
          </w:p>
          <w:p w14:paraId="0A00B3D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a copy of the decision of the Ministry of Health </w:t>
            </w:r>
            <w:r w:rsidRPr="00BA1475">
              <w:rPr>
                <w:rFonts w:ascii="Arial Narrow" w:eastAsia="Calibri" w:hAnsi="Arial Narrow" w:cs="Times New Roman"/>
                <w:noProof/>
                <w:kern w:val="0"/>
                <w:sz w:val="16"/>
                <w:szCs w:val="16"/>
                <w:lang w:val="en-GB"/>
                <w14:ligatures w14:val="none"/>
              </w:rPr>
              <w:t>or of its subordinate body</w:t>
            </w:r>
            <w:r w:rsidRPr="00BA1475">
              <w:rPr>
                <w:rFonts w:ascii="Arial Narrow" w:eastAsia="Calibri" w:hAnsi="Arial Narrow" w:cs="Calibri"/>
                <w:noProof/>
                <w:kern w:val="0"/>
                <w:sz w:val="16"/>
                <w:szCs w:val="16"/>
                <w:lang w:val="en-GB"/>
                <w14:ligatures w14:val="none"/>
              </w:rPr>
              <w:t xml:space="preserve"> establishing the coordination unit and the documents showing:</w:t>
            </w:r>
          </w:p>
          <w:p w14:paraId="5800B6A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the aim of the unit;</w:t>
            </w:r>
          </w:p>
          <w:p w14:paraId="2E6C9D5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the composition of the working group or supervisory board and proving the involvement of </w:t>
            </w:r>
            <w:r w:rsidRPr="00BA1475">
              <w:rPr>
                <w:rFonts w:ascii="Arial Narrow" w:eastAsia="Calibri" w:hAnsi="Arial Narrow" w:cs="Times New Roman"/>
                <w:noProof/>
                <w:kern w:val="0"/>
                <w:sz w:val="16"/>
                <w:szCs w:val="16"/>
                <w:lang w:val="en-GB"/>
                <w14:ligatures w14:val="none"/>
              </w:rPr>
              <w:t xml:space="preserve">industry representatives in the development of proposals as experts </w:t>
            </w:r>
            <w:r w:rsidRPr="00BA1475">
              <w:rPr>
                <w:rFonts w:ascii="Arial Narrow" w:eastAsia="Calibri" w:hAnsi="Arial Narrow" w:cs="Calibri"/>
                <w:noProof/>
                <w:kern w:val="0"/>
                <w:sz w:val="16"/>
                <w:szCs w:val="16"/>
                <w:lang w:val="en-GB"/>
                <w14:ligatures w14:val="none"/>
              </w:rPr>
              <w:t xml:space="preserve">to demonstrate the alignment with the description of the milestone and reform in the CID Annex. </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17DD80BB"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 coordinating unit within the Ministry of Health or its subordinate body is in place. It shall ensure that industry representatives are involved in the development of proposals as experts (e.g. a working group or supervisory board).</w:t>
            </w:r>
          </w:p>
          <w:p w14:paraId="27A0432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aim of the unit is to coordinate the work to develop, implement and assess new healthcare service delivery models aimed to provide improved and more efficient provision of state-funded health services at all levels, ensuring availability and quality of services through the establishment of a system change mechanism for state-paid services.</w:t>
            </w:r>
          </w:p>
        </w:tc>
      </w:tr>
      <w:tr w:rsidR="009B5730" w:rsidRPr="00BA1475" w14:paraId="51DF9B41"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1F1CEB1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150</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33741D03" w14:textId="77777777" w:rsidR="00BA1475" w:rsidRPr="00BA1475" w:rsidRDefault="00BA1475" w:rsidP="00BA1475">
            <w:pPr>
              <w:spacing w:before="120" w:after="120" w:line="240" w:lineRule="auto"/>
              <w:rPr>
                <w:rFonts w:ascii="Arial Narrow" w:eastAsia="Calibri" w:hAnsi="Arial Narrow" w:cs="Times New Roman"/>
                <w:b/>
                <w:bCs/>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4.3.1.r.</w:t>
            </w:r>
            <w:r w:rsidRPr="00BA1475">
              <w:rPr>
                <w:rFonts w:ascii="Arial Narrow" w:eastAsia="Calibri" w:hAnsi="Arial Narrow" w:cs="Times New Roman"/>
                <w:b/>
                <w:bCs/>
                <w:noProof/>
                <w:kern w:val="0"/>
                <w:sz w:val="16"/>
                <w:szCs w:val="16"/>
                <w:lang w:val="en-GB"/>
                <w14:ligatures w14:val="none"/>
              </w:rPr>
              <w:t xml:space="preserve"> </w:t>
            </w:r>
          </w:p>
          <w:p w14:paraId="0889CA65"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Sustainability of health care, strengthening governance, efficient use of health resources, increase of the total public budget in the health sector</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926310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934879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Mainstreaming of new healthcare service delivery models as part of publicly funded healthcare services</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F421A0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15ED292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Number</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46518AC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0</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4144B4B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10</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03D525C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Q3</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316E23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2026</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FF218A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45A9688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0F1B1DE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target (including all the constitutive elements) was satisfactorily fulfilled, with appropriate links to the underlying evidence. </w:t>
            </w:r>
          </w:p>
          <w:p w14:paraId="1E56856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a list of models and for each of them:</w:t>
            </w:r>
          </w:p>
          <w:p w14:paraId="7849790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internal regulatory acts approving each model and of the protocols for the implementation of each model. </w:t>
            </w:r>
          </w:p>
          <w:p w14:paraId="35B4872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 document for each model confirming that it has been has been piloted;</w:t>
            </w:r>
          </w:p>
          <w:p w14:paraId="69B221B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c) copy of the assessments of the models pertaining to the current situation as well as to the short- and long-term benefits and efficiency gains;</w:t>
            </w:r>
          </w:p>
          <w:p w14:paraId="71C4199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d) for each model copy of the act establishing the working group as well as a description of its composition and mandate;</w:t>
            </w:r>
          </w:p>
          <w:p w14:paraId="0B165A8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e) copies and links of legal proposals to introduce the model as state-funded service, including proposals for the necessary additional national budget for the implementation where necessary. The documentation shall include an explanation of how the proposals are based on the results of the pilot projects.</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739A8D3B"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Ten new healthcare service delivery models developed and  mainstreamed as part of publicly funded healthcare services. </w:t>
            </w:r>
          </w:p>
          <w:p w14:paraId="0B28FB23"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For each model a working group, consisting of the representatives of the Ministry of Health, National Health Service and other subordinate bodies as well as other stakeholders has performed: </w:t>
            </w:r>
          </w:p>
          <w:p w14:paraId="3E371401" w14:textId="77777777" w:rsidR="00BA1475" w:rsidRPr="00BA1475" w:rsidRDefault="00BA1475" w:rsidP="00BA1475">
            <w:pPr>
              <w:numPr>
                <w:ilvl w:val="0"/>
                <w:numId w:val="16"/>
              </w:numPr>
              <w:spacing w:before="120" w:after="200" w:line="276" w:lineRule="auto"/>
              <w:ind w:left="357" w:hanging="357"/>
              <w:contextualSpacing/>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assessment of the situation;</w:t>
            </w:r>
          </w:p>
          <w:p w14:paraId="62073D3B" w14:textId="77777777" w:rsidR="00BA1475" w:rsidRPr="00BA1475" w:rsidRDefault="00BA1475" w:rsidP="00BA1475">
            <w:pPr>
              <w:numPr>
                <w:ilvl w:val="0"/>
                <w:numId w:val="16"/>
              </w:numPr>
              <w:spacing w:before="120" w:after="200" w:line="276" w:lineRule="auto"/>
              <w:ind w:left="357" w:hanging="357"/>
              <w:contextualSpacing/>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development of the model;</w:t>
            </w:r>
          </w:p>
          <w:p w14:paraId="4AC4FC97" w14:textId="77777777" w:rsidR="00BA1475" w:rsidRPr="00BA1475" w:rsidRDefault="00BA1475" w:rsidP="00BA1475">
            <w:pPr>
              <w:numPr>
                <w:ilvl w:val="0"/>
                <w:numId w:val="16"/>
              </w:numPr>
              <w:spacing w:before="120" w:after="200" w:line="276" w:lineRule="auto"/>
              <w:ind w:left="357" w:hanging="357"/>
              <w:contextualSpacing/>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 xml:space="preserve">piloting of the model; </w:t>
            </w:r>
          </w:p>
          <w:p w14:paraId="021B05E0" w14:textId="77777777" w:rsidR="00BA1475" w:rsidRPr="00BA1475" w:rsidRDefault="00BA1475" w:rsidP="00BA1475">
            <w:pPr>
              <w:numPr>
                <w:ilvl w:val="0"/>
                <w:numId w:val="16"/>
              </w:numPr>
              <w:spacing w:before="120" w:after="200" w:line="276" w:lineRule="auto"/>
              <w:ind w:left="357" w:hanging="357"/>
              <w:contextualSpacing/>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assessment of short- and long-term benefits;</w:t>
            </w:r>
          </w:p>
          <w:p w14:paraId="61BD0DC2" w14:textId="77777777" w:rsidR="00BA1475" w:rsidRPr="00BA1475" w:rsidRDefault="00BA1475" w:rsidP="00BA1475">
            <w:pPr>
              <w:numPr>
                <w:ilvl w:val="0"/>
                <w:numId w:val="16"/>
              </w:numPr>
              <w:spacing w:before="120" w:after="200" w:line="276" w:lineRule="auto"/>
              <w:ind w:left="357" w:hanging="357"/>
              <w:contextualSpacing/>
              <w:jc w:val="both"/>
              <w:rPr>
                <w:rFonts w:ascii="Arial Narrow" w:eastAsia="MS Mincho" w:hAnsi="Arial Narrow" w:cs="Times New Roman"/>
                <w:noProof/>
                <w:kern w:val="0"/>
                <w:sz w:val="16"/>
                <w:szCs w:val="16"/>
                <w:lang w:val="en-US"/>
                <w14:ligatures w14:val="none"/>
              </w:rPr>
            </w:pPr>
            <w:r w:rsidRPr="00BA1475">
              <w:rPr>
                <w:rFonts w:ascii="Arial Narrow" w:eastAsia="Calibri" w:hAnsi="Arial Narrow" w:cs="Times New Roman"/>
                <w:noProof/>
                <w:kern w:val="0"/>
                <w:sz w:val="16"/>
                <w:szCs w:val="16"/>
                <w:lang w:val="en-GB"/>
                <w14:ligatures w14:val="none"/>
              </w:rPr>
              <w:t>and protocols for implementation.</w:t>
            </w:r>
          </w:p>
          <w:p w14:paraId="2CC5ABD7" w14:textId="77777777" w:rsidR="00BA1475" w:rsidRPr="00BA1475" w:rsidRDefault="00BA1475" w:rsidP="00BA1475">
            <w:pPr>
              <w:spacing w:before="120" w:after="120" w:line="240" w:lineRule="auto"/>
              <w:rPr>
                <w:rFonts w:ascii="Arial Narrow" w:eastAsia="Calibri" w:hAnsi="Arial Narrow" w:cs="Times New Roman"/>
                <w:noProof/>
                <w:kern w:val="0"/>
                <w:sz w:val="16"/>
                <w:szCs w:val="16"/>
                <w:lang w:val="en-GB"/>
                <w14:ligatures w14:val="none"/>
              </w:rPr>
            </w:pPr>
          </w:p>
          <w:p w14:paraId="365E11D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Based on the results of the pilot projects, a proposal for the necessary additional national budget for the implementation of the relevant measures shall be prepared. The government budget request shall be considered together with all other proposals for the annual and medium-term budget in the preparation process.</w:t>
            </w:r>
          </w:p>
        </w:tc>
      </w:tr>
      <w:tr w:rsidR="009B5730" w:rsidRPr="00BA1475" w14:paraId="752B8BD5"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0A53FC4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151</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53013C2E" w14:textId="77777777" w:rsidR="00BA1475" w:rsidRPr="00BA1475" w:rsidRDefault="00BA1475" w:rsidP="00BA1475">
            <w:pPr>
              <w:spacing w:before="120" w:after="12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4.3.1.1.i. </w:t>
            </w:r>
          </w:p>
          <w:p w14:paraId="716E8022"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assessing and improving the quality and accessibility of non-hospital secondary healthcare</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73686D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1E0EFD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Adoption of a methodology for the study on the quality and availability of non-hospital secondary healthcare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D5E6C0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Adoption of a  methodology by the Ministry of Health</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5A63A06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3B0DC1D3"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19D181C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156CD67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0B6C299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2022</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F8331B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Health</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717CA8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66C1264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milestone (including all the constitutive elements) was satisfactorily fulfilled, with appropriate links to the underlying evidence, including a copy of the approved methodology of the study and the decision of the Ministry of Health. The document shall include as annex an analysis demonstrating that the methodology allows to assess </w:t>
            </w:r>
            <w:r w:rsidRPr="00BA1475">
              <w:rPr>
                <w:rFonts w:ascii="Arial Narrow" w:eastAsia="Calibri" w:hAnsi="Arial Narrow" w:cs="Times New Roman"/>
                <w:noProof/>
                <w:kern w:val="0"/>
                <w:sz w:val="16"/>
                <w:szCs w:val="16"/>
                <w:lang w:val="en-GB"/>
                <w14:ligatures w14:val="none"/>
              </w:rPr>
              <w:t>the quality and accessibility of non-hospital secondary healthcare, including mapping of these services and the impact of the administrative territorial reform.</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1AE5990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The milestone shall be considered to be achieved after the approval by the Ministry of Health of a methodology required for carrying out the study aimed to assess the quality and accessibility of health care, including non-hospital secondary health service level mapping and the impact of the administrative territorial reform</w:t>
            </w:r>
          </w:p>
        </w:tc>
      </w:tr>
      <w:tr w:rsidR="009B5730" w:rsidRPr="00BA1475" w14:paraId="70AD6619"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22A06DB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152</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7F9E6271" w14:textId="77777777" w:rsidR="00BA1475" w:rsidRPr="00BA1475" w:rsidRDefault="00BA1475" w:rsidP="00BA1475">
            <w:pPr>
              <w:spacing w:before="120" w:after="12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4.3.1.1.i.</w:t>
            </w:r>
          </w:p>
          <w:p w14:paraId="7A337C23"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assessing and improving the quality and accessibility of non-hospital secondary healthcare</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42E4AE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EFCEB1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Study on the quality, accessibility and  availability of non-hospital secondary healthcare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7D4BE4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A study on the quality accessibility and  availability of non-hospital secondary healthcare published by the Ministry of Health </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6793B414"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287055C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7896BBE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49B48C1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2E6F97FD"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2023</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0A2696E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05772B0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47B9831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milestone (including all the constitutive elements) was satisfactorily fulfilled, with appropriate links to the underlying evidence. </w:t>
            </w:r>
          </w:p>
          <w:p w14:paraId="32E7701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73C2D3B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and link to study published at the Ministry of Health website </w:t>
            </w:r>
          </w:p>
          <w:p w14:paraId="14407B9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relevant extracts of the health system assessment and proposals for systemic improvement. </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08D1B8D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Study carried out and published by the Ministry of Health that covers the assessment of the quality, availability and accessibility of non-hospital secondary care, including non-hospital secondary health service level mapping and the impact of the administrative territorial reform. The study includes health system assessment and proposals for systemic improvement.</w:t>
            </w:r>
          </w:p>
        </w:tc>
      </w:tr>
      <w:tr w:rsidR="009B5730" w:rsidRPr="00BA1475" w14:paraId="5D5A9EEB" w14:textId="77777777" w:rsidTr="009B5730">
        <w:trPr>
          <w:trHeight w:val="315"/>
          <w:jc w:val="center"/>
        </w:trPr>
        <w:tc>
          <w:tcPr>
            <w:tcW w:w="475" w:type="dxa"/>
            <w:tcBorders>
              <w:top w:val="single" w:sz="4" w:space="0" w:color="auto"/>
              <w:left w:val="single" w:sz="4" w:space="0" w:color="auto"/>
              <w:bottom w:val="single" w:sz="4" w:space="0" w:color="auto"/>
              <w:right w:val="single" w:sz="4" w:space="0" w:color="auto"/>
            </w:tcBorders>
            <w:shd w:val="clear" w:color="auto" w:fill="C6EFCE"/>
          </w:tcPr>
          <w:p w14:paraId="4732C44B"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153</w:t>
            </w:r>
          </w:p>
        </w:tc>
        <w:tc>
          <w:tcPr>
            <w:tcW w:w="1284" w:type="dxa"/>
            <w:tcBorders>
              <w:top w:val="single" w:sz="4" w:space="0" w:color="auto"/>
              <w:left w:val="single" w:sz="4" w:space="0" w:color="auto"/>
              <w:bottom w:val="single" w:sz="4" w:space="0" w:color="auto"/>
              <w:right w:val="single" w:sz="4" w:space="0" w:color="auto"/>
            </w:tcBorders>
            <w:shd w:val="clear" w:color="auto" w:fill="C6EFCE"/>
          </w:tcPr>
          <w:p w14:paraId="01A14ACA" w14:textId="77777777" w:rsidR="00BA1475" w:rsidRPr="00BA1475" w:rsidRDefault="00BA1475" w:rsidP="00BA1475">
            <w:pPr>
              <w:spacing w:before="120" w:after="12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 xml:space="preserve">4.3.1.1.i. </w:t>
            </w:r>
          </w:p>
          <w:p w14:paraId="23BEDD2F" w14:textId="77777777" w:rsidR="00BA1475" w:rsidRPr="00BA1475" w:rsidRDefault="00BA1475" w:rsidP="00BA1475">
            <w:pPr>
              <w:spacing w:after="0" w:line="240" w:lineRule="auto"/>
              <w:rPr>
                <w:rFonts w:ascii="Arial Narrow" w:eastAsia="Calibri" w:hAnsi="Arial Narrow" w:cs="Times New Roman"/>
                <w:b/>
                <w:noProof/>
                <w:kern w:val="0"/>
                <w:sz w:val="16"/>
                <w:szCs w:val="16"/>
                <w:lang w:val="en-GB"/>
                <w14:ligatures w14:val="none"/>
              </w:rPr>
            </w:pPr>
            <w:r w:rsidRPr="00BA1475">
              <w:rPr>
                <w:rFonts w:ascii="Arial Narrow" w:eastAsia="Calibri" w:hAnsi="Arial Narrow" w:cs="Times New Roman"/>
                <w:b/>
                <w:noProof/>
                <w:kern w:val="0"/>
                <w:sz w:val="16"/>
                <w:szCs w:val="16"/>
                <w:lang w:val="en-GB"/>
                <w14:ligatures w14:val="none"/>
              </w:rPr>
              <w:t>Support for assessing and improving the quality and accessibility of non-hospital secondary healthcare</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C38179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3EEDADB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Mainstreaming results of quality, availability and accessibility of non-hospital secondary care study into health policy developments </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F2E545E"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 xml:space="preserve">Entry into force of amendments to legal acts aimed to increase the quality, availability and </w:t>
            </w:r>
            <w:r w:rsidRPr="00BA1475">
              <w:rPr>
                <w:rFonts w:ascii="Arial Narrow" w:eastAsia="MS Mincho" w:hAnsi="Arial Narrow" w:cs="Times New Roman"/>
                <w:noProof/>
                <w:kern w:val="0"/>
                <w:sz w:val="16"/>
                <w:szCs w:val="16"/>
                <w:lang w:val="en-GB"/>
                <w14:ligatures w14:val="none"/>
              </w:rPr>
              <w:t>accessibility</w:t>
            </w:r>
            <w:r w:rsidRPr="00BA1475">
              <w:rPr>
                <w:rFonts w:ascii="Arial Narrow" w:eastAsia="Calibri" w:hAnsi="Arial Narrow" w:cs="Times New Roman"/>
                <w:noProof/>
                <w:kern w:val="0"/>
                <w:sz w:val="16"/>
                <w:szCs w:val="16"/>
                <w:lang w:val="en-GB"/>
                <w14:ligatures w14:val="none"/>
              </w:rPr>
              <w:t xml:space="preserve"> of non-hospital secondary care </w:t>
            </w:r>
          </w:p>
        </w:tc>
        <w:tc>
          <w:tcPr>
            <w:tcW w:w="837" w:type="dxa"/>
            <w:tcBorders>
              <w:top w:val="single" w:sz="8" w:space="0" w:color="auto"/>
              <w:left w:val="single" w:sz="4" w:space="0" w:color="auto"/>
              <w:bottom w:val="single" w:sz="8" w:space="0" w:color="auto"/>
              <w:right w:val="single" w:sz="8" w:space="0" w:color="auto"/>
            </w:tcBorders>
            <w:shd w:val="clear" w:color="auto" w:fill="C6EFCE"/>
          </w:tcPr>
          <w:p w14:paraId="6F6782E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851" w:type="dxa"/>
            <w:tcBorders>
              <w:top w:val="single" w:sz="8" w:space="0" w:color="auto"/>
              <w:left w:val="single" w:sz="8" w:space="0" w:color="auto"/>
              <w:bottom w:val="single" w:sz="8" w:space="0" w:color="auto"/>
              <w:right w:val="single" w:sz="8" w:space="0" w:color="auto"/>
            </w:tcBorders>
            <w:shd w:val="clear" w:color="auto" w:fill="C6EFCE"/>
          </w:tcPr>
          <w:p w14:paraId="711588D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567" w:type="dxa"/>
            <w:tcBorders>
              <w:top w:val="single" w:sz="8" w:space="0" w:color="auto"/>
              <w:left w:val="single" w:sz="8" w:space="0" w:color="auto"/>
              <w:bottom w:val="single" w:sz="8" w:space="0" w:color="auto"/>
              <w:right w:val="single" w:sz="8" w:space="0" w:color="auto"/>
            </w:tcBorders>
            <w:shd w:val="clear" w:color="auto" w:fill="C6EFCE"/>
          </w:tcPr>
          <w:p w14:paraId="622FB7D5"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N/a</w:t>
            </w:r>
          </w:p>
        </w:tc>
        <w:tc>
          <w:tcPr>
            <w:tcW w:w="425" w:type="dxa"/>
            <w:tcBorders>
              <w:top w:val="single" w:sz="8" w:space="0" w:color="auto"/>
              <w:left w:val="single" w:sz="8" w:space="0" w:color="auto"/>
              <w:bottom w:val="single" w:sz="8" w:space="0" w:color="auto"/>
              <w:right w:val="single" w:sz="8" w:space="0" w:color="auto"/>
            </w:tcBorders>
            <w:shd w:val="clear" w:color="auto" w:fill="C6EFCE"/>
          </w:tcPr>
          <w:p w14:paraId="5BAC5FD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Q4</w:t>
            </w:r>
          </w:p>
        </w:tc>
        <w:tc>
          <w:tcPr>
            <w:tcW w:w="567" w:type="dxa"/>
            <w:tcBorders>
              <w:top w:val="single" w:sz="8" w:space="0" w:color="auto"/>
              <w:left w:val="single" w:sz="8" w:space="0" w:color="auto"/>
              <w:bottom w:val="single" w:sz="8" w:space="0" w:color="auto"/>
              <w:right w:val="single" w:sz="4" w:space="0" w:color="auto"/>
            </w:tcBorders>
            <w:shd w:val="clear" w:color="auto" w:fill="C6EFCE"/>
          </w:tcPr>
          <w:p w14:paraId="7EE57F7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2024</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4556DEB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Health </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30AA725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p>
        </w:tc>
        <w:tc>
          <w:tcPr>
            <w:tcW w:w="2140" w:type="dxa"/>
            <w:tcBorders>
              <w:top w:val="single" w:sz="4" w:space="0" w:color="auto"/>
              <w:left w:val="single" w:sz="4" w:space="0" w:color="auto"/>
              <w:bottom w:val="single" w:sz="4" w:space="0" w:color="auto"/>
              <w:right w:val="single" w:sz="4" w:space="0" w:color="auto"/>
            </w:tcBorders>
            <w:shd w:val="clear" w:color="auto" w:fill="C6EFCE"/>
          </w:tcPr>
          <w:p w14:paraId="15F12A0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and link of the publication in the Official Journal of amendments to legal acts, accompanied by a reference to the relevant provisions indicating the entry into force and by a document duly justifying how the milestone (including all the constitutive elements) was satisfactorily fulfilled, with appropriate links to the underlying evidence. </w:t>
            </w:r>
          </w:p>
          <w:p w14:paraId="5FE53D4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copies of and links to the results of the research on </w:t>
            </w:r>
            <w:r w:rsidRPr="00BA1475">
              <w:rPr>
                <w:rFonts w:ascii="Arial Narrow" w:eastAsia="Calibri" w:hAnsi="Arial Narrow" w:cs="Times New Roman"/>
                <w:noProof/>
                <w:kern w:val="0"/>
                <w:sz w:val="16"/>
                <w:szCs w:val="16"/>
                <w:lang w:val="en-GB"/>
                <w14:ligatures w14:val="none"/>
              </w:rPr>
              <w:t xml:space="preserve">quality, availability and accessibility of non-hospital secondary healthcare and an </w:t>
            </w:r>
            <w:r w:rsidRPr="00BA1475">
              <w:rPr>
                <w:rFonts w:ascii="Arial Narrow" w:eastAsia="Calibri" w:hAnsi="Arial Narrow" w:cs="Calibri"/>
                <w:noProof/>
                <w:kern w:val="0"/>
                <w:sz w:val="16"/>
                <w:szCs w:val="16"/>
                <w:lang w:val="en-GB"/>
                <w14:ligatures w14:val="none"/>
              </w:rPr>
              <w:t>explanation on how the results of the research were taken into account for the preparation of the legal acts.</w:t>
            </w:r>
          </w:p>
        </w:tc>
        <w:tc>
          <w:tcPr>
            <w:tcW w:w="2835" w:type="dxa"/>
            <w:tcBorders>
              <w:top w:val="single" w:sz="4" w:space="0" w:color="auto"/>
              <w:left w:val="single" w:sz="4" w:space="0" w:color="auto"/>
              <w:bottom w:val="single" w:sz="4" w:space="0" w:color="auto"/>
              <w:right w:val="single" w:sz="4" w:space="0" w:color="auto"/>
            </w:tcBorders>
            <w:shd w:val="clear" w:color="auto" w:fill="C6EFCE"/>
          </w:tcPr>
          <w:p w14:paraId="786BDF18"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Based on the results of the research on quality, availability and accessibility of non-hospital secondary care, entry into force of amendments tolegal acts related to public health policies, recommendations for hospitals and service delivery planning documents.</w:t>
            </w:r>
          </w:p>
        </w:tc>
      </w:tr>
    </w:tbl>
    <w:p w14:paraId="788F794E" w14:textId="77777777" w:rsidR="00BA1475" w:rsidRPr="00BA1475" w:rsidRDefault="00BA1475" w:rsidP="00BA1475">
      <w:pPr>
        <w:spacing w:after="200" w:line="276" w:lineRule="auto"/>
        <w:rPr>
          <w:rFonts w:ascii="Arial Narrow" w:eastAsia="Calibri" w:hAnsi="Arial Narrow" w:cs="Times New Roman"/>
          <w:noProof/>
          <w:kern w:val="0"/>
          <w:sz w:val="24"/>
          <w:lang w:val="en-GB"/>
          <w14:ligatures w14:val="none"/>
        </w:rPr>
        <w:sectPr w:rsidR="00BA1475" w:rsidRPr="00BA1475" w:rsidSect="00BA1475">
          <w:headerReference w:type="even" r:id="rId44"/>
          <w:headerReference w:type="default" r:id="rId45"/>
          <w:footerReference w:type="even" r:id="rId46"/>
          <w:footerReference w:type="default" r:id="rId47"/>
          <w:headerReference w:type="first" r:id="rId48"/>
          <w:footerReference w:type="first" r:id="rId49"/>
          <w:pgSz w:w="16839" w:h="11907" w:orient="landscape"/>
          <w:pgMar w:top="1417" w:right="1134" w:bottom="1417" w:left="1134" w:header="709" w:footer="709" w:gutter="0"/>
          <w:cols w:space="720"/>
          <w:docGrid w:linePitch="360"/>
        </w:sectPr>
      </w:pPr>
      <w:r w:rsidRPr="00BA1475">
        <w:rPr>
          <w:rFonts w:ascii="Arial Narrow" w:eastAsia="Calibri" w:hAnsi="Arial Narrow" w:cs="Times New Roman"/>
          <w:noProof/>
          <w:kern w:val="0"/>
          <w:sz w:val="24"/>
          <w:lang w:val="en-GB"/>
          <w14:ligatures w14:val="none"/>
        </w:rPr>
        <w:br w:type="page"/>
      </w:r>
    </w:p>
    <w:p w14:paraId="332DA0AB" w14:textId="77777777" w:rsidR="00BA1475" w:rsidRPr="00BA1475" w:rsidRDefault="00BA1475" w:rsidP="00BA1475">
      <w:pPr>
        <w:keepNext/>
        <w:keepLines/>
        <w:spacing w:before="40" w:after="120"/>
        <w:ind w:left="851"/>
        <w:outlineLvl w:val="1"/>
        <w:rPr>
          <w:rFonts w:ascii="Arial Narrow" w:eastAsia="Calibri" w:hAnsi="Arial Narrow" w:cs="Calibri"/>
          <w:noProof/>
          <w:kern w:val="0"/>
          <w:sz w:val="16"/>
          <w:szCs w:val="16"/>
          <w:lang w:val="en-GB"/>
          <w14:ligatures w14:val="none"/>
        </w:rPr>
      </w:pPr>
      <w:r w:rsidRPr="00BA1475">
        <w:rPr>
          <w:rFonts w:ascii="Arial Narrow" w:eastAsia="MS Gothic" w:hAnsi="Arial Narrow" w:cs="Times New Roman"/>
          <w:b/>
          <w:bCs/>
          <w:noProof/>
          <w:kern w:val="0"/>
          <w:sz w:val="24"/>
          <w:szCs w:val="26"/>
          <w:lang w:val="en-GB"/>
          <w14:ligatures w14:val="none"/>
        </w:rPr>
        <w:t>E</w:t>
      </w:r>
      <w:r w:rsidRPr="00BA1475">
        <w:rPr>
          <w:rFonts w:ascii="Arial Narrow" w:eastAsia="MS Mincho" w:hAnsi="Arial Narrow" w:cs="Times New Roman"/>
          <w:b/>
          <w:bCs/>
          <w:noProof/>
          <w:kern w:val="0"/>
          <w:sz w:val="24"/>
          <w:szCs w:val="26"/>
          <w:lang w:val="en-GB"/>
          <w14:ligatures w14:val="none"/>
        </w:rPr>
        <w:t xml:space="preserve">. COMPONENT 5: </w:t>
      </w:r>
      <w:r w:rsidRPr="00BA1475">
        <w:rPr>
          <w:rFonts w:ascii="Arial Narrow" w:eastAsia="Times New Roman" w:hAnsi="Arial Narrow" w:cs="Times New Roman"/>
          <w:b/>
          <w:bCs/>
          <w:noProof/>
          <w:kern w:val="0"/>
          <w:sz w:val="24"/>
          <w:szCs w:val="26"/>
          <w:lang w:val="en-GB"/>
          <w14:ligatures w14:val="none"/>
        </w:rPr>
        <w:t>ECONOMIC TRANSFORMATION AND PRODUCTIVITY REFORM</w:t>
      </w:r>
      <w:r w:rsidRPr="00BA1475">
        <w:rPr>
          <w:rFonts w:ascii="Arial Narrow" w:eastAsia="MS Mincho" w:hAnsi="Arial Narrow" w:cs="Times New Roman"/>
          <w:b/>
          <w:bCs/>
          <w:noProof/>
          <w:kern w:val="0"/>
          <w:sz w:val="24"/>
          <w:szCs w:val="26"/>
          <w:lang w:val="en-GB"/>
          <w14:ligatures w14:val="none"/>
        </w:rPr>
        <w:t xml:space="preserve"> </w:t>
      </w:r>
    </w:p>
    <w:tbl>
      <w:tblPr>
        <w:tblW w:w="15773" w:type="dxa"/>
        <w:jc w:val="center"/>
        <w:tblLayout w:type="fixed"/>
        <w:tblLook w:val="04A0" w:firstRow="1" w:lastRow="0" w:firstColumn="1" w:lastColumn="0" w:noHBand="0" w:noVBand="1"/>
      </w:tblPr>
      <w:tblGrid>
        <w:gridCol w:w="456"/>
        <w:gridCol w:w="1432"/>
        <w:gridCol w:w="851"/>
        <w:gridCol w:w="1134"/>
        <w:gridCol w:w="1417"/>
        <w:gridCol w:w="709"/>
        <w:gridCol w:w="851"/>
        <w:gridCol w:w="567"/>
        <w:gridCol w:w="567"/>
        <w:gridCol w:w="567"/>
        <w:gridCol w:w="1275"/>
        <w:gridCol w:w="1418"/>
        <w:gridCol w:w="1836"/>
        <w:gridCol w:w="2693"/>
      </w:tblGrid>
      <w:tr w:rsidR="004D3CCA" w:rsidRPr="00BA1475" w14:paraId="31C06E69" w14:textId="77777777" w:rsidTr="004D3CCA">
        <w:trPr>
          <w:cantSplit/>
          <w:trHeight w:val="730"/>
          <w:tblHeader/>
          <w:jc w:val="center"/>
        </w:trPr>
        <w:tc>
          <w:tcPr>
            <w:tcW w:w="456"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hideMark/>
          </w:tcPr>
          <w:p w14:paraId="7879995C"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w:t>
            </w:r>
          </w:p>
        </w:tc>
        <w:tc>
          <w:tcPr>
            <w:tcW w:w="1432"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hideMark/>
          </w:tcPr>
          <w:p w14:paraId="6BFD4512"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Related measure (reform or investment)</w:t>
            </w:r>
          </w:p>
        </w:tc>
        <w:tc>
          <w:tcPr>
            <w:tcW w:w="851"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hideMark/>
          </w:tcPr>
          <w:p w14:paraId="6E4FBE0B"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M/T</w:t>
            </w:r>
          </w:p>
        </w:tc>
        <w:tc>
          <w:tcPr>
            <w:tcW w:w="1134"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hideMark/>
          </w:tcPr>
          <w:p w14:paraId="043AAB9A"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Name</w:t>
            </w:r>
          </w:p>
        </w:tc>
        <w:tc>
          <w:tcPr>
            <w:tcW w:w="1417" w:type="dxa"/>
            <w:vMerge w:val="restart"/>
            <w:tcBorders>
              <w:top w:val="single" w:sz="4" w:space="0" w:color="auto"/>
              <w:left w:val="single" w:sz="4" w:space="0" w:color="000000" w:themeColor="text1"/>
              <w:bottom w:val="single" w:sz="4" w:space="0" w:color="auto"/>
              <w:right w:val="single" w:sz="4" w:space="0" w:color="auto"/>
            </w:tcBorders>
            <w:shd w:val="clear" w:color="auto" w:fill="BDD7EE"/>
            <w:vAlign w:val="center"/>
            <w:hideMark/>
          </w:tcPr>
          <w:p w14:paraId="59D5F34F"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noProof/>
                <w:kern w:val="0"/>
                <w:sz w:val="16"/>
                <w:szCs w:val="16"/>
                <w:lang w:val="en-GB" w:eastAsia="en-GB"/>
                <w14:ligatures w14:val="none"/>
              </w:rPr>
              <w:t>Qualitative indicators</w:t>
            </w:r>
            <w:r w:rsidRPr="00BA1475">
              <w:rPr>
                <w:rFonts w:ascii="Arial Narrow" w:eastAsia="Calibri" w:hAnsi="Arial Narrow" w:cs="Times New Roman"/>
                <w:noProof/>
                <w:kern w:val="0"/>
                <w:sz w:val="16"/>
                <w:szCs w:val="16"/>
                <w:lang w:val="en-GB"/>
                <w14:ligatures w14:val="none"/>
              </w:rPr>
              <w:br/>
            </w:r>
            <w:r w:rsidRPr="00BA1475">
              <w:rPr>
                <w:rFonts w:ascii="Arial Narrow" w:eastAsia="Times New Roman" w:hAnsi="Arial Narrow" w:cs="Times New Roman"/>
                <w:b/>
                <w:noProof/>
                <w:kern w:val="0"/>
                <w:sz w:val="16"/>
                <w:szCs w:val="16"/>
                <w:lang w:val="en-GB" w:eastAsia="en-GB"/>
                <w14:ligatures w14:val="none"/>
              </w:rPr>
              <w:t xml:space="preserve"> (for milestones)</w:t>
            </w:r>
          </w:p>
        </w:tc>
        <w:tc>
          <w:tcPr>
            <w:tcW w:w="212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FE3F8A9"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noProof/>
                <w:kern w:val="0"/>
                <w:sz w:val="16"/>
                <w:szCs w:val="16"/>
                <w:lang w:val="en-GB" w:eastAsia="en-GB"/>
                <w14:ligatures w14:val="none"/>
              </w:rPr>
              <w:t>Quantitative indicators</w:t>
            </w:r>
            <w:r w:rsidRPr="00BA1475">
              <w:rPr>
                <w:rFonts w:ascii="Arial Narrow" w:eastAsia="Calibri" w:hAnsi="Arial Narrow" w:cs="Times New Roman"/>
                <w:noProof/>
                <w:kern w:val="0"/>
                <w:sz w:val="16"/>
                <w:szCs w:val="16"/>
                <w:lang w:val="en-GB"/>
                <w14:ligatures w14:val="none"/>
              </w:rPr>
              <w:br/>
            </w:r>
            <w:r w:rsidRPr="00BA1475">
              <w:rPr>
                <w:rFonts w:ascii="Arial Narrow" w:eastAsia="Times New Roman" w:hAnsi="Arial Narrow" w:cs="Times New Roman"/>
                <w:b/>
                <w:noProof/>
                <w:kern w:val="0"/>
                <w:sz w:val="16"/>
                <w:szCs w:val="16"/>
                <w:lang w:val="en-GB" w:eastAsia="en-GB"/>
                <w14:ligatures w14:val="none"/>
              </w:rPr>
              <w:t xml:space="preserve"> (for targets)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7C758DD"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Indicative timeline for completion</w:t>
            </w:r>
          </w:p>
        </w:tc>
        <w:tc>
          <w:tcPr>
            <w:tcW w:w="1275" w:type="dxa"/>
            <w:vMerge w:val="restart"/>
            <w:tcBorders>
              <w:top w:val="single" w:sz="4" w:space="0" w:color="auto"/>
              <w:left w:val="single" w:sz="4" w:space="0" w:color="auto"/>
              <w:bottom w:val="single" w:sz="4" w:space="0" w:color="auto"/>
              <w:right w:val="single" w:sz="4" w:space="0" w:color="000000" w:themeColor="text1"/>
            </w:tcBorders>
            <w:shd w:val="clear" w:color="auto" w:fill="BDD7EE"/>
            <w:vAlign w:val="center"/>
          </w:tcPr>
          <w:p w14:paraId="65A8FEA9"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Calibri" w:hAnsi="Arial Narrow" w:cs="Calibri"/>
                <w:b/>
                <w:noProof/>
                <w:kern w:val="0"/>
                <w:sz w:val="16"/>
                <w:szCs w:val="16"/>
                <w:lang w:val="en-GB"/>
                <w14:ligatures w14:val="none"/>
              </w:rPr>
              <w:t>Responsibility for reporting and implementation</w:t>
            </w:r>
          </w:p>
        </w:tc>
        <w:tc>
          <w:tcPr>
            <w:tcW w:w="1418"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tcPr>
          <w:p w14:paraId="1F3E7436"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Calibri" w:hAnsi="Arial Narrow" w:cs="Calibri"/>
                <w:b/>
                <w:noProof/>
                <w:kern w:val="0"/>
                <w:sz w:val="16"/>
                <w:szCs w:val="16"/>
                <w:lang w:val="en-GB"/>
                <w14:ligatures w14:val="none"/>
              </w:rPr>
              <w:t>Further specification (if necessary)</w:t>
            </w:r>
          </w:p>
        </w:tc>
        <w:tc>
          <w:tcPr>
            <w:tcW w:w="1836"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tcPr>
          <w:p w14:paraId="39FCF4CA" w14:textId="77777777" w:rsidR="00BA1475" w:rsidRPr="00BA1475" w:rsidRDefault="00BA1475" w:rsidP="00BA1475">
            <w:pPr>
              <w:spacing w:after="0" w:line="240" w:lineRule="auto"/>
              <w:jc w:val="center"/>
              <w:rPr>
                <w:rFonts w:ascii="Arial Narrow" w:eastAsia="Times New Roman" w:hAnsi="Arial Narrow" w:cs="Times New Roman"/>
                <w:b/>
                <w:bCs/>
                <w:noProof/>
                <w:color w:val="4F6228"/>
                <w:kern w:val="0"/>
                <w:sz w:val="16"/>
                <w:szCs w:val="16"/>
                <w:lang w:val="en-GB" w:eastAsia="en-GB"/>
                <w14:ligatures w14:val="none"/>
              </w:rPr>
            </w:pPr>
            <w:r w:rsidRPr="00BA1475">
              <w:rPr>
                <w:rFonts w:ascii="Arial Narrow" w:eastAsia="Times New Roman" w:hAnsi="Arial Narrow" w:cs="Times New Roman"/>
                <w:b/>
                <w:noProof/>
                <w:kern w:val="0"/>
                <w:sz w:val="16"/>
                <w:szCs w:val="16"/>
                <w:lang w:val="en-GB" w:eastAsia="en-IE"/>
                <w14:ligatures w14:val="none"/>
              </w:rPr>
              <w:t>Verification mechanism</w:t>
            </w:r>
          </w:p>
        </w:tc>
        <w:tc>
          <w:tcPr>
            <w:tcW w:w="2693" w:type="dxa"/>
            <w:vMerge w:val="restart"/>
            <w:tcBorders>
              <w:top w:val="single" w:sz="4" w:space="0" w:color="auto"/>
              <w:left w:val="single" w:sz="4" w:space="0" w:color="000000" w:themeColor="text1"/>
              <w:bottom w:val="single" w:sz="4" w:space="0" w:color="auto"/>
              <w:right w:val="single" w:sz="4" w:space="0" w:color="000000" w:themeColor="text1"/>
            </w:tcBorders>
            <w:shd w:val="clear" w:color="auto" w:fill="BDD7EE"/>
            <w:vAlign w:val="center"/>
            <w:hideMark/>
          </w:tcPr>
          <w:p w14:paraId="3847B390"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noProof/>
                <w:kern w:val="0"/>
                <w:sz w:val="16"/>
                <w:szCs w:val="16"/>
                <w:lang w:val="en-GB" w:eastAsia="en-IE"/>
                <w14:ligatures w14:val="none"/>
              </w:rPr>
              <w:t>Milestone and target description</w:t>
            </w:r>
          </w:p>
        </w:tc>
      </w:tr>
      <w:tr w:rsidR="00F50948" w:rsidRPr="00BA1475" w14:paraId="0AC72F2C" w14:textId="77777777" w:rsidTr="004D3CCA">
        <w:trPr>
          <w:cantSplit/>
          <w:trHeight w:val="570"/>
          <w:tblHeader/>
          <w:jc w:val="center"/>
        </w:trPr>
        <w:tc>
          <w:tcPr>
            <w:tcW w:w="456" w:type="dxa"/>
            <w:vMerge/>
            <w:tcBorders>
              <w:left w:val="single" w:sz="4" w:space="0" w:color="000000" w:themeColor="text1"/>
              <w:right w:val="single" w:sz="4" w:space="0" w:color="000000" w:themeColor="text1"/>
            </w:tcBorders>
            <w:vAlign w:val="center"/>
            <w:hideMark/>
          </w:tcPr>
          <w:p w14:paraId="3E58767B"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p>
        </w:tc>
        <w:tc>
          <w:tcPr>
            <w:tcW w:w="1432" w:type="dxa"/>
            <w:vMerge/>
            <w:tcBorders>
              <w:left w:val="single" w:sz="4" w:space="0" w:color="000000" w:themeColor="text1"/>
              <w:right w:val="single" w:sz="4" w:space="0" w:color="000000" w:themeColor="text1"/>
            </w:tcBorders>
            <w:vAlign w:val="center"/>
            <w:hideMark/>
          </w:tcPr>
          <w:p w14:paraId="62C61955"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p>
        </w:tc>
        <w:tc>
          <w:tcPr>
            <w:tcW w:w="851" w:type="dxa"/>
            <w:vMerge/>
            <w:tcBorders>
              <w:left w:val="single" w:sz="4" w:space="0" w:color="000000" w:themeColor="text1"/>
              <w:right w:val="single" w:sz="4" w:space="0" w:color="000000" w:themeColor="text1"/>
            </w:tcBorders>
            <w:vAlign w:val="center"/>
            <w:hideMark/>
          </w:tcPr>
          <w:p w14:paraId="64C6CB1C"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p>
        </w:tc>
        <w:tc>
          <w:tcPr>
            <w:tcW w:w="1134" w:type="dxa"/>
            <w:vMerge/>
            <w:tcBorders>
              <w:left w:val="single" w:sz="4" w:space="0" w:color="000000" w:themeColor="text1"/>
              <w:right w:val="single" w:sz="4" w:space="0" w:color="000000" w:themeColor="text1"/>
            </w:tcBorders>
            <w:vAlign w:val="center"/>
            <w:hideMark/>
          </w:tcPr>
          <w:p w14:paraId="396AED54"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p>
        </w:tc>
        <w:tc>
          <w:tcPr>
            <w:tcW w:w="1417" w:type="dxa"/>
            <w:vMerge/>
            <w:tcBorders>
              <w:left w:val="single" w:sz="4" w:space="0" w:color="000000" w:themeColor="text1"/>
            </w:tcBorders>
            <w:vAlign w:val="center"/>
            <w:hideMark/>
          </w:tcPr>
          <w:p w14:paraId="561F8888"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C59B28"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Unit</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DE0787"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Baseline</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DD39025"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Goal</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84DCDEF"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Q</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E21248"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Year</w:t>
            </w:r>
          </w:p>
        </w:tc>
        <w:tc>
          <w:tcPr>
            <w:tcW w:w="1275" w:type="dxa"/>
            <w:vMerge/>
            <w:tcBorders>
              <w:right w:val="single" w:sz="4" w:space="0" w:color="000000" w:themeColor="text1"/>
            </w:tcBorders>
          </w:tcPr>
          <w:p w14:paraId="4AE4206F"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p>
        </w:tc>
        <w:tc>
          <w:tcPr>
            <w:tcW w:w="1418" w:type="dxa"/>
            <w:vMerge/>
            <w:tcBorders>
              <w:left w:val="single" w:sz="4" w:space="0" w:color="000000" w:themeColor="text1"/>
              <w:right w:val="single" w:sz="4" w:space="0" w:color="000000" w:themeColor="text1"/>
            </w:tcBorders>
          </w:tcPr>
          <w:p w14:paraId="2CBD18B8"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p>
        </w:tc>
        <w:tc>
          <w:tcPr>
            <w:tcW w:w="1836" w:type="dxa"/>
            <w:vMerge/>
            <w:tcBorders>
              <w:left w:val="single" w:sz="4" w:space="0" w:color="000000" w:themeColor="text1"/>
              <w:right w:val="single" w:sz="4" w:space="0" w:color="000000" w:themeColor="text1"/>
            </w:tcBorders>
          </w:tcPr>
          <w:p w14:paraId="6D6A0EE0" w14:textId="77777777" w:rsidR="00BA1475" w:rsidRPr="00BA1475" w:rsidRDefault="00BA1475" w:rsidP="00BA1475">
            <w:pPr>
              <w:spacing w:after="0" w:line="240" w:lineRule="auto"/>
              <w:rPr>
                <w:rFonts w:ascii="Arial Narrow" w:eastAsia="Times New Roman" w:hAnsi="Arial Narrow" w:cs="Times New Roman"/>
                <w:b/>
                <w:bCs/>
                <w:noProof/>
                <w:color w:val="4F6228"/>
                <w:kern w:val="0"/>
                <w:sz w:val="16"/>
                <w:szCs w:val="16"/>
                <w:lang w:val="en-GB" w:eastAsia="en-GB"/>
                <w14:ligatures w14:val="none"/>
              </w:rPr>
            </w:pPr>
          </w:p>
        </w:tc>
        <w:tc>
          <w:tcPr>
            <w:tcW w:w="2693" w:type="dxa"/>
            <w:vMerge/>
            <w:tcBorders>
              <w:left w:val="single" w:sz="4" w:space="0" w:color="000000" w:themeColor="text1"/>
              <w:right w:val="single" w:sz="4" w:space="0" w:color="000000" w:themeColor="text1"/>
            </w:tcBorders>
            <w:vAlign w:val="center"/>
            <w:hideMark/>
          </w:tcPr>
          <w:p w14:paraId="18C9A4E2"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p>
        </w:tc>
      </w:tr>
      <w:tr w:rsidR="00F50948" w:rsidRPr="00BA1475" w14:paraId="023E4229" w14:textId="77777777" w:rsidTr="004D3CCA">
        <w:trPr>
          <w:cantSplit/>
          <w:trHeight w:val="1200"/>
          <w:jc w:val="center"/>
        </w:trPr>
        <w:tc>
          <w:tcPr>
            <w:tcW w:w="456" w:type="dxa"/>
            <w:tcBorders>
              <w:top w:val="single" w:sz="4" w:space="0" w:color="auto"/>
              <w:left w:val="single" w:sz="4" w:space="0" w:color="000000" w:themeColor="text1"/>
              <w:bottom w:val="single" w:sz="4" w:space="0" w:color="auto"/>
              <w:right w:val="single" w:sz="4" w:space="0" w:color="auto"/>
            </w:tcBorders>
            <w:shd w:val="clear" w:color="auto" w:fill="C6EFCE"/>
            <w:hideMark/>
          </w:tcPr>
          <w:p w14:paraId="16695FE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154</w:t>
            </w:r>
          </w:p>
        </w:tc>
        <w:tc>
          <w:tcPr>
            <w:tcW w:w="1432" w:type="dxa"/>
            <w:tcBorders>
              <w:top w:val="single" w:sz="4" w:space="0" w:color="auto"/>
              <w:left w:val="nil"/>
              <w:bottom w:val="single" w:sz="4" w:space="0" w:color="auto"/>
              <w:right w:val="single" w:sz="4" w:space="0" w:color="000000" w:themeColor="text1"/>
            </w:tcBorders>
            <w:shd w:val="clear" w:color="auto" w:fill="C6EFCE"/>
            <w:hideMark/>
          </w:tcPr>
          <w:p w14:paraId="63904414"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5.1.r. Innovation system governance and private research &amp; development investment motivation</w:t>
            </w:r>
          </w:p>
        </w:tc>
        <w:tc>
          <w:tcPr>
            <w:tcW w:w="851" w:type="dxa"/>
            <w:tcBorders>
              <w:top w:val="single" w:sz="4" w:space="0" w:color="auto"/>
              <w:left w:val="single" w:sz="4" w:space="0" w:color="000000" w:themeColor="text1"/>
              <w:bottom w:val="single" w:sz="4" w:space="0" w:color="auto"/>
              <w:right w:val="single" w:sz="4" w:space="0" w:color="000000" w:themeColor="text1"/>
            </w:tcBorders>
            <w:shd w:val="clear" w:color="auto" w:fill="C6EFCE"/>
            <w:hideMark/>
          </w:tcPr>
          <w:p w14:paraId="3090B17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134" w:type="dxa"/>
            <w:tcBorders>
              <w:top w:val="single" w:sz="4" w:space="0" w:color="auto"/>
              <w:left w:val="single" w:sz="4" w:space="0" w:color="000000" w:themeColor="text1"/>
              <w:bottom w:val="single" w:sz="4" w:space="0" w:color="auto"/>
              <w:right w:val="single" w:sz="4" w:space="0" w:color="000000" w:themeColor="text1"/>
            </w:tcBorders>
            <w:shd w:val="clear" w:color="auto" w:fill="C6EFCE"/>
            <w:hideMark/>
          </w:tcPr>
          <w:p w14:paraId="39F437C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Development of a long-term national strategy for each of the RIS3 areas and establishment of a Strategic Steering Board for each of the RIS3 areas</w:t>
            </w:r>
          </w:p>
        </w:tc>
        <w:tc>
          <w:tcPr>
            <w:tcW w:w="1417" w:type="dxa"/>
            <w:tcBorders>
              <w:top w:val="single" w:sz="4" w:space="0" w:color="auto"/>
              <w:left w:val="single" w:sz="4" w:space="0" w:color="000000" w:themeColor="text1"/>
              <w:bottom w:val="single" w:sz="4" w:space="0" w:color="auto"/>
              <w:right w:val="single" w:sz="4" w:space="0" w:color="auto"/>
            </w:tcBorders>
            <w:shd w:val="clear" w:color="auto" w:fill="C6EFCE"/>
            <w:hideMark/>
          </w:tcPr>
          <w:p w14:paraId="690BE30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strategy has been agreed with all stakeholders and approved. The Strategic Steering Boards for RIS3 have been established and their representatives elected.</w:t>
            </w:r>
          </w:p>
        </w:tc>
        <w:tc>
          <w:tcPr>
            <w:tcW w:w="709" w:type="dxa"/>
            <w:tcBorders>
              <w:top w:val="single" w:sz="4" w:space="0" w:color="auto"/>
              <w:left w:val="nil"/>
              <w:bottom w:val="single" w:sz="4" w:space="0" w:color="auto"/>
              <w:right w:val="single" w:sz="4" w:space="0" w:color="auto"/>
            </w:tcBorders>
            <w:shd w:val="clear" w:color="auto" w:fill="C6EFCE"/>
            <w:hideMark/>
          </w:tcPr>
          <w:p w14:paraId="0812077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51" w:type="dxa"/>
            <w:tcBorders>
              <w:top w:val="single" w:sz="4" w:space="0" w:color="auto"/>
              <w:left w:val="nil"/>
              <w:bottom w:val="single" w:sz="4" w:space="0" w:color="auto"/>
              <w:right w:val="single" w:sz="4" w:space="0" w:color="auto"/>
            </w:tcBorders>
            <w:shd w:val="clear" w:color="auto" w:fill="C6EFCE"/>
            <w:hideMark/>
          </w:tcPr>
          <w:p w14:paraId="36B564B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567" w:type="dxa"/>
            <w:tcBorders>
              <w:top w:val="single" w:sz="4" w:space="0" w:color="auto"/>
              <w:left w:val="nil"/>
              <w:bottom w:val="single" w:sz="4" w:space="0" w:color="auto"/>
              <w:right w:val="single" w:sz="4" w:space="0" w:color="auto"/>
            </w:tcBorders>
            <w:shd w:val="clear" w:color="auto" w:fill="C6EFCE"/>
            <w:hideMark/>
          </w:tcPr>
          <w:p w14:paraId="67E52C9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567" w:type="dxa"/>
            <w:tcBorders>
              <w:top w:val="single" w:sz="4" w:space="0" w:color="auto"/>
              <w:left w:val="nil"/>
              <w:bottom w:val="single" w:sz="4" w:space="0" w:color="auto"/>
              <w:right w:val="single" w:sz="4" w:space="0" w:color="auto"/>
            </w:tcBorders>
            <w:shd w:val="clear" w:color="auto" w:fill="C6EFCE"/>
            <w:hideMark/>
          </w:tcPr>
          <w:p w14:paraId="5DEDCAC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67" w:type="dxa"/>
            <w:tcBorders>
              <w:top w:val="single" w:sz="4" w:space="0" w:color="auto"/>
              <w:left w:val="nil"/>
              <w:bottom w:val="single" w:sz="4" w:space="0" w:color="auto"/>
              <w:right w:val="single" w:sz="4" w:space="0" w:color="auto"/>
            </w:tcBorders>
            <w:shd w:val="clear" w:color="auto" w:fill="C6EFCE"/>
            <w:hideMark/>
          </w:tcPr>
          <w:p w14:paraId="0689B15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B64A65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Investment and Development Agency of Latvia, Ministry of Economics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0F4EA57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572D6BF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0493B80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a copy of the amendments to the relevant legislation related to the functions of the LIDA, Strategic Steering Boards and the Ministry of Economics with regards to the implementation of the milestone, including a reference to the provisions indicating the entry into force.</w:t>
            </w:r>
          </w:p>
        </w:tc>
        <w:tc>
          <w:tcPr>
            <w:tcW w:w="2693" w:type="dxa"/>
            <w:tcBorders>
              <w:top w:val="single" w:sz="4" w:space="0" w:color="auto"/>
              <w:left w:val="single" w:sz="4" w:space="0" w:color="auto"/>
              <w:bottom w:val="single" w:sz="4" w:space="0" w:color="auto"/>
              <w:right w:val="single" w:sz="4" w:space="0" w:color="auto"/>
            </w:tcBorders>
            <w:shd w:val="clear" w:color="auto" w:fill="C6EFCE"/>
            <w:hideMark/>
          </w:tcPr>
          <w:p w14:paraId="3206A69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Amendments to the relevant legislation giving the following functions to the relevant institutions shall enter into force:</w:t>
            </w:r>
          </w:p>
          <w:p w14:paraId="44322A2D"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p>
          <w:p w14:paraId="5388DE1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bCs/>
                <w:noProof/>
                <w:kern w:val="0"/>
                <w:sz w:val="16"/>
                <w:szCs w:val="16"/>
                <w:lang w:val="en-GB" w:eastAsia="en-GB"/>
                <w14:ligatures w14:val="none"/>
              </w:rPr>
              <w:t xml:space="preserve">The Investment and Development Agency of Latvia (LIDA) </w:t>
            </w:r>
            <w:r w:rsidRPr="00BA1475">
              <w:rPr>
                <w:rFonts w:ascii="Arial Narrow" w:eastAsia="Times New Roman" w:hAnsi="Arial Narrow" w:cs="Times New Roman"/>
                <w:noProof/>
                <w:kern w:val="0"/>
                <w:sz w:val="16"/>
                <w:szCs w:val="16"/>
                <w:lang w:val="en-GB" w:eastAsia="en-GB"/>
                <w14:ligatures w14:val="none"/>
              </w:rPr>
              <w:t>shall be responsible for:</w:t>
            </w:r>
          </w:p>
          <w:p w14:paraId="44BCAE6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Developing long-term strategies at national level in each of the RIS3 areas</w:t>
            </w:r>
          </w:p>
          <w:p w14:paraId="157ACEE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Developing annual action plans for each of the RIS3 areas</w:t>
            </w:r>
          </w:p>
          <w:p w14:paraId="235F491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establishment of a Strategic Steering Board for each of the RIS3 areas</w:t>
            </w:r>
          </w:p>
          <w:p w14:paraId="19837F1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Leadership and coordination of established councils</w:t>
            </w:r>
          </w:p>
          <w:p w14:paraId="64AECA9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Developing a methodology for the selection of asset value chains, including the establishment of quantitative criteria for the elimination of value chains</w:t>
            </w:r>
          </w:p>
          <w:p w14:paraId="209E5EF8" w14:textId="77777777" w:rsidR="00BA1475" w:rsidRPr="00BA1475" w:rsidRDefault="00BA1475" w:rsidP="00BA1475">
            <w:pPr>
              <w:spacing w:after="0" w:line="240" w:lineRule="auto"/>
              <w:rPr>
                <w:rFonts w:ascii="Arial Narrow" w:eastAsia="Times New Roman" w:hAnsi="Arial Narrow" w:cs="Times New Roman"/>
                <w:bCs/>
                <w:noProof/>
                <w:kern w:val="0"/>
                <w:sz w:val="16"/>
                <w:szCs w:val="16"/>
                <w:lang w:val="en-GB" w:eastAsia="en-GB"/>
                <w14:ligatures w14:val="none"/>
              </w:rPr>
            </w:pPr>
          </w:p>
          <w:p w14:paraId="76AE035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bCs/>
                <w:noProof/>
                <w:kern w:val="0"/>
                <w:sz w:val="16"/>
                <w:szCs w:val="16"/>
                <w:lang w:val="en-GB" w:eastAsia="en-GB"/>
                <w14:ligatures w14:val="none"/>
              </w:rPr>
              <w:t xml:space="preserve">Strategic Steering Board </w:t>
            </w:r>
            <w:r w:rsidRPr="00BA1475">
              <w:rPr>
                <w:rFonts w:ascii="Arial Narrow" w:eastAsia="Times New Roman" w:hAnsi="Arial Narrow" w:cs="Times New Roman"/>
                <w:noProof/>
                <w:kern w:val="0"/>
                <w:sz w:val="16"/>
                <w:szCs w:val="16"/>
                <w:lang w:val="en-GB" w:eastAsia="en-GB"/>
                <w14:ligatures w14:val="none"/>
              </w:rPr>
              <w:t>for each RIS3 area:</w:t>
            </w:r>
          </w:p>
          <w:p w14:paraId="0CC32A1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Ensure the compatibility of planned investments with RIS3 specialisation strategies, national competitive advantages</w:t>
            </w:r>
          </w:p>
          <w:p w14:paraId="3632E6E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be made up of key private, public and research actors.</w:t>
            </w:r>
          </w:p>
          <w:p w14:paraId="59D14CB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—is elected by LIDA in agreement with the ministries involved. The Strategic Steering Board is re-elected once a year.</w:t>
            </w:r>
          </w:p>
          <w:p w14:paraId="4D78DAA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Strategic Steering Board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be responsible for approving the strategies for the RIS3 specialisation areas.</w:t>
            </w:r>
          </w:p>
          <w:p w14:paraId="306A02A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6DF4986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w:t>
            </w:r>
            <w:r w:rsidRPr="00BA1475">
              <w:rPr>
                <w:rFonts w:ascii="Arial Narrow" w:eastAsia="Times New Roman" w:hAnsi="Arial Narrow" w:cs="Times New Roman"/>
                <w:bCs/>
                <w:noProof/>
                <w:kern w:val="0"/>
                <w:sz w:val="16"/>
                <w:szCs w:val="16"/>
                <w:lang w:val="en-GB" w:eastAsia="en-GB"/>
                <w14:ligatures w14:val="none"/>
              </w:rPr>
              <w:t>Ministry of Economics</w:t>
            </w:r>
            <w:r w:rsidRPr="00BA1475">
              <w:rPr>
                <w:rFonts w:ascii="Arial Narrow" w:eastAsia="Calibri" w:hAnsi="Arial Narrow" w:cs="Times New Roman"/>
                <w:noProof/>
                <w:kern w:val="0"/>
                <w:sz w:val="16"/>
                <w:szCs w:val="16"/>
                <w:lang w:val="en-GB"/>
                <w14:ligatures w14:val="none"/>
              </w:rPr>
              <w:t xml:space="preserve"> shall</w:t>
            </w:r>
            <w:r w:rsidRPr="00BA1475">
              <w:rPr>
                <w:rFonts w:ascii="Arial Narrow" w:eastAsia="Times New Roman" w:hAnsi="Arial Narrow" w:cs="Times New Roman"/>
                <w:noProof/>
                <w:kern w:val="0"/>
                <w:sz w:val="16"/>
                <w:szCs w:val="16"/>
                <w:lang w:val="en-GB" w:eastAsia="en-GB"/>
                <w14:ligatures w14:val="none"/>
              </w:rPr>
              <w:t xml:space="preserve"> be responsible for: </w:t>
            </w:r>
          </w:p>
          <w:p w14:paraId="5B87C28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development of analytics and monitoring system for the business sector in RIS3 specialisation areas, development of monitoring reports</w:t>
            </w:r>
          </w:p>
        </w:tc>
      </w:tr>
      <w:tr w:rsidR="004D3CCA" w:rsidRPr="00BA1475" w14:paraId="16997A93" w14:textId="77777777" w:rsidTr="004D3CCA">
        <w:trPr>
          <w:cantSplit/>
          <w:trHeight w:val="1200"/>
          <w:jc w:val="center"/>
        </w:trPr>
        <w:tc>
          <w:tcPr>
            <w:tcW w:w="456" w:type="dxa"/>
            <w:tcBorders>
              <w:top w:val="single" w:sz="4" w:space="0" w:color="auto"/>
              <w:left w:val="single" w:sz="4" w:space="0" w:color="auto"/>
              <w:bottom w:val="single" w:sz="4" w:space="0" w:color="auto"/>
              <w:right w:val="single" w:sz="4" w:space="0" w:color="auto"/>
            </w:tcBorders>
            <w:shd w:val="clear" w:color="auto" w:fill="C6EFCE"/>
            <w:hideMark/>
          </w:tcPr>
          <w:p w14:paraId="297CCA3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155</w:t>
            </w:r>
          </w:p>
        </w:tc>
        <w:tc>
          <w:tcPr>
            <w:tcW w:w="1432" w:type="dxa"/>
            <w:tcBorders>
              <w:top w:val="single" w:sz="4" w:space="0" w:color="auto"/>
              <w:left w:val="nil"/>
              <w:bottom w:val="single" w:sz="4" w:space="0" w:color="auto"/>
              <w:right w:val="single" w:sz="4" w:space="0" w:color="auto"/>
            </w:tcBorders>
            <w:shd w:val="clear" w:color="auto" w:fill="C6EFCE"/>
            <w:hideMark/>
          </w:tcPr>
          <w:p w14:paraId="33660649"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5.1.1.1.i.  Operationalisation of a fully-fledged innovation system governance model</w:t>
            </w:r>
          </w:p>
        </w:tc>
        <w:tc>
          <w:tcPr>
            <w:tcW w:w="851" w:type="dxa"/>
            <w:tcBorders>
              <w:top w:val="single" w:sz="4" w:space="0" w:color="auto"/>
              <w:left w:val="nil"/>
              <w:bottom w:val="single" w:sz="4" w:space="0" w:color="auto"/>
              <w:right w:val="single" w:sz="4" w:space="0" w:color="auto"/>
            </w:tcBorders>
            <w:shd w:val="clear" w:color="auto" w:fill="C6EFCE"/>
            <w:hideMark/>
          </w:tcPr>
          <w:p w14:paraId="6C0BDD6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Target </w:t>
            </w:r>
          </w:p>
        </w:tc>
        <w:tc>
          <w:tcPr>
            <w:tcW w:w="1134" w:type="dxa"/>
            <w:tcBorders>
              <w:top w:val="single" w:sz="4" w:space="0" w:color="auto"/>
              <w:left w:val="nil"/>
              <w:bottom w:val="single" w:sz="4" w:space="0" w:color="auto"/>
              <w:right w:val="single" w:sz="4" w:space="0" w:color="auto"/>
            </w:tcBorders>
            <w:shd w:val="clear" w:color="auto" w:fill="C6EFCE"/>
            <w:hideMark/>
          </w:tcPr>
          <w:p w14:paraId="1E38E1A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Contracting or appointing the human resources needed</w:t>
            </w:r>
          </w:p>
        </w:tc>
        <w:tc>
          <w:tcPr>
            <w:tcW w:w="1417" w:type="dxa"/>
            <w:tcBorders>
              <w:top w:val="single" w:sz="4" w:space="0" w:color="auto"/>
              <w:left w:val="nil"/>
              <w:bottom w:val="single" w:sz="4" w:space="0" w:color="auto"/>
              <w:right w:val="single" w:sz="4" w:space="0" w:color="auto"/>
            </w:tcBorders>
            <w:shd w:val="clear" w:color="auto" w:fill="C6EFCE"/>
            <w:hideMark/>
          </w:tcPr>
          <w:p w14:paraId="073590A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709" w:type="dxa"/>
            <w:tcBorders>
              <w:top w:val="nil"/>
              <w:left w:val="nil"/>
              <w:bottom w:val="single" w:sz="4" w:space="0" w:color="auto"/>
              <w:right w:val="single" w:sz="4" w:space="0" w:color="auto"/>
            </w:tcBorders>
            <w:shd w:val="clear" w:color="auto" w:fill="C6EFCE"/>
            <w:hideMark/>
          </w:tcPr>
          <w:p w14:paraId="2CF9EC2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 of people</w:t>
            </w:r>
          </w:p>
        </w:tc>
        <w:tc>
          <w:tcPr>
            <w:tcW w:w="851" w:type="dxa"/>
            <w:tcBorders>
              <w:top w:val="nil"/>
              <w:left w:val="nil"/>
              <w:bottom w:val="single" w:sz="4" w:space="0" w:color="auto"/>
              <w:right w:val="single" w:sz="4" w:space="0" w:color="auto"/>
            </w:tcBorders>
            <w:shd w:val="clear" w:color="auto" w:fill="C6EFCE"/>
            <w:hideMark/>
          </w:tcPr>
          <w:p w14:paraId="0AE50CC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567" w:type="dxa"/>
            <w:tcBorders>
              <w:top w:val="nil"/>
              <w:left w:val="nil"/>
              <w:bottom w:val="single" w:sz="4" w:space="0" w:color="auto"/>
              <w:right w:val="single" w:sz="4" w:space="0" w:color="auto"/>
            </w:tcBorders>
            <w:shd w:val="clear" w:color="auto" w:fill="C6EFCE"/>
            <w:hideMark/>
          </w:tcPr>
          <w:p w14:paraId="1026FC4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19</w:t>
            </w:r>
          </w:p>
        </w:tc>
        <w:tc>
          <w:tcPr>
            <w:tcW w:w="567" w:type="dxa"/>
            <w:tcBorders>
              <w:top w:val="nil"/>
              <w:left w:val="nil"/>
              <w:bottom w:val="single" w:sz="4" w:space="0" w:color="auto"/>
              <w:right w:val="single" w:sz="4" w:space="0" w:color="auto"/>
            </w:tcBorders>
            <w:shd w:val="clear" w:color="auto" w:fill="C6EFCE"/>
            <w:hideMark/>
          </w:tcPr>
          <w:p w14:paraId="42A8805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67" w:type="dxa"/>
            <w:tcBorders>
              <w:top w:val="nil"/>
              <w:left w:val="nil"/>
              <w:bottom w:val="single" w:sz="4" w:space="0" w:color="auto"/>
              <w:right w:val="single" w:sz="4" w:space="0" w:color="auto"/>
            </w:tcBorders>
            <w:shd w:val="clear" w:color="auto" w:fill="C6EFCE"/>
            <w:hideMark/>
          </w:tcPr>
          <w:p w14:paraId="55514A7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2023</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2AA1EF6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Investment and Development Agency of Latvia</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169084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55701DF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493A0B6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document shall include as an annex a copy of the description of the responsibilities (job description) of the 19 people contracted or appointed</w:t>
            </w:r>
            <w:r w:rsidRPr="00BA1475" w:rsidDel="09EC8B6D">
              <w:rPr>
                <w:rFonts w:ascii="Arial Narrow" w:eastAsia="Calibri" w:hAnsi="Arial Narrow" w:cs="Calibri"/>
                <w:noProof/>
                <w:kern w:val="0"/>
                <w:sz w:val="16"/>
                <w:szCs w:val="16"/>
                <w:lang w:val="en-GB"/>
                <w14:ligatures w14:val="none"/>
              </w:rPr>
              <w:t xml:space="preserve"> </w:t>
            </w:r>
            <w:r w:rsidRPr="00BA1475">
              <w:rPr>
                <w:rFonts w:ascii="Arial Narrow" w:eastAsia="Calibri" w:hAnsi="Arial Narrow" w:cs="Calibri"/>
                <w:noProof/>
                <w:kern w:val="0"/>
                <w:sz w:val="16"/>
                <w:szCs w:val="16"/>
                <w:lang w:val="en-GB"/>
                <w14:ligatures w14:val="none"/>
              </w:rPr>
              <w:t xml:space="preserve">at the Ministry of Economics and Latvian Investment and Development agency. </w:t>
            </w:r>
          </w:p>
        </w:tc>
        <w:tc>
          <w:tcPr>
            <w:tcW w:w="2693" w:type="dxa"/>
            <w:tcBorders>
              <w:top w:val="single" w:sz="4" w:space="0" w:color="auto"/>
              <w:left w:val="single" w:sz="4" w:space="0" w:color="auto"/>
              <w:bottom w:val="single" w:sz="4" w:space="0" w:color="auto"/>
              <w:right w:val="single" w:sz="4" w:space="0" w:color="auto"/>
            </w:tcBorders>
            <w:shd w:val="clear" w:color="auto" w:fill="C6EFCE"/>
            <w:hideMark/>
          </w:tcPr>
          <w:p w14:paraId="52D37E1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Ministry of Economics and the Latvian Investment and Development Agency shall contract or appoint at least 19 people for ensuring the performance of the functions assigned to these institutions in relation to the innovation governance.</w:t>
            </w:r>
          </w:p>
        </w:tc>
      </w:tr>
      <w:tr w:rsidR="004D3CCA" w:rsidRPr="00BA1475" w14:paraId="17D7F50B" w14:textId="77777777" w:rsidTr="004D3CCA">
        <w:trPr>
          <w:cantSplit/>
          <w:trHeight w:val="990"/>
          <w:jc w:val="center"/>
        </w:trPr>
        <w:tc>
          <w:tcPr>
            <w:tcW w:w="456" w:type="dxa"/>
            <w:tcBorders>
              <w:top w:val="single" w:sz="4" w:space="0" w:color="auto"/>
              <w:left w:val="single" w:sz="4" w:space="0" w:color="auto"/>
              <w:bottom w:val="single" w:sz="4" w:space="0" w:color="auto"/>
              <w:right w:val="single" w:sz="4" w:space="0" w:color="auto"/>
            </w:tcBorders>
            <w:shd w:val="clear" w:color="auto" w:fill="C6EFCE"/>
            <w:hideMark/>
          </w:tcPr>
          <w:p w14:paraId="190005B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156</w:t>
            </w:r>
          </w:p>
        </w:tc>
        <w:tc>
          <w:tcPr>
            <w:tcW w:w="1432" w:type="dxa"/>
            <w:tcBorders>
              <w:top w:val="single" w:sz="4" w:space="0" w:color="auto"/>
              <w:left w:val="nil"/>
              <w:bottom w:val="single" w:sz="4" w:space="0" w:color="auto"/>
              <w:right w:val="single" w:sz="4" w:space="0" w:color="auto"/>
            </w:tcBorders>
            <w:shd w:val="clear" w:color="auto" w:fill="C6EFCE"/>
            <w:hideMark/>
          </w:tcPr>
          <w:p w14:paraId="30E6F1D4"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5.1.1.1.i.  Operationalisation of a fully-fledged innovation system governance model</w:t>
            </w:r>
          </w:p>
        </w:tc>
        <w:tc>
          <w:tcPr>
            <w:tcW w:w="851" w:type="dxa"/>
            <w:tcBorders>
              <w:top w:val="single" w:sz="4" w:space="0" w:color="auto"/>
              <w:left w:val="nil"/>
              <w:bottom w:val="single" w:sz="4" w:space="0" w:color="auto"/>
              <w:right w:val="single" w:sz="4" w:space="0" w:color="auto"/>
            </w:tcBorders>
            <w:shd w:val="clear" w:color="auto" w:fill="C6EFCE"/>
            <w:hideMark/>
          </w:tcPr>
          <w:p w14:paraId="26D8110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134" w:type="dxa"/>
            <w:tcBorders>
              <w:top w:val="single" w:sz="4" w:space="0" w:color="auto"/>
              <w:left w:val="nil"/>
              <w:bottom w:val="single" w:sz="4" w:space="0" w:color="auto"/>
              <w:right w:val="single" w:sz="4" w:space="0" w:color="auto"/>
            </w:tcBorders>
            <w:shd w:val="clear" w:color="auto" w:fill="C6EFCE"/>
            <w:hideMark/>
          </w:tcPr>
          <w:p w14:paraId="4A12308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Publishing of a monitoring report providing information on each RIS3 area and the operation of the innovation management model . </w:t>
            </w:r>
          </w:p>
        </w:tc>
        <w:tc>
          <w:tcPr>
            <w:tcW w:w="1417" w:type="dxa"/>
            <w:tcBorders>
              <w:top w:val="single" w:sz="4" w:space="0" w:color="auto"/>
              <w:left w:val="nil"/>
              <w:bottom w:val="single" w:sz="4" w:space="0" w:color="auto"/>
              <w:right w:val="single" w:sz="4" w:space="0" w:color="auto"/>
            </w:tcBorders>
            <w:shd w:val="clear" w:color="auto" w:fill="C6EFCE"/>
            <w:hideMark/>
          </w:tcPr>
          <w:p w14:paraId="36DC95F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Published analytical monitoring report approved by the Strategic Steering Boards of the RIS3 specialisation areas.</w:t>
            </w:r>
          </w:p>
        </w:tc>
        <w:tc>
          <w:tcPr>
            <w:tcW w:w="709" w:type="dxa"/>
            <w:tcBorders>
              <w:top w:val="nil"/>
              <w:left w:val="nil"/>
              <w:bottom w:val="single" w:sz="4" w:space="0" w:color="auto"/>
              <w:right w:val="single" w:sz="4" w:space="0" w:color="auto"/>
            </w:tcBorders>
            <w:shd w:val="clear" w:color="auto" w:fill="C6EFCE"/>
            <w:hideMark/>
          </w:tcPr>
          <w:p w14:paraId="4772064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51" w:type="dxa"/>
            <w:tcBorders>
              <w:top w:val="nil"/>
              <w:left w:val="nil"/>
              <w:bottom w:val="single" w:sz="4" w:space="0" w:color="auto"/>
              <w:right w:val="single" w:sz="4" w:space="0" w:color="auto"/>
            </w:tcBorders>
            <w:shd w:val="clear" w:color="auto" w:fill="C6EFCE"/>
            <w:hideMark/>
          </w:tcPr>
          <w:p w14:paraId="7C680B6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567" w:type="dxa"/>
            <w:tcBorders>
              <w:top w:val="nil"/>
              <w:left w:val="nil"/>
              <w:bottom w:val="single" w:sz="4" w:space="0" w:color="auto"/>
              <w:right w:val="single" w:sz="4" w:space="0" w:color="auto"/>
            </w:tcBorders>
            <w:shd w:val="clear" w:color="auto" w:fill="C6EFCE"/>
            <w:hideMark/>
          </w:tcPr>
          <w:p w14:paraId="3E89D23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567" w:type="dxa"/>
            <w:tcBorders>
              <w:top w:val="nil"/>
              <w:left w:val="nil"/>
              <w:bottom w:val="single" w:sz="4" w:space="0" w:color="auto"/>
              <w:right w:val="single" w:sz="4" w:space="0" w:color="auto"/>
            </w:tcBorders>
            <w:shd w:val="clear" w:color="auto" w:fill="C6EFCE"/>
            <w:hideMark/>
          </w:tcPr>
          <w:p w14:paraId="4853895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567" w:type="dxa"/>
            <w:tcBorders>
              <w:top w:val="nil"/>
              <w:left w:val="nil"/>
              <w:bottom w:val="single" w:sz="4" w:space="0" w:color="auto"/>
              <w:right w:val="single" w:sz="4" w:space="0" w:color="auto"/>
            </w:tcBorders>
            <w:shd w:val="clear" w:color="auto" w:fill="C6EFCE"/>
            <w:hideMark/>
          </w:tcPr>
          <w:p w14:paraId="47C888E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338C58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in cooperation with other institutions.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63FED46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4227B07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07A9836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links to published monitoring reports and, as an annex, the following documentary evidence: </w:t>
            </w:r>
          </w:p>
          <w:p w14:paraId="0D2396F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w:t>
            </w:r>
            <w:r w:rsidRPr="00BA1475">
              <w:rPr>
                <w:rFonts w:ascii="Arial Narrow" w:eastAsia="Times New Roman" w:hAnsi="Arial Narrow" w:cs="Times New Roman"/>
                <w:noProof/>
                <w:kern w:val="0"/>
                <w:sz w:val="16"/>
                <w:szCs w:val="16"/>
                <w:lang w:val="en-GB" w:eastAsia="en-GB"/>
                <w14:ligatures w14:val="none"/>
              </w:rPr>
              <w:t xml:space="preserve"> two analytical monitoring reports on all the RIS3 areas with data covering at least one year, which also include an evaluation of the Innovation Support Programme and recommendations for its improvement</w:t>
            </w:r>
            <w:r w:rsidRPr="00BA1475">
              <w:rPr>
                <w:rFonts w:ascii="Arial Narrow" w:eastAsia="Calibri" w:hAnsi="Arial Narrow" w:cs="Calibri"/>
                <w:noProof/>
                <w:kern w:val="0"/>
                <w:sz w:val="16"/>
                <w:szCs w:val="16"/>
                <w:lang w:val="en-GB"/>
                <w14:ligatures w14:val="none"/>
              </w:rPr>
              <w:t xml:space="preserve"> published by the Ministry of Economics; </w:t>
            </w:r>
          </w:p>
          <w:p w14:paraId="29621A5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one monitoring report (for the period of 2023-2025) containing an analysis of the functioning of the new innovation governance model and the overall and an individual assessment of the performance of each of the intermediaries selected for the support research programme and the cooperation network support programme </w:t>
            </w:r>
            <w:r w:rsidRPr="00BA1475">
              <w:rPr>
                <w:rFonts w:ascii="Arial Narrow" w:eastAsia="Times New Roman" w:hAnsi="Arial Narrow" w:cs="Times New Roman"/>
                <w:noProof/>
                <w:kern w:val="0"/>
                <w:sz w:val="16"/>
                <w:szCs w:val="16"/>
                <w:lang w:val="en-GB" w:eastAsia="en-GB"/>
                <w14:ligatures w14:val="none"/>
              </w:rPr>
              <w:t>as well as analysis of the functioning of the new innovation governance model</w:t>
            </w:r>
            <w:r w:rsidRPr="00BA1475">
              <w:rPr>
                <w:rFonts w:ascii="Arial Narrow" w:eastAsia="Calibri" w:hAnsi="Arial Narrow" w:cs="Calibri"/>
                <w:noProof/>
                <w:kern w:val="0"/>
                <w:sz w:val="16"/>
                <w:szCs w:val="16"/>
                <w:lang w:val="en-GB"/>
                <w14:ligatures w14:val="none"/>
              </w:rPr>
              <w:t>.</w:t>
            </w:r>
          </w:p>
          <w:p w14:paraId="3399CC2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sidDel="00AA473E">
              <w:rPr>
                <w:rFonts w:ascii="Arial Narrow" w:eastAsia="Calibri" w:hAnsi="Arial Narrow" w:cs="Calibri"/>
                <w:noProof/>
                <w:kern w:val="0"/>
                <w:sz w:val="16"/>
                <w:szCs w:val="16"/>
                <w:lang w:val="en-GB"/>
                <w14:ligatures w14:val="none"/>
              </w:rPr>
              <w:t xml:space="preserve">c) </w:t>
            </w:r>
            <w:r w:rsidRPr="00BA1475">
              <w:rPr>
                <w:rFonts w:ascii="Arial Narrow" w:eastAsia="Calibri" w:hAnsi="Arial Narrow" w:cs="Calibri"/>
                <w:noProof/>
                <w:kern w:val="0"/>
                <w:sz w:val="16"/>
                <w:szCs w:val="16"/>
                <w:lang w:val="en-GB"/>
                <w14:ligatures w14:val="none"/>
              </w:rPr>
              <w:t xml:space="preserve">a copy of the financing decision proving the alignment with the description of the milestone and investment in the CID Annex. </w:t>
            </w:r>
          </w:p>
        </w:tc>
        <w:tc>
          <w:tcPr>
            <w:tcW w:w="2693" w:type="dxa"/>
            <w:tcBorders>
              <w:top w:val="single" w:sz="4" w:space="0" w:color="auto"/>
              <w:left w:val="single" w:sz="4" w:space="0" w:color="auto"/>
              <w:bottom w:val="single" w:sz="4" w:space="0" w:color="auto"/>
              <w:right w:val="single" w:sz="4" w:space="0" w:color="auto"/>
            </w:tcBorders>
            <w:shd w:val="clear" w:color="auto" w:fill="C6EFCE"/>
            <w:hideMark/>
          </w:tcPr>
          <w:p w14:paraId="2E38FB3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Ministry of Economics shall publish:</w:t>
            </w:r>
          </w:p>
          <w:p w14:paraId="5B0B003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two analytical monitoring reports on all the RIS3 areas with data covering at least one year, which also include an evaluation of the Innovation Support Programme and recommendations for its improvement.</w:t>
            </w:r>
          </w:p>
          <w:p w14:paraId="5013380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one monitoring report (covering the period 2023-2025) containing an overall and an individual assessment of the performance of private intermediaries selected for research support programme implementation and cooperation network support programme as well as analysis of the functioning of the new innovation governance model.</w:t>
            </w:r>
          </w:p>
          <w:p w14:paraId="0C58874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3B49C35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r>
      <w:tr w:rsidR="004D3CCA" w:rsidRPr="00BA1475" w14:paraId="211D4A61" w14:textId="77777777" w:rsidTr="004D3CCA">
        <w:trPr>
          <w:trHeight w:val="565"/>
          <w:jc w:val="center"/>
        </w:trPr>
        <w:tc>
          <w:tcPr>
            <w:tcW w:w="456" w:type="dxa"/>
            <w:tcBorders>
              <w:top w:val="single" w:sz="4" w:space="0" w:color="auto"/>
              <w:left w:val="single" w:sz="4" w:space="0" w:color="auto"/>
              <w:bottom w:val="single" w:sz="4" w:space="0" w:color="auto"/>
              <w:right w:val="single" w:sz="4" w:space="0" w:color="auto"/>
            </w:tcBorders>
            <w:shd w:val="clear" w:color="auto" w:fill="C6EFCE"/>
            <w:hideMark/>
          </w:tcPr>
          <w:p w14:paraId="52E053F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157</w:t>
            </w:r>
          </w:p>
        </w:tc>
        <w:tc>
          <w:tcPr>
            <w:tcW w:w="1432" w:type="dxa"/>
            <w:tcBorders>
              <w:top w:val="single" w:sz="4" w:space="0" w:color="auto"/>
              <w:left w:val="nil"/>
              <w:bottom w:val="single" w:sz="4" w:space="0" w:color="auto"/>
              <w:right w:val="single" w:sz="4" w:space="0" w:color="auto"/>
            </w:tcBorders>
            <w:shd w:val="clear" w:color="auto" w:fill="C6EFCE"/>
            <w:hideMark/>
          </w:tcPr>
          <w:p w14:paraId="030190E2"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5.1.1.2.i. Support instrument for research and internationalization</w:t>
            </w:r>
          </w:p>
        </w:tc>
        <w:tc>
          <w:tcPr>
            <w:tcW w:w="851" w:type="dxa"/>
            <w:tcBorders>
              <w:top w:val="single" w:sz="4" w:space="0" w:color="auto"/>
              <w:left w:val="nil"/>
              <w:bottom w:val="single" w:sz="4" w:space="0" w:color="auto"/>
              <w:right w:val="single" w:sz="4" w:space="0" w:color="auto"/>
            </w:tcBorders>
            <w:shd w:val="clear" w:color="auto" w:fill="C6EFCE"/>
            <w:hideMark/>
          </w:tcPr>
          <w:p w14:paraId="6E1FEE6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134" w:type="dxa"/>
            <w:tcBorders>
              <w:top w:val="single" w:sz="4" w:space="0" w:color="auto"/>
              <w:left w:val="nil"/>
              <w:bottom w:val="single" w:sz="4" w:space="0" w:color="auto"/>
              <w:right w:val="single" w:sz="4" w:space="0" w:color="auto"/>
            </w:tcBorders>
            <w:shd w:val="clear" w:color="auto" w:fill="C6EFCE"/>
            <w:hideMark/>
          </w:tcPr>
          <w:p w14:paraId="5A09465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Cabinet Regulations adopted</w:t>
            </w:r>
          </w:p>
        </w:tc>
        <w:tc>
          <w:tcPr>
            <w:tcW w:w="1417" w:type="dxa"/>
            <w:tcBorders>
              <w:top w:val="single" w:sz="4" w:space="0" w:color="auto"/>
              <w:left w:val="nil"/>
              <w:bottom w:val="single" w:sz="4" w:space="0" w:color="auto"/>
              <w:right w:val="single" w:sz="4" w:space="0" w:color="auto"/>
            </w:tcBorders>
            <w:shd w:val="clear" w:color="auto" w:fill="C6EFCE"/>
            <w:hideMark/>
          </w:tcPr>
          <w:p w14:paraId="30DBC06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Entry into force of Cabinet Regulations governing all four support programmes </w:t>
            </w:r>
          </w:p>
        </w:tc>
        <w:tc>
          <w:tcPr>
            <w:tcW w:w="709" w:type="dxa"/>
            <w:tcBorders>
              <w:top w:val="single" w:sz="4" w:space="0" w:color="auto"/>
              <w:left w:val="single" w:sz="4" w:space="0" w:color="auto"/>
              <w:bottom w:val="single" w:sz="4" w:space="0" w:color="auto"/>
              <w:right w:val="single" w:sz="4" w:space="0" w:color="auto"/>
            </w:tcBorders>
            <w:shd w:val="clear" w:color="auto" w:fill="C6EFCE"/>
            <w:hideMark/>
          </w:tcPr>
          <w:p w14:paraId="79704E7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647EDD0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71F35A5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1FDDD04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Q1</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1B8B829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521CC18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343A260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35D0976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1E4E311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w:t>
            </w:r>
          </w:p>
          <w:p w14:paraId="38BE79A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the copy of the Regulations of the Cabinet of Ministers governing the implementation of all four calls, including activities and responsibilities of the selected intermediaries or final beneficiaries and indicators measuring their performance ;</w:t>
            </w:r>
          </w:p>
          <w:p w14:paraId="7E4CDE6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a copy of and a link to the open calls for research support programme, cooperation network support programme and IPCEI participation support programme; </w:t>
            </w:r>
          </w:p>
          <w:p w14:paraId="65FC986A"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 the </w:t>
            </w:r>
            <w:r w:rsidRPr="00BA1475">
              <w:rPr>
                <w:rFonts w:ascii="Arial Narrow" w:eastAsia="Calibri" w:hAnsi="Arial Narrow" w:cs="Times New Roman"/>
                <w:noProof/>
                <w:kern w:val="0"/>
                <w:sz w:val="16"/>
                <w:szCs w:val="16"/>
                <w:lang w:val="en-GB"/>
                <w14:ligatures w14:val="none"/>
              </w:rPr>
              <w:t>copy of the contracts concluded with the selected entities with responsibilities as defined in the CID Annex;</w:t>
            </w:r>
          </w:p>
          <w:p w14:paraId="266FFE8A" w14:textId="77777777" w:rsidR="00BA1475" w:rsidRPr="00BA1475" w:rsidRDefault="00BA1475" w:rsidP="00BA1475">
            <w:pPr>
              <w:autoSpaceDE w:val="0"/>
              <w:autoSpaceDN w:val="0"/>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Times New Roman"/>
                <w:noProof/>
                <w:kern w:val="0"/>
                <w:sz w:val="16"/>
                <w:szCs w:val="16"/>
                <w:lang w:val="en-GB"/>
                <w14:ligatures w14:val="none"/>
              </w:rPr>
              <w:t>d)</w:t>
            </w:r>
            <w:r w:rsidRPr="00BA1475">
              <w:rPr>
                <w:rFonts w:ascii="Arial Narrow" w:eastAsia="Calibri" w:hAnsi="Arial Narrow" w:cs="Arial"/>
                <w:noProof/>
                <w:kern w:val="0"/>
                <w:sz w:val="16"/>
                <w:lang w:val="en-GB"/>
                <w14:ligatures w14:val="none"/>
              </w:rPr>
              <w:t xml:space="preserve"> the list of the selected IPCEI participants and short IPCEI project descriptions.</w:t>
            </w:r>
          </w:p>
        </w:tc>
        <w:tc>
          <w:tcPr>
            <w:tcW w:w="2693" w:type="dxa"/>
            <w:tcBorders>
              <w:top w:val="single" w:sz="4" w:space="0" w:color="auto"/>
              <w:left w:val="single" w:sz="4" w:space="0" w:color="auto"/>
              <w:bottom w:val="single" w:sz="4" w:space="0" w:color="auto"/>
              <w:right w:val="single" w:sz="4" w:space="0" w:color="auto"/>
            </w:tcBorders>
            <w:shd w:val="clear" w:color="auto" w:fill="C6EFCE"/>
            <w:hideMark/>
          </w:tcPr>
          <w:p w14:paraId="3184BA6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Cabinet Regulations governing the implementation of i) competence centres support programme, ii) research support programme, iii) cooperation networks support programme and iv) IPCEI participation support programme shall enter into force, and shall:</w:t>
            </w:r>
          </w:p>
          <w:p w14:paraId="4BF05CE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5F2824E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include indicators for measuring the performance of the selected intermediaries, such as attracted private R&amp;D investment, increased exports among beneficiaries, number of products developed; and</w:t>
            </w:r>
          </w:p>
          <w:p w14:paraId="221D048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define the responsibility of intermediaries for collecting data from the final beneficiaries of the programme.</w:t>
            </w:r>
          </w:p>
          <w:p w14:paraId="4E4412A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248D49F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Cabinet Regulations shall establish that the selection of intermediaries for implementation of research support programme and cooperation networks support programme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take into account their compliance with the RIS3 specialisation strategy, as well as their capacity to organise calls and their competence to evaluate projects in their respective thematic area. </w:t>
            </w:r>
          </w:p>
          <w:p w14:paraId="5B5A8D3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3BE99CE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Furthermore, they shall establish that the selected intermediaries for the implementation of the competence centres support programme and of the research support programme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be responsible for carrying out the following activities:</w:t>
            </w:r>
          </w:p>
          <w:p w14:paraId="0C351CC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 implementation of the private sector R &amp; D support programme; and</w:t>
            </w:r>
          </w:p>
          <w:p w14:paraId="6C9E472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ii. data collection from final beneficiaries that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be used for monitoring activities carried out by the Ministry of Economics.</w:t>
            </w:r>
          </w:p>
          <w:p w14:paraId="0F1D625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75535B8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Furthermore, it shall establish that the selected intermediaries for the implementation of the cooperation networks support programme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be responsible for carrying out one or more of the following activities:</w:t>
            </w:r>
          </w:p>
          <w:p w14:paraId="19EB50C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7386397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 export promotion activities;</w:t>
            </w:r>
          </w:p>
          <w:p w14:paraId="7F57179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ii. networking and exchange of experience activities;</w:t>
            </w:r>
          </w:p>
          <w:p w14:paraId="4B2FFC6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iii. Implementation of the support programme for the participation of economic operators in EU-level research and development programmes and in international cooperation networks; And</w:t>
            </w:r>
          </w:p>
          <w:p w14:paraId="0AF2D67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iv. data collection from final beneficiaries that shall be used for monitoring activities carried out by the Ministry of Economics.</w:t>
            </w:r>
          </w:p>
          <w:p w14:paraId="211A149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009455F3" w14:textId="77777777" w:rsidR="00BA1475" w:rsidRPr="00BA1475" w:rsidRDefault="00BA1475" w:rsidP="00BA1475">
            <w:pPr>
              <w:spacing w:after="0" w:line="240" w:lineRule="auto"/>
              <w:rPr>
                <w:rFonts w:ascii="Arial Narrow" w:eastAsia="Times New Roman" w:hAnsi="Arial Narrow" w:cs="Arial"/>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Furthermore, it shall establish that the final recipient of support in IPCEI participation support programme</w:t>
            </w:r>
            <w:r w:rsidRPr="00BA1475">
              <w:rPr>
                <w:rFonts w:ascii="Arial Narrow" w:eastAsia="Times New Roman" w:hAnsi="Arial Narrow" w:cs="Arial"/>
                <w:noProof/>
                <w:kern w:val="0"/>
                <w:sz w:val="16"/>
                <w:szCs w:val="16"/>
                <w:lang w:val="en-GB" w:eastAsia="en-GB"/>
                <w14:ligatures w14:val="none"/>
              </w:rPr>
              <w:t xml:space="preserve">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be responsible for carrying out one or more of the following activities:</w:t>
            </w:r>
          </w:p>
          <w:p w14:paraId="55B1F92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w:t>
            </w:r>
            <w:r w:rsidRPr="00BA1475">
              <w:rPr>
                <w:rFonts w:ascii="Arial Narrow" w:eastAsia="Times New Roman" w:hAnsi="Arial Narrow" w:cs="Arial"/>
                <w:noProof/>
                <w:kern w:val="0"/>
                <w:sz w:val="16"/>
                <w:szCs w:val="16"/>
                <w:lang w:val="en-GB" w:eastAsia="en-GB"/>
                <w14:ligatures w14:val="none"/>
              </w:rPr>
              <w:t xml:space="preserve">. </w:t>
            </w:r>
            <w:r w:rsidRPr="00BA1475">
              <w:rPr>
                <w:rFonts w:ascii="Arial Narrow" w:eastAsia="Times New Roman" w:hAnsi="Arial Narrow" w:cs="Times New Roman"/>
                <w:noProof/>
                <w:kern w:val="0"/>
                <w:sz w:val="16"/>
                <w:szCs w:val="16"/>
                <w:lang w:val="en-GB" w:eastAsia="en-GB"/>
                <w14:ligatures w14:val="none"/>
              </w:rPr>
              <w:t>implementation of the R&amp;D support programme;</w:t>
            </w:r>
          </w:p>
          <w:p w14:paraId="27AF6D7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ii. identification and motivation of planned IPCEI participants to submit project ideas; and</w:t>
            </w:r>
          </w:p>
          <w:p w14:paraId="1008151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iii. data collection from final beneficiaries that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be used for monitoring activities carried out by the Ministry of Economics.</w:t>
            </w:r>
          </w:p>
        </w:tc>
      </w:tr>
      <w:tr w:rsidR="004D3CCA" w:rsidRPr="00BA1475" w14:paraId="6D5FA443" w14:textId="77777777" w:rsidTr="007802BD">
        <w:trPr>
          <w:trHeight w:val="1200"/>
          <w:jc w:val="center"/>
        </w:trPr>
        <w:tc>
          <w:tcPr>
            <w:tcW w:w="456" w:type="dxa"/>
            <w:tcBorders>
              <w:top w:val="single" w:sz="4" w:space="0" w:color="auto"/>
              <w:left w:val="single" w:sz="4" w:space="0" w:color="auto"/>
              <w:bottom w:val="single" w:sz="4" w:space="0" w:color="auto"/>
              <w:right w:val="single" w:sz="4" w:space="0" w:color="auto"/>
            </w:tcBorders>
            <w:shd w:val="clear" w:color="auto" w:fill="C6EFCE"/>
            <w:hideMark/>
          </w:tcPr>
          <w:p w14:paraId="7BBB21D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158</w:t>
            </w:r>
          </w:p>
        </w:tc>
        <w:tc>
          <w:tcPr>
            <w:tcW w:w="1432" w:type="dxa"/>
            <w:tcBorders>
              <w:top w:val="single" w:sz="4" w:space="0" w:color="auto"/>
              <w:left w:val="nil"/>
              <w:bottom w:val="single" w:sz="4" w:space="0" w:color="auto"/>
              <w:right w:val="single" w:sz="4" w:space="0" w:color="auto"/>
            </w:tcBorders>
            <w:shd w:val="clear" w:color="auto" w:fill="C6EFCE"/>
            <w:hideMark/>
          </w:tcPr>
          <w:p w14:paraId="550EDEB8"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5.1.1.2.i. Support instrument for research and internationalization</w:t>
            </w:r>
          </w:p>
        </w:tc>
        <w:tc>
          <w:tcPr>
            <w:tcW w:w="851" w:type="dxa"/>
            <w:tcBorders>
              <w:top w:val="single" w:sz="4" w:space="0" w:color="auto"/>
              <w:left w:val="nil"/>
              <w:bottom w:val="single" w:sz="4" w:space="0" w:color="auto"/>
              <w:right w:val="single" w:sz="4" w:space="0" w:color="auto"/>
            </w:tcBorders>
            <w:shd w:val="clear" w:color="auto" w:fill="C6EFCE"/>
            <w:hideMark/>
          </w:tcPr>
          <w:p w14:paraId="368324F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134" w:type="dxa"/>
            <w:tcBorders>
              <w:top w:val="single" w:sz="4" w:space="0" w:color="auto"/>
              <w:left w:val="nil"/>
              <w:bottom w:val="single" w:sz="4" w:space="0" w:color="auto"/>
              <w:right w:val="single" w:sz="4" w:space="0" w:color="auto"/>
            </w:tcBorders>
            <w:shd w:val="clear" w:color="auto" w:fill="C6EFCE"/>
            <w:hideMark/>
          </w:tcPr>
          <w:p w14:paraId="602DF5B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Commitment of funding</w:t>
            </w:r>
          </w:p>
        </w:tc>
        <w:tc>
          <w:tcPr>
            <w:tcW w:w="1417" w:type="dxa"/>
            <w:tcBorders>
              <w:top w:val="single" w:sz="4" w:space="0" w:color="auto"/>
              <w:left w:val="nil"/>
              <w:bottom w:val="single" w:sz="4" w:space="0" w:color="auto"/>
              <w:right w:val="single" w:sz="4" w:space="0" w:color="auto"/>
            </w:tcBorders>
            <w:shd w:val="clear" w:color="auto" w:fill="C6EFCE"/>
            <w:hideMark/>
          </w:tcPr>
          <w:p w14:paraId="5E37589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709" w:type="dxa"/>
            <w:tcBorders>
              <w:top w:val="single" w:sz="4" w:space="0" w:color="auto"/>
              <w:left w:val="nil"/>
              <w:bottom w:val="single" w:sz="4" w:space="0" w:color="auto"/>
              <w:right w:val="single" w:sz="4" w:space="0" w:color="auto"/>
            </w:tcBorders>
            <w:shd w:val="clear" w:color="auto" w:fill="C6EFCE"/>
            <w:hideMark/>
          </w:tcPr>
          <w:p w14:paraId="0C4EC27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EUR million</w:t>
            </w:r>
          </w:p>
        </w:tc>
        <w:tc>
          <w:tcPr>
            <w:tcW w:w="851" w:type="dxa"/>
            <w:tcBorders>
              <w:top w:val="single" w:sz="4" w:space="0" w:color="auto"/>
              <w:left w:val="nil"/>
              <w:bottom w:val="single" w:sz="4" w:space="0" w:color="auto"/>
              <w:right w:val="single" w:sz="4" w:space="0" w:color="auto"/>
            </w:tcBorders>
            <w:shd w:val="clear" w:color="auto" w:fill="C6EFCE"/>
            <w:hideMark/>
          </w:tcPr>
          <w:p w14:paraId="44883E9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567" w:type="dxa"/>
            <w:tcBorders>
              <w:top w:val="single" w:sz="4" w:space="0" w:color="auto"/>
              <w:left w:val="nil"/>
              <w:bottom w:val="single" w:sz="4" w:space="0" w:color="auto"/>
              <w:right w:val="single" w:sz="4" w:space="0" w:color="auto"/>
            </w:tcBorders>
            <w:shd w:val="clear" w:color="auto" w:fill="C6EFCE"/>
            <w:hideMark/>
          </w:tcPr>
          <w:p w14:paraId="39D68A3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98</w:t>
            </w:r>
          </w:p>
        </w:tc>
        <w:tc>
          <w:tcPr>
            <w:tcW w:w="567" w:type="dxa"/>
            <w:tcBorders>
              <w:top w:val="single" w:sz="4" w:space="0" w:color="auto"/>
              <w:left w:val="nil"/>
              <w:bottom w:val="single" w:sz="4" w:space="0" w:color="auto"/>
              <w:right w:val="single" w:sz="4" w:space="0" w:color="auto"/>
            </w:tcBorders>
            <w:shd w:val="clear" w:color="auto" w:fill="C6EFCE"/>
            <w:hideMark/>
          </w:tcPr>
          <w:p w14:paraId="7680310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567" w:type="dxa"/>
            <w:tcBorders>
              <w:top w:val="single" w:sz="4" w:space="0" w:color="auto"/>
              <w:left w:val="nil"/>
              <w:bottom w:val="single" w:sz="4" w:space="0" w:color="auto"/>
              <w:right w:val="single" w:sz="4" w:space="0" w:color="auto"/>
            </w:tcBorders>
            <w:shd w:val="clear" w:color="auto" w:fill="C6EFCE"/>
            <w:hideMark/>
          </w:tcPr>
          <w:p w14:paraId="2EE5880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69F332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Economics in cooperation with other institutions</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47A4021" w14:textId="77777777" w:rsidR="00BA1475" w:rsidRPr="00BA1475" w:rsidRDefault="00BA1475" w:rsidP="00BA1475">
            <w:pPr>
              <w:spacing w:after="0" w:line="240" w:lineRule="auto"/>
              <w:rPr>
                <w:rFonts w:ascii="Arial Narrow" w:eastAsia="Arial Narrow" w:hAnsi="Arial Narrow" w:cs="Arial Narrow"/>
                <w:noProof/>
                <w:kern w:val="0"/>
                <w:sz w:val="16"/>
                <w:szCs w:val="16"/>
                <w:lang w:val="en-GB"/>
                <w14:ligatures w14:val="none"/>
              </w:rPr>
            </w:pP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30FAE71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2481150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w:t>
            </w:r>
          </w:p>
          <w:p w14:paraId="0711ABE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list of beneficiaries of all four innovation support programmes, including the name and registration number of the final beneficiary, title and brief description of the project; </w:t>
            </w:r>
          </w:p>
          <w:p w14:paraId="4BFC936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copy of the decision </w:t>
            </w:r>
            <w:r w:rsidRPr="00BA1475">
              <w:rPr>
                <w:rFonts w:ascii="Arial Narrow" w:eastAsia="Times New Roman" w:hAnsi="Arial Narrow" w:cs="Times New Roman"/>
                <w:noProof/>
                <w:kern w:val="0"/>
                <w:sz w:val="16"/>
                <w:szCs w:val="16"/>
                <w:lang w:val="en-GB" w:eastAsia="en-GB"/>
                <w14:ligatures w14:val="none"/>
              </w:rPr>
              <w:t xml:space="preserve">authorising the commitment of at least EUR 98 million of the funding. </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33AF07F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At the conclusion of the programme, the following shall be delivered:</w:t>
            </w:r>
          </w:p>
          <w:p w14:paraId="5CD1881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confirmation of commitment of at least EUR 98 million for the funding of R&amp;D projects.</w:t>
            </w:r>
          </w:p>
        </w:tc>
      </w:tr>
      <w:tr w:rsidR="004D3CCA" w:rsidRPr="00BA1475" w14:paraId="47FC8E48" w14:textId="77777777" w:rsidTr="004D3CCA">
        <w:trPr>
          <w:cantSplit/>
          <w:trHeight w:val="1200"/>
          <w:jc w:val="center"/>
        </w:trPr>
        <w:tc>
          <w:tcPr>
            <w:tcW w:w="456" w:type="dxa"/>
            <w:tcBorders>
              <w:top w:val="single" w:sz="4" w:space="0" w:color="auto"/>
              <w:left w:val="single" w:sz="4" w:space="0" w:color="auto"/>
              <w:bottom w:val="single" w:sz="4" w:space="0" w:color="auto"/>
              <w:right w:val="single" w:sz="4" w:space="0" w:color="auto"/>
            </w:tcBorders>
            <w:shd w:val="clear" w:color="auto" w:fill="C6EFCE"/>
            <w:hideMark/>
          </w:tcPr>
          <w:p w14:paraId="092D957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159</w:t>
            </w:r>
          </w:p>
        </w:tc>
        <w:tc>
          <w:tcPr>
            <w:tcW w:w="1432" w:type="dxa"/>
            <w:tcBorders>
              <w:top w:val="single" w:sz="4" w:space="0" w:color="auto"/>
              <w:left w:val="nil"/>
              <w:bottom w:val="single" w:sz="4" w:space="0" w:color="auto"/>
              <w:right w:val="single" w:sz="4" w:space="0" w:color="auto"/>
            </w:tcBorders>
            <w:shd w:val="clear" w:color="auto" w:fill="C6EFCE"/>
            <w:hideMark/>
          </w:tcPr>
          <w:p w14:paraId="34CC3BF8"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5.2.1.r. Reform of Higher Education and Scientific Excellence and Governance</w:t>
            </w:r>
          </w:p>
        </w:tc>
        <w:tc>
          <w:tcPr>
            <w:tcW w:w="851" w:type="dxa"/>
            <w:tcBorders>
              <w:top w:val="single" w:sz="4" w:space="0" w:color="auto"/>
              <w:left w:val="nil"/>
              <w:bottom w:val="single" w:sz="4" w:space="0" w:color="auto"/>
              <w:right w:val="single" w:sz="4" w:space="0" w:color="auto"/>
            </w:tcBorders>
            <w:shd w:val="clear" w:color="auto" w:fill="C6EFCE"/>
            <w:hideMark/>
          </w:tcPr>
          <w:p w14:paraId="1A2559F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134" w:type="dxa"/>
            <w:tcBorders>
              <w:top w:val="single" w:sz="4" w:space="0" w:color="auto"/>
              <w:left w:val="nil"/>
              <w:bottom w:val="single" w:sz="4" w:space="0" w:color="auto"/>
              <w:right w:val="single" w:sz="4" w:space="0" w:color="auto"/>
            </w:tcBorders>
            <w:shd w:val="clear" w:color="auto" w:fill="C6EFCE"/>
            <w:hideMark/>
          </w:tcPr>
          <w:p w14:paraId="25F9D79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Reform of the governance of higher education institutions</w:t>
            </w:r>
          </w:p>
        </w:tc>
        <w:tc>
          <w:tcPr>
            <w:tcW w:w="1417" w:type="dxa"/>
            <w:tcBorders>
              <w:top w:val="single" w:sz="4" w:space="0" w:color="auto"/>
              <w:left w:val="nil"/>
              <w:bottom w:val="single" w:sz="4" w:space="0" w:color="auto"/>
              <w:right w:val="single" w:sz="4" w:space="0" w:color="auto"/>
            </w:tcBorders>
            <w:shd w:val="clear" w:color="auto" w:fill="C6EFCE"/>
            <w:hideMark/>
          </w:tcPr>
          <w:p w14:paraId="7CCF7FE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Legislative amendments entered into force in line with the reform of governance of higher education institutions</w:t>
            </w:r>
          </w:p>
        </w:tc>
        <w:tc>
          <w:tcPr>
            <w:tcW w:w="709" w:type="dxa"/>
            <w:tcBorders>
              <w:top w:val="nil"/>
              <w:left w:val="nil"/>
              <w:bottom w:val="single" w:sz="4" w:space="0" w:color="auto"/>
              <w:right w:val="single" w:sz="4" w:space="0" w:color="auto"/>
            </w:tcBorders>
            <w:shd w:val="clear" w:color="auto" w:fill="C6EFCE"/>
            <w:hideMark/>
          </w:tcPr>
          <w:p w14:paraId="3F6BDEB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51" w:type="dxa"/>
            <w:tcBorders>
              <w:top w:val="nil"/>
              <w:left w:val="nil"/>
              <w:bottom w:val="single" w:sz="4" w:space="0" w:color="auto"/>
              <w:right w:val="single" w:sz="4" w:space="0" w:color="auto"/>
            </w:tcBorders>
            <w:shd w:val="clear" w:color="auto" w:fill="C6EFCE"/>
            <w:hideMark/>
          </w:tcPr>
          <w:p w14:paraId="284D270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567" w:type="dxa"/>
            <w:tcBorders>
              <w:top w:val="nil"/>
              <w:left w:val="nil"/>
              <w:bottom w:val="single" w:sz="4" w:space="0" w:color="auto"/>
              <w:right w:val="single" w:sz="4" w:space="0" w:color="auto"/>
            </w:tcBorders>
            <w:shd w:val="clear" w:color="auto" w:fill="C6EFCE"/>
            <w:hideMark/>
          </w:tcPr>
          <w:p w14:paraId="32DEB84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567" w:type="dxa"/>
            <w:tcBorders>
              <w:top w:val="nil"/>
              <w:left w:val="nil"/>
              <w:bottom w:val="single" w:sz="4" w:space="0" w:color="auto"/>
              <w:right w:val="single" w:sz="4" w:space="0" w:color="auto"/>
            </w:tcBorders>
            <w:shd w:val="clear" w:color="auto" w:fill="C6EFCE"/>
            <w:hideMark/>
          </w:tcPr>
          <w:p w14:paraId="2550E80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67" w:type="dxa"/>
            <w:tcBorders>
              <w:top w:val="nil"/>
              <w:left w:val="nil"/>
              <w:bottom w:val="single" w:sz="4" w:space="0" w:color="auto"/>
              <w:right w:val="single" w:sz="4" w:space="0" w:color="auto"/>
            </w:tcBorders>
            <w:shd w:val="clear" w:color="auto" w:fill="C6EFCE"/>
            <w:hideMark/>
          </w:tcPr>
          <w:p w14:paraId="2BE2BCD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3472A16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Education and Science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CA7A3F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364A44F9" w14:textId="77777777" w:rsidR="00BA1475" w:rsidRPr="00BA1475" w:rsidRDefault="0041395B" w:rsidP="00BA1475">
            <w:pPr>
              <w:spacing w:after="0" w:line="240" w:lineRule="auto"/>
              <w:rPr>
                <w:rFonts w:ascii="Arial Narrow" w:eastAsia="Calibri" w:hAnsi="Arial Narrow" w:cs="Calibri"/>
                <w:noProof/>
                <w:kern w:val="0"/>
                <w:sz w:val="16"/>
                <w:szCs w:val="16"/>
                <w:lang w:val="en-GB"/>
                <w14:ligatures w14:val="none"/>
              </w:rPr>
            </w:pPr>
            <w:sdt>
              <w:sdtPr>
                <w:rPr>
                  <w:rFonts w:ascii="Arial Narrow" w:eastAsia="Calibri" w:hAnsi="Arial Narrow" w:cs="Arial"/>
                  <w:noProof/>
                  <w:kern w:val="0"/>
                  <w:sz w:val="16"/>
                  <w:lang w:val="en-GB"/>
                  <w14:ligatures w14:val="none"/>
                </w:rPr>
                <w:tag w:val="goog_rdk_25"/>
                <w:id w:val="674314352"/>
                <w:placeholder>
                  <w:docPart w:val="D62EE19E646D4DD9897903300CA2092B"/>
                </w:placeholder>
                <w:showingPlcHdr/>
              </w:sdtPr>
              <w:sdtEndPr/>
              <w:sdtContent/>
            </w:sdt>
            <w:r w:rsidR="00BA1475" w:rsidRPr="00BA1475">
              <w:rPr>
                <w:rFonts w:ascii="Arial Narrow" w:eastAsia="Calibri" w:hAnsi="Arial Narrow" w:cs="Calibri"/>
                <w:noProof/>
                <w:kern w:val="0"/>
                <w:sz w:val="16"/>
                <w:szCs w:val="16"/>
                <w:lang w:val="en-GB"/>
                <w14:ligatures w14:val="none"/>
              </w:rPr>
              <w:t>A copy of the legal acts relevant for the regulatory framework on the reform of governance of higher education institutions or a link to the publication in the Official Journal, including a reference to the provisions indicating the entry into force and accompanied by a summary document duly justifying how the milestone (including all the constitutive elements) was satisfactorily fulfilled, with appropriate links to the underlying evidence.</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5A44E32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regulatory framework for implementing the reform of the governance of the higher education system has entered into force, including:</w:t>
            </w:r>
          </w:p>
          <w:p w14:paraId="1FCBB2E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University typologies and criteria for qualifying for a particular type;</w:t>
            </w:r>
          </w:p>
          <w:p w14:paraId="649A157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the procedure for the establishment and approval of university councils, the competence of the councils, while clarifying the competences of the Senate, the Rector and the Constitutional Assembly;</w:t>
            </w:r>
          </w:p>
          <w:p w14:paraId="0635504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the procedure for selecting and approving new university reactors;</w:t>
            </w:r>
          </w:p>
          <w:p w14:paraId="46550DB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Defining the strategic specialisation of universities.</w:t>
            </w:r>
          </w:p>
        </w:tc>
      </w:tr>
      <w:tr w:rsidR="004D3CCA" w:rsidRPr="00BA1475" w14:paraId="6B5103F7" w14:textId="77777777" w:rsidTr="004D3CCA">
        <w:trPr>
          <w:cantSplit/>
          <w:trHeight w:val="1200"/>
          <w:jc w:val="center"/>
        </w:trPr>
        <w:tc>
          <w:tcPr>
            <w:tcW w:w="456" w:type="dxa"/>
            <w:tcBorders>
              <w:top w:val="single" w:sz="4" w:space="0" w:color="auto"/>
              <w:left w:val="single" w:sz="4" w:space="0" w:color="auto"/>
              <w:bottom w:val="single" w:sz="4" w:space="0" w:color="auto"/>
              <w:right w:val="single" w:sz="4" w:space="0" w:color="auto"/>
            </w:tcBorders>
            <w:shd w:val="clear" w:color="auto" w:fill="C6EFCE"/>
            <w:hideMark/>
          </w:tcPr>
          <w:p w14:paraId="3EEB47B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160</w:t>
            </w:r>
          </w:p>
        </w:tc>
        <w:tc>
          <w:tcPr>
            <w:tcW w:w="1432" w:type="dxa"/>
            <w:tcBorders>
              <w:top w:val="single" w:sz="4" w:space="0" w:color="auto"/>
              <w:left w:val="nil"/>
              <w:bottom w:val="single" w:sz="4" w:space="0" w:color="auto"/>
              <w:right w:val="single" w:sz="4" w:space="0" w:color="auto"/>
            </w:tcBorders>
            <w:shd w:val="clear" w:color="auto" w:fill="C6EFCE"/>
            <w:hideMark/>
          </w:tcPr>
          <w:p w14:paraId="632AC5A4"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5.2.1.r. Reform of Higher Education and Scientific Excellence and Governance</w:t>
            </w:r>
          </w:p>
        </w:tc>
        <w:tc>
          <w:tcPr>
            <w:tcW w:w="851" w:type="dxa"/>
            <w:tcBorders>
              <w:top w:val="single" w:sz="4" w:space="0" w:color="auto"/>
              <w:left w:val="nil"/>
              <w:bottom w:val="single" w:sz="4" w:space="0" w:color="auto"/>
              <w:right w:val="single" w:sz="4" w:space="0" w:color="auto"/>
            </w:tcBorders>
            <w:shd w:val="clear" w:color="auto" w:fill="C6EFCE"/>
            <w:hideMark/>
          </w:tcPr>
          <w:p w14:paraId="7AED0B1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134" w:type="dxa"/>
            <w:tcBorders>
              <w:top w:val="single" w:sz="4" w:space="0" w:color="auto"/>
              <w:left w:val="nil"/>
              <w:bottom w:val="single" w:sz="4" w:space="0" w:color="auto"/>
              <w:right w:val="single" w:sz="4" w:space="0" w:color="auto"/>
            </w:tcBorders>
            <w:shd w:val="clear" w:color="auto" w:fill="C6EFCE"/>
            <w:hideMark/>
          </w:tcPr>
          <w:p w14:paraId="72CEEAA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Higher education reform</w:t>
            </w:r>
          </w:p>
        </w:tc>
        <w:tc>
          <w:tcPr>
            <w:tcW w:w="1417" w:type="dxa"/>
            <w:tcBorders>
              <w:top w:val="single" w:sz="4" w:space="0" w:color="auto"/>
              <w:left w:val="nil"/>
              <w:bottom w:val="single" w:sz="4" w:space="0" w:color="auto"/>
              <w:right w:val="single" w:sz="4" w:space="0" w:color="auto"/>
            </w:tcBorders>
            <w:shd w:val="clear" w:color="auto" w:fill="C6EFCE"/>
            <w:hideMark/>
          </w:tcPr>
          <w:p w14:paraId="070E357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Legislative amendments entered into force </w:t>
            </w:r>
          </w:p>
        </w:tc>
        <w:tc>
          <w:tcPr>
            <w:tcW w:w="709" w:type="dxa"/>
            <w:tcBorders>
              <w:top w:val="nil"/>
              <w:left w:val="nil"/>
              <w:bottom w:val="single" w:sz="4" w:space="0" w:color="auto"/>
              <w:right w:val="single" w:sz="4" w:space="0" w:color="auto"/>
            </w:tcBorders>
            <w:shd w:val="clear" w:color="auto" w:fill="C6EFCE"/>
            <w:hideMark/>
          </w:tcPr>
          <w:p w14:paraId="47269DE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51" w:type="dxa"/>
            <w:tcBorders>
              <w:top w:val="nil"/>
              <w:left w:val="nil"/>
              <w:bottom w:val="single" w:sz="4" w:space="0" w:color="auto"/>
              <w:right w:val="single" w:sz="4" w:space="0" w:color="auto"/>
            </w:tcBorders>
            <w:shd w:val="clear" w:color="auto" w:fill="C6EFCE"/>
            <w:hideMark/>
          </w:tcPr>
          <w:p w14:paraId="2F84882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567" w:type="dxa"/>
            <w:tcBorders>
              <w:top w:val="nil"/>
              <w:left w:val="nil"/>
              <w:bottom w:val="single" w:sz="4" w:space="0" w:color="auto"/>
              <w:right w:val="single" w:sz="4" w:space="0" w:color="auto"/>
            </w:tcBorders>
            <w:shd w:val="clear" w:color="auto" w:fill="C6EFCE"/>
            <w:hideMark/>
          </w:tcPr>
          <w:p w14:paraId="0A68F75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567" w:type="dxa"/>
            <w:tcBorders>
              <w:top w:val="nil"/>
              <w:left w:val="nil"/>
              <w:bottom w:val="single" w:sz="4" w:space="0" w:color="auto"/>
              <w:right w:val="single" w:sz="4" w:space="0" w:color="auto"/>
            </w:tcBorders>
            <w:shd w:val="clear" w:color="auto" w:fill="C6EFCE"/>
            <w:hideMark/>
          </w:tcPr>
          <w:p w14:paraId="77E5D25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67" w:type="dxa"/>
            <w:tcBorders>
              <w:top w:val="nil"/>
              <w:left w:val="nil"/>
              <w:bottom w:val="single" w:sz="4" w:space="0" w:color="auto"/>
              <w:right w:val="single" w:sz="4" w:space="0" w:color="auto"/>
            </w:tcBorders>
            <w:shd w:val="clear" w:color="auto" w:fill="C6EFCE"/>
            <w:hideMark/>
          </w:tcPr>
          <w:p w14:paraId="46C4537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4C2C4A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Education and Science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6F00603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7C77F485" w14:textId="77777777" w:rsidR="00BA1475" w:rsidRPr="00BA1475" w:rsidRDefault="0041395B" w:rsidP="00BA1475">
            <w:pPr>
              <w:spacing w:after="0" w:line="240" w:lineRule="auto"/>
              <w:rPr>
                <w:rFonts w:ascii="Arial Narrow" w:eastAsia="Arial Narrow" w:hAnsi="Arial Narrow" w:cs="Arial Narrow"/>
                <w:noProof/>
                <w:kern w:val="0"/>
                <w:sz w:val="16"/>
                <w:szCs w:val="16"/>
                <w:lang w:val="en-GB"/>
                <w14:ligatures w14:val="none"/>
              </w:rPr>
            </w:pPr>
            <w:sdt>
              <w:sdtPr>
                <w:rPr>
                  <w:rFonts w:ascii="Calibri" w:eastAsia="Calibri" w:hAnsi="Calibri" w:cs="Arial"/>
                  <w:noProof/>
                  <w:color w:val="2B579A"/>
                  <w:kern w:val="0"/>
                  <w:shd w:val="clear" w:color="auto" w:fill="E6E6E6"/>
                  <w:lang w:val="en-GB"/>
                  <w14:ligatures w14:val="none"/>
                </w:rPr>
                <w:tag w:val="goog_rdk_28"/>
                <w:id w:val="-1407904115"/>
                <w:placeholder>
                  <w:docPart w:val="FD186C98E0B246CAB8EDA06FE1E7B097"/>
                </w:placeholder>
              </w:sdtPr>
              <w:sdtEndPr/>
              <w:sdtContent/>
            </w:sdt>
            <w:r w:rsidR="00BA1475" w:rsidRPr="00BA1475">
              <w:rPr>
                <w:rFonts w:ascii="Arial Narrow" w:eastAsia="Calibri" w:hAnsi="Arial Narrow" w:cs="Calibri"/>
                <w:noProof/>
                <w:kern w:val="0"/>
                <w:sz w:val="16"/>
                <w:szCs w:val="16"/>
                <w:lang w:val="en-GB"/>
                <w14:ligatures w14:val="none"/>
              </w:rPr>
              <w:t xml:space="preserve">A copy of the </w:t>
            </w:r>
            <w:r w:rsidR="00BA1475" w:rsidRPr="00BA1475">
              <w:rPr>
                <w:rFonts w:ascii="Arial Narrow" w:eastAsia="Arial Narrow" w:hAnsi="Arial Narrow" w:cs="Arial Narrow"/>
                <w:noProof/>
                <w:kern w:val="0"/>
                <w:sz w:val="16"/>
                <w:szCs w:val="16"/>
                <w:lang w:val="en-GB"/>
                <w14:ligatures w14:val="none"/>
              </w:rPr>
              <w:t>legislative amendments to the Law on Higher Education, the Law on Scientific Activities and the Regulations of the Cabinet of Ministers or</w:t>
            </w:r>
            <w:r w:rsidR="00BA1475" w:rsidRPr="00BA1475">
              <w:rPr>
                <w:rFonts w:ascii="Arial Narrow" w:eastAsia="Calibri" w:hAnsi="Arial Narrow" w:cs="Calibri"/>
                <w:noProof/>
                <w:kern w:val="0"/>
                <w:sz w:val="16"/>
                <w:szCs w:val="16"/>
                <w:lang w:val="en-GB"/>
                <w14:ligatures w14:val="none"/>
              </w:rPr>
              <w:t xml:space="preserve"> a link to the publication in the Official Journal, including a reference to the provisions indicating the entry into force and accompanied by a summary document duly justifying how the milestone (including all the constitutive elements) was satisfactorily fulfilled, with appropriate links to the underlying evidence.</w:t>
            </w:r>
            <w:r w:rsidR="00BA1475" w:rsidRPr="00BA1475" w:rsidDel="00527A14">
              <w:rPr>
                <w:rFonts w:ascii="Arial Narrow" w:eastAsia="Calibri" w:hAnsi="Arial Narrow" w:cs="Calibri"/>
                <w:noProof/>
                <w:kern w:val="0"/>
                <w:sz w:val="16"/>
                <w:szCs w:val="16"/>
                <w:lang w:val="en-GB"/>
                <w14:ligatures w14:val="none"/>
              </w:rPr>
              <w:t xml:space="preserve"> </w:t>
            </w:r>
          </w:p>
        </w:tc>
        <w:tc>
          <w:tcPr>
            <w:tcW w:w="2693" w:type="dxa"/>
            <w:tcBorders>
              <w:top w:val="single" w:sz="4" w:space="0" w:color="auto"/>
              <w:left w:val="single" w:sz="4" w:space="0" w:color="auto"/>
              <w:bottom w:val="single" w:sz="4" w:space="0" w:color="auto"/>
              <w:right w:val="single" w:sz="4" w:space="0" w:color="auto"/>
            </w:tcBorders>
            <w:shd w:val="clear" w:color="auto" w:fill="C6EFCE"/>
            <w:hideMark/>
          </w:tcPr>
          <w:p w14:paraId="20EC8AB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Parliament has adopted amendments to the Law on higher education and the Law on Scientific Activities and the Cabinet of Ministers has adopted amendments to related Cabinet Regulations in relation to:</w:t>
            </w:r>
          </w:p>
          <w:p w14:paraId="2D92D78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Introduction of the new doctoral model in Latvia ;</w:t>
            </w:r>
          </w:p>
          <w:p w14:paraId="7562A38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Implementation of the new academic career model in Latvia ;</w:t>
            </w:r>
          </w:p>
          <w:p w14:paraId="6428D50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Implementation of cyclical institutional accreditation of higher education and colleges in Latvia ;</w:t>
            </w:r>
          </w:p>
          <w:p w14:paraId="0D80422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- 3 pillar further development of the financing model for higher education ;</w:t>
            </w:r>
          </w:p>
          <w:p w14:paraId="0C77CF1B" w14:textId="77777777" w:rsidR="00BA1475" w:rsidRPr="00BA1475" w:rsidRDefault="00BA1475" w:rsidP="00BA1475">
            <w:pPr>
              <w:spacing w:after="0" w:line="240" w:lineRule="auto"/>
              <w:ind w:left="36"/>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linking public funding to the results of the international evaluation of scientific institutions</w:t>
            </w:r>
            <w:r w:rsidRPr="00BA1475">
              <w:rPr>
                <w:rFonts w:ascii="Arial Narrow" w:eastAsia="Calibri" w:hAnsi="Arial Narrow" w:cs="Times New Roman"/>
                <w:noProof/>
                <w:kern w:val="0"/>
                <w:sz w:val="16"/>
                <w:szCs w:val="16"/>
                <w:lang w:val="en-GB"/>
                <w14:ligatures w14:val="none"/>
              </w:rPr>
              <w:t>.</w:t>
            </w:r>
          </w:p>
        </w:tc>
      </w:tr>
      <w:tr w:rsidR="004D3CCA" w:rsidRPr="00BA1475" w14:paraId="2C6A5B88" w14:textId="77777777" w:rsidTr="004D3CCA">
        <w:trPr>
          <w:cantSplit/>
          <w:trHeight w:val="1200"/>
          <w:jc w:val="center"/>
        </w:trPr>
        <w:tc>
          <w:tcPr>
            <w:tcW w:w="456" w:type="dxa"/>
            <w:tcBorders>
              <w:top w:val="single" w:sz="4" w:space="0" w:color="auto"/>
              <w:left w:val="single" w:sz="4" w:space="0" w:color="auto"/>
              <w:bottom w:val="single" w:sz="4" w:space="0" w:color="auto"/>
              <w:right w:val="single" w:sz="4" w:space="0" w:color="auto"/>
            </w:tcBorders>
            <w:shd w:val="clear" w:color="auto" w:fill="C6EFCE"/>
            <w:hideMark/>
          </w:tcPr>
          <w:p w14:paraId="1E120DA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161</w:t>
            </w:r>
          </w:p>
        </w:tc>
        <w:tc>
          <w:tcPr>
            <w:tcW w:w="1432" w:type="dxa"/>
            <w:tcBorders>
              <w:top w:val="single" w:sz="4" w:space="0" w:color="auto"/>
              <w:left w:val="single" w:sz="4" w:space="0" w:color="auto"/>
              <w:bottom w:val="single" w:sz="4" w:space="0" w:color="auto"/>
              <w:right w:val="single" w:sz="4" w:space="0" w:color="auto"/>
            </w:tcBorders>
            <w:shd w:val="clear" w:color="auto" w:fill="C6EFCE"/>
            <w:hideMark/>
          </w:tcPr>
          <w:p w14:paraId="35A34B8A"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noProof/>
                <w:kern w:val="0"/>
                <w:sz w:val="16"/>
                <w:szCs w:val="16"/>
                <w:lang w:val="en-GB" w:eastAsia="en-GB"/>
                <w14:ligatures w14:val="none"/>
              </w:rPr>
              <w:t>5.2.1.r. Reform of Higher Education and Scientific Excellence and Governance</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5495AE9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0D58DA2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Consolidation of higher education institutions</w:t>
            </w:r>
          </w:p>
        </w:tc>
        <w:tc>
          <w:tcPr>
            <w:tcW w:w="1417" w:type="dxa"/>
            <w:tcBorders>
              <w:top w:val="single" w:sz="4" w:space="0" w:color="auto"/>
              <w:left w:val="single" w:sz="4" w:space="0" w:color="auto"/>
              <w:bottom w:val="single" w:sz="4" w:space="0" w:color="auto"/>
              <w:right w:val="single" w:sz="4" w:space="0" w:color="auto"/>
            </w:tcBorders>
            <w:shd w:val="clear" w:color="auto" w:fill="C6EFCE"/>
            <w:hideMark/>
          </w:tcPr>
          <w:p w14:paraId="24B62CE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709" w:type="dxa"/>
            <w:tcBorders>
              <w:top w:val="single" w:sz="4" w:space="0" w:color="auto"/>
              <w:left w:val="single" w:sz="4" w:space="0" w:color="auto"/>
              <w:bottom w:val="single" w:sz="4" w:space="0" w:color="auto"/>
              <w:right w:val="single" w:sz="4" w:space="0" w:color="auto"/>
            </w:tcBorders>
            <w:shd w:val="clear" w:color="auto" w:fill="C6EFCE"/>
            <w:hideMark/>
          </w:tcPr>
          <w:p w14:paraId="7BE5D49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3B18840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368F151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4</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2A28941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71C6A29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2023</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6C58E32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 Ministry of Education and Science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290E6C7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consolidation plans are pre-requisite to be eligible for the consolitdation grants.</w:t>
            </w: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2964C8D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1A7A646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The document shall include as an annex: </w:t>
            </w:r>
          </w:p>
          <w:p w14:paraId="646AC45E" w14:textId="77777777" w:rsidR="00BA1475" w:rsidRPr="00BA1475" w:rsidRDefault="0041395B" w:rsidP="00BA1475">
            <w:pPr>
              <w:spacing w:after="0" w:line="240" w:lineRule="auto"/>
              <w:rPr>
                <w:rFonts w:ascii="Arial Narrow" w:eastAsia="Calibri" w:hAnsi="Arial Narrow" w:cs="Calibri"/>
                <w:noProof/>
                <w:kern w:val="0"/>
                <w:sz w:val="16"/>
                <w:szCs w:val="16"/>
                <w:lang w:val="en-GB"/>
                <w14:ligatures w14:val="none"/>
              </w:rPr>
            </w:pPr>
            <w:sdt>
              <w:sdtPr>
                <w:rPr>
                  <w:rFonts w:ascii="Calibri" w:eastAsia="Calibri" w:hAnsi="Calibri" w:cs="Arial"/>
                  <w:noProof/>
                  <w:color w:val="2B579A"/>
                  <w:kern w:val="0"/>
                  <w:shd w:val="clear" w:color="auto" w:fill="E6E6E6"/>
                  <w:lang w:val="en-GB"/>
                  <w14:ligatures w14:val="none"/>
                </w:rPr>
                <w:tag w:val="goog_rdk_31"/>
                <w:id w:val="-337309974"/>
              </w:sdtPr>
              <w:sdtEndPr/>
              <w:sdtContent/>
            </w:sdt>
            <w:r w:rsidR="00BA1475" w:rsidRPr="00BA1475">
              <w:rPr>
                <w:rFonts w:ascii="Arial Narrow" w:eastAsia="Calibri" w:hAnsi="Arial Narrow" w:cs="Calibri"/>
                <w:noProof/>
                <w:kern w:val="0"/>
                <w:sz w:val="16"/>
                <w:szCs w:val="16"/>
                <w:lang w:val="en-GB"/>
                <w14:ligatures w14:val="none"/>
              </w:rPr>
              <w:t>a</w:t>
            </w:r>
            <w:r w:rsidR="00BA1475" w:rsidRPr="00BA1475">
              <w:rPr>
                <w:rFonts w:ascii="Arial Narrow" w:eastAsia="Arial Narrow" w:hAnsi="Arial Narrow" w:cs="Arial Narrow"/>
                <w:noProof/>
                <w:kern w:val="0"/>
                <w:sz w:val="16"/>
                <w:szCs w:val="16"/>
                <w:lang w:val="en-GB"/>
                <w14:ligatures w14:val="none"/>
              </w:rPr>
              <w:t xml:space="preserve">) a document (official letter of approval of the consolidation plans) from the MoES that approves the respective consolidation plans; </w:t>
            </w:r>
          </w:p>
          <w:p w14:paraId="6EFC3B2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copy of the assessment criteria for the approval of the consolidation plans; </w:t>
            </w:r>
          </w:p>
          <w:p w14:paraId="5D75AA9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c) links to the approved consolidation plans.</w:t>
            </w:r>
          </w:p>
        </w:tc>
        <w:tc>
          <w:tcPr>
            <w:tcW w:w="2693" w:type="dxa"/>
            <w:tcBorders>
              <w:top w:val="single" w:sz="4" w:space="0" w:color="auto"/>
              <w:left w:val="single" w:sz="4" w:space="0" w:color="auto"/>
              <w:bottom w:val="single" w:sz="4" w:space="0" w:color="auto"/>
              <w:right w:val="single" w:sz="4" w:space="0" w:color="auto"/>
            </w:tcBorders>
            <w:shd w:val="clear" w:color="auto" w:fill="C6EFCE"/>
          </w:tcPr>
          <w:p w14:paraId="061F67D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Consolidation plans of institutions of higher education approved by Ministry of Education, including:</w:t>
            </w:r>
          </w:p>
          <w:p w14:paraId="7DDE461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an investment plan and consolidation grant amount</w:t>
            </w:r>
          </w:p>
          <w:p w14:paraId="5332DA2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modalities and timeframe for achieving an internal or external consolidation of two or more institutions of higher education, including through the formation of consortia, if necessary for the implementation of external consolidation.</w:t>
            </w:r>
          </w:p>
          <w:p w14:paraId="60E8249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44D0C2E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following investments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be eligible for financing from consolidation grants:</w:t>
            </w:r>
          </w:p>
          <w:p w14:paraId="17D29A3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 grants for structural change;</w:t>
            </w:r>
          </w:p>
          <w:p w14:paraId="05724E6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 “Exit” grants for termination of employment with academic staff over 65 years of age;</w:t>
            </w:r>
          </w:p>
          <w:p w14:paraId="0D37726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3) Digitalisation, technological development, improvement of research and education infrastructure (excluding construction);</w:t>
            </w:r>
          </w:p>
          <w:p w14:paraId="232CCC3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4) Creation of new programmes of excellence.</w:t>
            </w:r>
          </w:p>
          <w:p w14:paraId="08A2F19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assessment criteria for approval of consolidation plans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include:</w:t>
            </w:r>
          </w:p>
          <w:p w14:paraId="6E1AC34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whether there is a common development strategy, sharing of resources, development of study programmes, creation of common platforms;</w:t>
            </w:r>
          </w:p>
          <w:p w14:paraId="13C29F6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whether there is a commitment to internal or external consolidation, including through the formation of consortia, with a clear timeframe.</w:t>
            </w:r>
          </w:p>
        </w:tc>
      </w:tr>
      <w:tr w:rsidR="004D3CCA" w:rsidRPr="00BA1475" w14:paraId="25A3CE3B" w14:textId="77777777" w:rsidTr="004D3CCA">
        <w:trPr>
          <w:cantSplit/>
          <w:trHeight w:val="1200"/>
          <w:jc w:val="center"/>
        </w:trPr>
        <w:tc>
          <w:tcPr>
            <w:tcW w:w="456" w:type="dxa"/>
            <w:tcBorders>
              <w:top w:val="single" w:sz="4" w:space="0" w:color="auto"/>
              <w:left w:val="single" w:sz="4" w:space="0" w:color="auto"/>
              <w:bottom w:val="single" w:sz="4" w:space="0" w:color="auto"/>
              <w:right w:val="single" w:sz="4" w:space="0" w:color="auto"/>
            </w:tcBorders>
            <w:shd w:val="clear" w:color="auto" w:fill="C6EFCE"/>
            <w:hideMark/>
          </w:tcPr>
          <w:p w14:paraId="074648D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162</w:t>
            </w:r>
          </w:p>
        </w:tc>
        <w:tc>
          <w:tcPr>
            <w:tcW w:w="1432" w:type="dxa"/>
            <w:tcBorders>
              <w:top w:val="single" w:sz="4" w:space="0" w:color="auto"/>
              <w:left w:val="nil"/>
              <w:bottom w:val="single" w:sz="4" w:space="0" w:color="auto"/>
              <w:right w:val="single" w:sz="4" w:space="0" w:color="auto"/>
            </w:tcBorders>
            <w:shd w:val="clear" w:color="auto" w:fill="C6EFCE"/>
            <w:hideMark/>
          </w:tcPr>
          <w:p w14:paraId="2E648704"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5.2.1.r. Reform of Higher Education and Scientific Excellence and Governance</w:t>
            </w:r>
          </w:p>
        </w:tc>
        <w:tc>
          <w:tcPr>
            <w:tcW w:w="851" w:type="dxa"/>
            <w:tcBorders>
              <w:top w:val="single" w:sz="4" w:space="0" w:color="auto"/>
              <w:left w:val="nil"/>
              <w:bottom w:val="single" w:sz="4" w:space="0" w:color="auto"/>
              <w:right w:val="single" w:sz="4" w:space="0" w:color="auto"/>
            </w:tcBorders>
            <w:shd w:val="clear" w:color="auto" w:fill="C6EFCE"/>
            <w:hideMark/>
          </w:tcPr>
          <w:p w14:paraId="619C7F6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134" w:type="dxa"/>
            <w:tcBorders>
              <w:top w:val="single" w:sz="4" w:space="0" w:color="auto"/>
              <w:left w:val="nil"/>
              <w:bottom w:val="single" w:sz="4" w:space="0" w:color="auto"/>
              <w:right w:val="single" w:sz="4" w:space="0" w:color="auto"/>
            </w:tcBorders>
            <w:shd w:val="clear" w:color="auto" w:fill="C6EFCE"/>
            <w:hideMark/>
          </w:tcPr>
          <w:p w14:paraId="4BD0F2F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Share of public higher education institutions affected by governance changes </w:t>
            </w:r>
          </w:p>
        </w:tc>
        <w:tc>
          <w:tcPr>
            <w:tcW w:w="1417" w:type="dxa"/>
            <w:tcBorders>
              <w:top w:val="single" w:sz="4" w:space="0" w:color="auto"/>
              <w:left w:val="nil"/>
              <w:bottom w:val="single" w:sz="4" w:space="0" w:color="auto"/>
              <w:right w:val="single" w:sz="4" w:space="0" w:color="auto"/>
            </w:tcBorders>
            <w:shd w:val="clear" w:color="auto" w:fill="C6EFCE"/>
            <w:hideMark/>
          </w:tcPr>
          <w:p w14:paraId="2A06491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Changes have been introduced in 100% of public higher education institutions in line with amendments to the Law on higher education institutions and related Cabinet Regulations</w:t>
            </w:r>
          </w:p>
        </w:tc>
        <w:tc>
          <w:tcPr>
            <w:tcW w:w="709" w:type="dxa"/>
            <w:tcBorders>
              <w:top w:val="single" w:sz="4" w:space="0" w:color="auto"/>
              <w:left w:val="nil"/>
              <w:bottom w:val="single" w:sz="4" w:space="0" w:color="auto"/>
              <w:right w:val="single" w:sz="4" w:space="0" w:color="auto"/>
            </w:tcBorders>
            <w:shd w:val="clear" w:color="auto" w:fill="C6EFCE"/>
            <w:hideMark/>
          </w:tcPr>
          <w:p w14:paraId="4E2FFE1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w:t>
            </w:r>
          </w:p>
        </w:tc>
        <w:tc>
          <w:tcPr>
            <w:tcW w:w="851" w:type="dxa"/>
            <w:tcBorders>
              <w:top w:val="single" w:sz="4" w:space="0" w:color="auto"/>
              <w:left w:val="nil"/>
              <w:bottom w:val="single" w:sz="4" w:space="0" w:color="auto"/>
              <w:right w:val="single" w:sz="4" w:space="0" w:color="auto"/>
            </w:tcBorders>
            <w:shd w:val="clear" w:color="auto" w:fill="C6EFCE"/>
            <w:hideMark/>
          </w:tcPr>
          <w:p w14:paraId="2234357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567" w:type="dxa"/>
            <w:tcBorders>
              <w:top w:val="single" w:sz="4" w:space="0" w:color="auto"/>
              <w:left w:val="nil"/>
              <w:bottom w:val="single" w:sz="4" w:space="0" w:color="auto"/>
              <w:right w:val="single" w:sz="4" w:space="0" w:color="auto"/>
            </w:tcBorders>
            <w:shd w:val="clear" w:color="auto" w:fill="C6EFCE"/>
            <w:hideMark/>
          </w:tcPr>
          <w:p w14:paraId="47F3E00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100</w:t>
            </w:r>
          </w:p>
        </w:tc>
        <w:tc>
          <w:tcPr>
            <w:tcW w:w="567" w:type="dxa"/>
            <w:tcBorders>
              <w:top w:val="single" w:sz="4" w:space="0" w:color="auto"/>
              <w:left w:val="nil"/>
              <w:bottom w:val="single" w:sz="4" w:space="0" w:color="auto"/>
              <w:right w:val="single" w:sz="4" w:space="0" w:color="auto"/>
            </w:tcBorders>
            <w:shd w:val="clear" w:color="auto" w:fill="C6EFCE"/>
            <w:hideMark/>
          </w:tcPr>
          <w:p w14:paraId="71E68FE2"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567" w:type="dxa"/>
            <w:tcBorders>
              <w:top w:val="single" w:sz="4" w:space="0" w:color="auto"/>
              <w:left w:val="nil"/>
              <w:bottom w:val="single" w:sz="4" w:space="0" w:color="auto"/>
              <w:right w:val="single" w:sz="4" w:space="0" w:color="auto"/>
            </w:tcBorders>
            <w:shd w:val="clear" w:color="auto" w:fill="C6EFCE"/>
            <w:hideMark/>
          </w:tcPr>
          <w:p w14:paraId="352AD06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4689F0A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34E1624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4584E99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target (including all the constitutive elements) was satisfactorily fulfilled, with appropriate links to the underlying evidence. </w:t>
            </w:r>
          </w:p>
          <w:p w14:paraId="1701C92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document shall include as an annex: a link to modified statutes and other internal regulations of all public higher education institutions and documentation justifying how they meet the requirements of the target.</w:t>
            </w:r>
          </w:p>
        </w:tc>
        <w:tc>
          <w:tcPr>
            <w:tcW w:w="2693" w:type="dxa"/>
            <w:tcBorders>
              <w:top w:val="single" w:sz="4" w:space="0" w:color="auto"/>
              <w:left w:val="single" w:sz="4" w:space="0" w:color="auto"/>
              <w:bottom w:val="single" w:sz="4" w:space="0" w:color="auto"/>
              <w:right w:val="single" w:sz="4" w:space="0" w:color="auto"/>
            </w:tcBorders>
            <w:shd w:val="clear" w:color="auto" w:fill="C6EFCE"/>
            <w:hideMark/>
          </w:tcPr>
          <w:p w14:paraId="3A8EB6B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100% of public higher education institutions have implemented the new governance model, including:</w:t>
            </w:r>
          </w:p>
          <w:p w14:paraId="100419E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accordingly modified statues and other internal regulations,</w:t>
            </w:r>
          </w:p>
          <w:p w14:paraId="08630FE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internal governing bodies (senate, council, rector) operate according to the new division of responsibilities and competences, </w:t>
            </w:r>
          </w:p>
          <w:p w14:paraId="5B651DD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criteria for the election of a rector have been revised according to the law,</w:t>
            </w:r>
          </w:p>
          <w:p w14:paraId="513627D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the appointment of a management team that separates academic and strategic decision making</w:t>
            </w:r>
          </w:p>
        </w:tc>
      </w:tr>
      <w:tr w:rsidR="004D3CCA" w:rsidRPr="00BA1475" w14:paraId="206CD313" w14:textId="77777777" w:rsidTr="004D3CCA">
        <w:trPr>
          <w:cantSplit/>
          <w:trHeight w:val="1200"/>
          <w:jc w:val="center"/>
        </w:trPr>
        <w:tc>
          <w:tcPr>
            <w:tcW w:w="456" w:type="dxa"/>
            <w:tcBorders>
              <w:top w:val="single" w:sz="4" w:space="0" w:color="auto"/>
              <w:left w:val="single" w:sz="4" w:space="0" w:color="auto"/>
              <w:bottom w:val="single" w:sz="4" w:space="0" w:color="auto"/>
              <w:right w:val="single" w:sz="4" w:space="0" w:color="auto"/>
            </w:tcBorders>
            <w:shd w:val="clear" w:color="auto" w:fill="C6EFCE"/>
            <w:hideMark/>
          </w:tcPr>
          <w:p w14:paraId="182B86D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163</w:t>
            </w:r>
          </w:p>
        </w:tc>
        <w:tc>
          <w:tcPr>
            <w:tcW w:w="1432" w:type="dxa"/>
            <w:tcBorders>
              <w:top w:val="single" w:sz="4" w:space="0" w:color="auto"/>
              <w:left w:val="single" w:sz="4" w:space="0" w:color="auto"/>
              <w:bottom w:val="single" w:sz="4" w:space="0" w:color="auto"/>
              <w:right w:val="single" w:sz="4" w:space="0" w:color="auto"/>
            </w:tcBorders>
            <w:shd w:val="clear" w:color="auto" w:fill="C6EFCE"/>
            <w:hideMark/>
          </w:tcPr>
          <w:p w14:paraId="58E01AE0"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5.2.1.1.i. Research, development and consolidation grants</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2873F57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039DAEC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Consolidation grants</w:t>
            </w:r>
          </w:p>
        </w:tc>
        <w:tc>
          <w:tcPr>
            <w:tcW w:w="1417" w:type="dxa"/>
            <w:tcBorders>
              <w:top w:val="single" w:sz="4" w:space="0" w:color="auto"/>
              <w:left w:val="single" w:sz="4" w:space="0" w:color="auto"/>
              <w:bottom w:val="single" w:sz="4" w:space="0" w:color="auto"/>
              <w:right w:val="single" w:sz="4" w:space="0" w:color="auto"/>
            </w:tcBorders>
            <w:shd w:val="clear" w:color="auto" w:fill="C6EFCE"/>
            <w:hideMark/>
          </w:tcPr>
          <w:p w14:paraId="5345DCA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709" w:type="dxa"/>
            <w:tcBorders>
              <w:top w:val="single" w:sz="4" w:space="0" w:color="auto"/>
              <w:left w:val="single" w:sz="4" w:space="0" w:color="auto"/>
              <w:bottom w:val="single" w:sz="4" w:space="0" w:color="auto"/>
              <w:right w:val="single" w:sz="4" w:space="0" w:color="auto"/>
            </w:tcBorders>
            <w:shd w:val="clear" w:color="auto" w:fill="C6EFCE"/>
            <w:hideMark/>
          </w:tcPr>
          <w:p w14:paraId="3A2E075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 of consolidation grant agreements concluded</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12DD9D2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5AE2D29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4</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4AB684A9"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570C270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841228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45D5CA9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35C8E16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767B5C1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shall include as an annex: </w:t>
            </w:r>
            <w:r w:rsidRPr="00BA1475">
              <w:rPr>
                <w:rFonts w:ascii="Arial Narrow" w:eastAsia="Arial Narrow" w:hAnsi="Arial Narrow" w:cs="Arial Narrow"/>
                <w:noProof/>
                <w:kern w:val="0"/>
                <w:sz w:val="16"/>
                <w:szCs w:val="16"/>
                <w:lang w:val="en-GB"/>
                <w14:ligatures w14:val="none"/>
              </w:rPr>
              <w:t>copies of 4 consolidation grant agreements</w:t>
            </w:r>
            <w:r w:rsidRPr="00BA1475">
              <w:rPr>
                <w:rFonts w:ascii="Arial Narrow" w:eastAsia="Calibri" w:hAnsi="Arial Narrow" w:cs="Arial"/>
                <w:noProof/>
                <w:kern w:val="0"/>
                <w:sz w:val="16"/>
                <w:szCs w:val="16"/>
                <w:lang w:val="en-GB"/>
                <w14:ligatures w14:val="none"/>
              </w:rPr>
              <w:t xml:space="preserve"> with the beneficiaries.</w:t>
            </w:r>
          </w:p>
        </w:tc>
        <w:tc>
          <w:tcPr>
            <w:tcW w:w="2693" w:type="dxa"/>
            <w:tcBorders>
              <w:top w:val="single" w:sz="4" w:space="0" w:color="auto"/>
              <w:left w:val="single" w:sz="4" w:space="0" w:color="auto"/>
              <w:bottom w:val="single" w:sz="4" w:space="0" w:color="auto"/>
              <w:right w:val="single" w:sz="4" w:space="0" w:color="auto"/>
            </w:tcBorders>
            <w:shd w:val="clear" w:color="auto" w:fill="C6EFCE"/>
            <w:hideMark/>
          </w:tcPr>
          <w:p w14:paraId="7588E95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Four consolidation plans have been put in place, ensuring that the consolidation targets are met in line with the conditions for implementing the grants for consolidation and management changes.</w:t>
            </w:r>
          </w:p>
        </w:tc>
      </w:tr>
      <w:tr w:rsidR="004D3CCA" w:rsidRPr="00BA1475" w14:paraId="541F714D" w14:textId="77777777" w:rsidTr="004D3CCA">
        <w:trPr>
          <w:cantSplit/>
          <w:trHeight w:val="706"/>
          <w:jc w:val="center"/>
        </w:trPr>
        <w:tc>
          <w:tcPr>
            <w:tcW w:w="456" w:type="dxa"/>
            <w:tcBorders>
              <w:top w:val="single" w:sz="4" w:space="0" w:color="auto"/>
              <w:left w:val="single" w:sz="4" w:space="0" w:color="auto"/>
              <w:bottom w:val="single" w:sz="4" w:space="0" w:color="auto"/>
              <w:right w:val="single" w:sz="4" w:space="0" w:color="auto"/>
            </w:tcBorders>
            <w:shd w:val="clear" w:color="auto" w:fill="C6EFCE"/>
            <w:hideMark/>
          </w:tcPr>
          <w:p w14:paraId="09EA4E5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164</w:t>
            </w:r>
          </w:p>
        </w:tc>
        <w:tc>
          <w:tcPr>
            <w:tcW w:w="1432" w:type="dxa"/>
            <w:tcBorders>
              <w:top w:val="single" w:sz="4" w:space="0" w:color="auto"/>
              <w:left w:val="single" w:sz="4" w:space="0" w:color="auto"/>
              <w:bottom w:val="single" w:sz="4" w:space="0" w:color="auto"/>
              <w:right w:val="single" w:sz="4" w:space="0" w:color="auto"/>
            </w:tcBorders>
            <w:shd w:val="clear" w:color="auto" w:fill="C6EFCE"/>
            <w:hideMark/>
          </w:tcPr>
          <w:p w14:paraId="7CCCB359"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5.2.1.1.i. Research, development and consolidation grants</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540969A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0827CD9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Academic Career Grant agreements signed</w:t>
            </w:r>
          </w:p>
        </w:tc>
        <w:tc>
          <w:tcPr>
            <w:tcW w:w="1417" w:type="dxa"/>
            <w:tcBorders>
              <w:top w:val="single" w:sz="4" w:space="0" w:color="auto"/>
              <w:left w:val="single" w:sz="4" w:space="0" w:color="auto"/>
              <w:bottom w:val="single" w:sz="4" w:space="0" w:color="auto"/>
              <w:right w:val="single" w:sz="4" w:space="0" w:color="auto"/>
            </w:tcBorders>
            <w:shd w:val="clear" w:color="auto" w:fill="C6EFCE"/>
            <w:hideMark/>
          </w:tcPr>
          <w:p w14:paraId="7A06049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709" w:type="dxa"/>
            <w:tcBorders>
              <w:top w:val="single" w:sz="4" w:space="0" w:color="auto"/>
              <w:left w:val="single" w:sz="4" w:space="0" w:color="auto"/>
              <w:bottom w:val="single" w:sz="4" w:space="0" w:color="auto"/>
              <w:right w:val="single" w:sz="4" w:space="0" w:color="auto"/>
            </w:tcBorders>
            <w:shd w:val="clear" w:color="auto" w:fill="C6EFCE"/>
            <w:hideMark/>
          </w:tcPr>
          <w:p w14:paraId="53EB420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 of academic Career Grant agreements signed</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0350649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3E3036E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315</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5AB7C07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565EB58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0A67976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4328E2B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128EC0E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target (including all the constitutive elements) was satisfactorily fulfilled, with appropriate links to the underlying evidence. </w:t>
            </w:r>
          </w:p>
          <w:p w14:paraId="098B34C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The document shall include as an annex a list of the 315 grant agreements with doctorates, post-doctorates and researchers. </w:t>
            </w:r>
          </w:p>
          <w:p w14:paraId="3C73E45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C6EFCE"/>
            <w:hideMark/>
          </w:tcPr>
          <w:p w14:paraId="450B029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higher education institution or research institute have signed 315 grant agreements with doctorate, post-doctorate and researchers (professor) for one of the following activities: </w:t>
            </w:r>
          </w:p>
          <w:p w14:paraId="526E5A4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 Doctoral grants;</w:t>
            </w:r>
          </w:p>
          <w:p w14:paraId="6E8A3B5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 Post-doctoral grants;</w:t>
            </w:r>
          </w:p>
          <w:p w14:paraId="4812975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3) Scientific (professor) grants.</w:t>
            </w:r>
          </w:p>
          <w:p w14:paraId="0C45142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5123592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r>
      <w:tr w:rsidR="004D3CCA" w:rsidRPr="00BA1475" w14:paraId="493CB2F9" w14:textId="77777777" w:rsidTr="004D3CCA">
        <w:trPr>
          <w:cantSplit/>
          <w:trHeight w:val="1200"/>
          <w:jc w:val="center"/>
        </w:trPr>
        <w:tc>
          <w:tcPr>
            <w:tcW w:w="456" w:type="dxa"/>
            <w:tcBorders>
              <w:top w:val="single" w:sz="4" w:space="0" w:color="auto"/>
              <w:left w:val="single" w:sz="4" w:space="0" w:color="auto"/>
              <w:bottom w:val="single" w:sz="4" w:space="0" w:color="auto"/>
              <w:right w:val="single" w:sz="4" w:space="0" w:color="auto"/>
            </w:tcBorders>
            <w:shd w:val="clear" w:color="auto" w:fill="C6EFCE"/>
            <w:hideMark/>
          </w:tcPr>
          <w:p w14:paraId="554A6BC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165</w:t>
            </w:r>
          </w:p>
        </w:tc>
        <w:tc>
          <w:tcPr>
            <w:tcW w:w="1432" w:type="dxa"/>
            <w:tcBorders>
              <w:top w:val="single" w:sz="4" w:space="0" w:color="auto"/>
              <w:left w:val="single" w:sz="4" w:space="0" w:color="auto"/>
              <w:bottom w:val="single" w:sz="4" w:space="0" w:color="auto"/>
              <w:right w:val="single" w:sz="4" w:space="0" w:color="auto"/>
            </w:tcBorders>
            <w:shd w:val="clear" w:color="auto" w:fill="C6EFCE"/>
            <w:hideMark/>
          </w:tcPr>
          <w:p w14:paraId="231615E7"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5.2.1.1.i. Research, development and consolidation grants</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2152F98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073AF21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In-house R &amp; D grant agreements signed</w:t>
            </w:r>
          </w:p>
        </w:tc>
        <w:tc>
          <w:tcPr>
            <w:tcW w:w="1417" w:type="dxa"/>
            <w:tcBorders>
              <w:top w:val="single" w:sz="4" w:space="0" w:color="auto"/>
              <w:left w:val="single" w:sz="4" w:space="0" w:color="auto"/>
              <w:bottom w:val="single" w:sz="4" w:space="0" w:color="auto"/>
              <w:right w:val="single" w:sz="4" w:space="0" w:color="auto"/>
            </w:tcBorders>
            <w:shd w:val="clear" w:color="auto" w:fill="C6EFCE"/>
            <w:hideMark/>
          </w:tcPr>
          <w:p w14:paraId="7B65BAC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709" w:type="dxa"/>
            <w:tcBorders>
              <w:top w:val="single" w:sz="4" w:space="0" w:color="auto"/>
              <w:left w:val="single" w:sz="4" w:space="0" w:color="auto"/>
              <w:bottom w:val="single" w:sz="4" w:space="0" w:color="auto"/>
              <w:right w:val="single" w:sz="4" w:space="0" w:color="auto"/>
            </w:tcBorders>
            <w:shd w:val="clear" w:color="auto" w:fill="C6EFCE"/>
            <w:hideMark/>
          </w:tcPr>
          <w:p w14:paraId="08BBA2D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 of in-house R&amp;D grant agreements signed</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2162C24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64C43C7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90</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57517CA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567" w:type="dxa"/>
            <w:tcBorders>
              <w:top w:val="single" w:sz="4" w:space="0" w:color="auto"/>
              <w:left w:val="single" w:sz="4" w:space="0" w:color="auto"/>
              <w:bottom w:val="single" w:sz="4" w:space="0" w:color="auto"/>
              <w:right w:val="single" w:sz="4" w:space="0" w:color="auto"/>
            </w:tcBorders>
            <w:shd w:val="clear" w:color="auto" w:fill="C6EFCE"/>
            <w:hideMark/>
          </w:tcPr>
          <w:p w14:paraId="6C28B69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275" w:type="dxa"/>
            <w:tcBorders>
              <w:top w:val="single" w:sz="4" w:space="0" w:color="auto"/>
              <w:left w:val="single" w:sz="4" w:space="0" w:color="auto"/>
              <w:bottom w:val="single" w:sz="4" w:space="0" w:color="auto"/>
              <w:right w:val="single" w:sz="4" w:space="0" w:color="auto"/>
            </w:tcBorders>
            <w:shd w:val="clear" w:color="auto" w:fill="C6EFCE"/>
          </w:tcPr>
          <w:p w14:paraId="70F18C1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Education and Science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7D98CC2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836" w:type="dxa"/>
            <w:tcBorders>
              <w:top w:val="single" w:sz="4" w:space="0" w:color="auto"/>
              <w:left w:val="single" w:sz="4" w:space="0" w:color="auto"/>
              <w:bottom w:val="single" w:sz="4" w:space="0" w:color="auto"/>
              <w:right w:val="single" w:sz="4" w:space="0" w:color="auto"/>
            </w:tcBorders>
            <w:shd w:val="clear" w:color="auto" w:fill="C6EFCE"/>
          </w:tcPr>
          <w:p w14:paraId="69DC3CF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target (including all the constitutive elements) was satisfactorily fulfilled, with appropriate links to the underlying evidence. </w:t>
            </w:r>
          </w:p>
          <w:p w14:paraId="411AEED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document shall include as an annex a</w:t>
            </w:r>
            <w:r w:rsidRPr="00BA1475">
              <w:rPr>
                <w:rFonts w:ascii="Arial Narrow" w:eastAsia="Arial Narrow" w:hAnsi="Arial Narrow" w:cs="Arial Narrow"/>
                <w:noProof/>
                <w:kern w:val="0"/>
                <w:sz w:val="16"/>
                <w:szCs w:val="16"/>
                <w:lang w:val="en-GB"/>
                <w14:ligatures w14:val="none"/>
              </w:rPr>
              <w:t xml:space="preserve"> list of the 90 in-house R&amp;D grant agreements, which are made available in the Management Information System (KPVIS). </w:t>
            </w:r>
          </w:p>
        </w:tc>
        <w:tc>
          <w:tcPr>
            <w:tcW w:w="2693" w:type="dxa"/>
            <w:tcBorders>
              <w:top w:val="single" w:sz="4" w:space="0" w:color="auto"/>
              <w:left w:val="single" w:sz="4" w:space="0" w:color="auto"/>
              <w:bottom w:val="single" w:sz="4" w:space="0" w:color="auto"/>
              <w:right w:val="single" w:sz="4" w:space="0" w:color="auto"/>
            </w:tcBorders>
            <w:shd w:val="clear" w:color="auto" w:fill="C6EFCE"/>
            <w:hideMark/>
          </w:tcPr>
          <w:p w14:paraId="4149D9F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higher education institution or research institute have concluded 90 grant agreements for carrying out in-house research. </w:t>
            </w:r>
          </w:p>
        </w:tc>
      </w:tr>
    </w:tbl>
    <w:p w14:paraId="38AAE229" w14:textId="77777777" w:rsidR="00BA1475" w:rsidRPr="00BA1475" w:rsidRDefault="00BA1475" w:rsidP="00BA1475">
      <w:pPr>
        <w:spacing w:before="120" w:after="120" w:line="240" w:lineRule="auto"/>
        <w:ind w:left="709"/>
        <w:jc w:val="both"/>
        <w:rPr>
          <w:rFonts w:ascii="Arial Narrow" w:eastAsia="Calibri" w:hAnsi="Arial Narrow" w:cs="Times New Roman"/>
          <w:noProof/>
          <w:kern w:val="0"/>
          <w:sz w:val="24"/>
          <w:lang w:val="en-GB"/>
          <w14:ligatures w14:val="none"/>
        </w:rPr>
        <w:sectPr w:rsidR="00BA1475" w:rsidRPr="00BA1475" w:rsidSect="00BA1475">
          <w:headerReference w:type="even" r:id="rId50"/>
          <w:headerReference w:type="default" r:id="rId51"/>
          <w:footerReference w:type="even" r:id="rId52"/>
          <w:footerReference w:type="default" r:id="rId53"/>
          <w:headerReference w:type="first" r:id="rId54"/>
          <w:footerReference w:type="first" r:id="rId55"/>
          <w:pgSz w:w="16839" w:h="11907" w:orient="landscape"/>
          <w:pgMar w:top="720" w:right="720" w:bottom="720" w:left="720" w:header="709" w:footer="709" w:gutter="0"/>
          <w:cols w:space="720"/>
          <w:docGrid w:linePitch="360"/>
        </w:sectPr>
      </w:pPr>
      <w:r w:rsidRPr="00BA1475">
        <w:rPr>
          <w:rFonts w:ascii="Arial Narrow" w:eastAsia="Calibri" w:hAnsi="Arial Narrow" w:cs="Times New Roman"/>
          <w:noProof/>
          <w:kern w:val="0"/>
          <w:sz w:val="24"/>
          <w:lang w:val="en-GB"/>
          <w14:ligatures w14:val="none"/>
        </w:rPr>
        <w:br w:type="page"/>
      </w:r>
    </w:p>
    <w:p w14:paraId="0EB3015C" w14:textId="77777777" w:rsidR="00BA1475" w:rsidRPr="00BA1475" w:rsidRDefault="00BA1475" w:rsidP="00BA1475">
      <w:pPr>
        <w:keepNext/>
        <w:keepLines/>
        <w:spacing w:before="40" w:after="120"/>
        <w:ind w:left="850"/>
        <w:outlineLvl w:val="1"/>
        <w:rPr>
          <w:rFonts w:ascii="Arial Narrow" w:eastAsia="MS Mincho" w:hAnsi="Arial Narrow" w:cs="Times New Roman"/>
          <w:b/>
          <w:bCs/>
          <w:noProof/>
          <w:kern w:val="0"/>
          <w:sz w:val="24"/>
          <w:szCs w:val="26"/>
          <w:lang w:val="en-GB"/>
          <w14:ligatures w14:val="none"/>
        </w:rPr>
      </w:pPr>
      <w:r w:rsidRPr="00BA1475">
        <w:rPr>
          <w:rFonts w:ascii="Arial Narrow" w:eastAsia="MS Gothic" w:hAnsi="Arial Narrow" w:cs="Times New Roman"/>
          <w:b/>
          <w:bCs/>
          <w:noProof/>
          <w:kern w:val="0"/>
          <w:sz w:val="24"/>
          <w:szCs w:val="26"/>
          <w:lang w:val="en-GB"/>
          <w14:ligatures w14:val="none"/>
        </w:rPr>
        <w:t>F</w:t>
      </w:r>
      <w:r w:rsidRPr="00BA1475">
        <w:rPr>
          <w:rFonts w:ascii="Arial Narrow" w:eastAsia="MS Mincho" w:hAnsi="Arial Narrow" w:cs="Times New Roman"/>
          <w:b/>
          <w:bCs/>
          <w:noProof/>
          <w:kern w:val="0"/>
          <w:sz w:val="24"/>
          <w:szCs w:val="26"/>
          <w:lang w:val="en-GB"/>
          <w14:ligatures w14:val="none"/>
        </w:rPr>
        <w:t>. COMPONENT 6: RULE OF LAW</w:t>
      </w:r>
    </w:p>
    <w:tbl>
      <w:tblPr>
        <w:tblW w:w="15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1197"/>
        <w:gridCol w:w="851"/>
        <w:gridCol w:w="1385"/>
        <w:gridCol w:w="1200"/>
        <w:gridCol w:w="840"/>
        <w:gridCol w:w="840"/>
        <w:gridCol w:w="691"/>
        <w:gridCol w:w="480"/>
        <w:gridCol w:w="600"/>
        <w:gridCol w:w="1320"/>
        <w:gridCol w:w="1320"/>
        <w:gridCol w:w="2640"/>
        <w:gridCol w:w="1913"/>
      </w:tblGrid>
      <w:tr w:rsidR="00BA1475" w:rsidRPr="00BA1475" w14:paraId="5EF734F6" w14:textId="77777777" w:rsidTr="007802BD">
        <w:trPr>
          <w:trHeight w:val="607"/>
          <w:tblHeader/>
          <w:jc w:val="center"/>
        </w:trPr>
        <w:tc>
          <w:tcPr>
            <w:tcW w:w="500" w:type="dxa"/>
            <w:vMerge w:val="restart"/>
            <w:shd w:val="clear" w:color="auto" w:fill="BDD7EE"/>
            <w:vAlign w:val="center"/>
            <w:hideMark/>
          </w:tcPr>
          <w:p w14:paraId="0447DE53"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noProof/>
                <w:kern w:val="0"/>
                <w:sz w:val="16"/>
                <w:szCs w:val="16"/>
                <w:lang w:val="en-GB" w:eastAsia="en-GB"/>
                <w14:ligatures w14:val="none"/>
              </w:rPr>
              <w:t>#</w:t>
            </w:r>
          </w:p>
        </w:tc>
        <w:tc>
          <w:tcPr>
            <w:tcW w:w="1197" w:type="dxa"/>
            <w:vMerge w:val="restart"/>
            <w:shd w:val="clear" w:color="auto" w:fill="BDD7EE"/>
            <w:vAlign w:val="center"/>
            <w:hideMark/>
          </w:tcPr>
          <w:p w14:paraId="5428B698"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Related measure (reform or investment)</w:t>
            </w:r>
          </w:p>
        </w:tc>
        <w:tc>
          <w:tcPr>
            <w:tcW w:w="851" w:type="dxa"/>
            <w:vMerge w:val="restart"/>
            <w:shd w:val="clear" w:color="auto" w:fill="BDD7EE"/>
            <w:vAlign w:val="center"/>
            <w:hideMark/>
          </w:tcPr>
          <w:p w14:paraId="38F1D802"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M/T</w:t>
            </w:r>
          </w:p>
        </w:tc>
        <w:tc>
          <w:tcPr>
            <w:tcW w:w="1385" w:type="dxa"/>
            <w:vMerge w:val="restart"/>
            <w:shd w:val="clear" w:color="auto" w:fill="BDD7EE"/>
            <w:vAlign w:val="center"/>
            <w:hideMark/>
          </w:tcPr>
          <w:p w14:paraId="30F8A90F"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Name</w:t>
            </w:r>
          </w:p>
        </w:tc>
        <w:tc>
          <w:tcPr>
            <w:tcW w:w="1200" w:type="dxa"/>
            <w:vMerge w:val="restart"/>
            <w:shd w:val="clear" w:color="auto" w:fill="BDD7EE"/>
            <w:vAlign w:val="center"/>
            <w:hideMark/>
          </w:tcPr>
          <w:p w14:paraId="4E7A603E"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Qualitative indicators</w:t>
            </w:r>
            <w:r w:rsidRPr="00BA1475">
              <w:rPr>
                <w:rFonts w:ascii="Arial Narrow" w:eastAsia="Times New Roman" w:hAnsi="Arial Narrow" w:cs="Times New Roman"/>
                <w:b/>
                <w:bCs/>
                <w:noProof/>
                <w:kern w:val="0"/>
                <w:sz w:val="16"/>
                <w:szCs w:val="16"/>
                <w:lang w:val="en-GB" w:eastAsia="en-GB"/>
                <w14:ligatures w14:val="none"/>
              </w:rPr>
              <w:br/>
              <w:t xml:space="preserve"> (for milestones)</w:t>
            </w:r>
          </w:p>
        </w:tc>
        <w:tc>
          <w:tcPr>
            <w:tcW w:w="2371" w:type="dxa"/>
            <w:gridSpan w:val="3"/>
            <w:shd w:val="clear" w:color="auto" w:fill="BDD7EE"/>
            <w:vAlign w:val="center"/>
            <w:hideMark/>
          </w:tcPr>
          <w:p w14:paraId="47CB026A"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Quantitative indicators</w:t>
            </w:r>
            <w:r w:rsidRPr="00BA1475">
              <w:rPr>
                <w:rFonts w:ascii="Arial Narrow" w:eastAsia="Times New Roman" w:hAnsi="Arial Narrow" w:cs="Times New Roman"/>
                <w:b/>
                <w:bCs/>
                <w:noProof/>
                <w:kern w:val="0"/>
                <w:sz w:val="16"/>
                <w:szCs w:val="16"/>
                <w:lang w:val="en-GB" w:eastAsia="en-GB"/>
                <w14:ligatures w14:val="none"/>
              </w:rPr>
              <w:br/>
              <w:t xml:space="preserve"> (for targets)</w:t>
            </w:r>
          </w:p>
        </w:tc>
        <w:tc>
          <w:tcPr>
            <w:tcW w:w="1080" w:type="dxa"/>
            <w:gridSpan w:val="2"/>
            <w:shd w:val="clear" w:color="auto" w:fill="BDD7EE"/>
            <w:vAlign w:val="center"/>
            <w:hideMark/>
          </w:tcPr>
          <w:p w14:paraId="522878D2"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Indicative timeline for completion</w:t>
            </w:r>
          </w:p>
        </w:tc>
        <w:tc>
          <w:tcPr>
            <w:tcW w:w="1320" w:type="dxa"/>
            <w:vMerge w:val="restart"/>
            <w:shd w:val="clear" w:color="auto" w:fill="BDD7EE"/>
            <w:vAlign w:val="center"/>
          </w:tcPr>
          <w:p w14:paraId="75AFE1BC"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Calibri" w:hAnsi="Arial Narrow" w:cs="Calibri"/>
                <w:b/>
                <w:noProof/>
                <w:kern w:val="0"/>
                <w:sz w:val="16"/>
                <w:szCs w:val="16"/>
                <w:lang w:val="en-GB"/>
                <w14:ligatures w14:val="none"/>
              </w:rPr>
              <w:t>Responsibility for reporting and implementation</w:t>
            </w:r>
          </w:p>
        </w:tc>
        <w:tc>
          <w:tcPr>
            <w:tcW w:w="1320" w:type="dxa"/>
            <w:vMerge w:val="restart"/>
            <w:shd w:val="clear" w:color="auto" w:fill="BDD7EE"/>
            <w:vAlign w:val="center"/>
          </w:tcPr>
          <w:p w14:paraId="7773D424" w14:textId="77777777" w:rsidR="00BA1475" w:rsidRPr="00BA1475" w:rsidRDefault="00BA1475" w:rsidP="00BA1475">
            <w:pPr>
              <w:spacing w:after="0" w:line="240" w:lineRule="auto"/>
              <w:jc w:val="center"/>
              <w:rPr>
                <w:rFonts w:ascii="Arial Narrow" w:eastAsia="Calibri" w:hAnsi="Arial Narrow" w:cs="Calibri"/>
                <w:b/>
                <w:noProof/>
                <w:kern w:val="0"/>
                <w:sz w:val="16"/>
                <w:szCs w:val="16"/>
                <w:lang w:val="en-GB"/>
                <w14:ligatures w14:val="none"/>
              </w:rPr>
            </w:pPr>
            <w:r w:rsidRPr="00BA1475">
              <w:rPr>
                <w:rFonts w:ascii="Arial Narrow" w:eastAsia="Calibri" w:hAnsi="Arial Narrow" w:cs="Calibri"/>
                <w:b/>
                <w:noProof/>
                <w:kern w:val="0"/>
                <w:sz w:val="16"/>
                <w:szCs w:val="16"/>
                <w:lang w:val="en-GB"/>
                <w14:ligatures w14:val="none"/>
              </w:rPr>
              <w:t>Further specification (if necessary)</w:t>
            </w:r>
          </w:p>
        </w:tc>
        <w:tc>
          <w:tcPr>
            <w:tcW w:w="2640" w:type="dxa"/>
            <w:vMerge w:val="restart"/>
            <w:shd w:val="clear" w:color="auto" w:fill="BDD7EE"/>
            <w:vAlign w:val="center"/>
          </w:tcPr>
          <w:p w14:paraId="319E6A2E" w14:textId="77777777" w:rsidR="00BA1475" w:rsidRPr="00BA1475" w:rsidRDefault="00BA1475" w:rsidP="00BA1475">
            <w:pPr>
              <w:spacing w:after="0" w:line="240" w:lineRule="auto"/>
              <w:jc w:val="center"/>
              <w:rPr>
                <w:rFonts w:ascii="Arial Narrow" w:eastAsia="Calibri" w:hAnsi="Arial Narrow" w:cs="Calibri"/>
                <w:b/>
                <w:noProof/>
                <w:kern w:val="0"/>
                <w:sz w:val="16"/>
                <w:szCs w:val="16"/>
                <w:lang w:val="en-GB"/>
                <w14:ligatures w14:val="none"/>
              </w:rPr>
            </w:pPr>
            <w:r w:rsidRPr="00BA1475">
              <w:rPr>
                <w:rFonts w:ascii="Arial Narrow" w:eastAsia="Calibri" w:hAnsi="Arial Narrow" w:cs="Calibri"/>
                <w:b/>
                <w:noProof/>
                <w:kern w:val="0"/>
                <w:sz w:val="16"/>
                <w:szCs w:val="16"/>
                <w:lang w:val="en-GB"/>
                <w14:ligatures w14:val="none"/>
              </w:rPr>
              <w:t>Verification mechanism</w:t>
            </w:r>
          </w:p>
        </w:tc>
        <w:tc>
          <w:tcPr>
            <w:tcW w:w="1913" w:type="dxa"/>
            <w:vMerge w:val="restart"/>
            <w:shd w:val="clear" w:color="auto" w:fill="BDD7EE"/>
            <w:vAlign w:val="center"/>
            <w:hideMark/>
          </w:tcPr>
          <w:p w14:paraId="255C3F5A" w14:textId="77777777" w:rsidR="00BA1475" w:rsidRPr="00BA1475" w:rsidRDefault="00BA1475" w:rsidP="00BA1475">
            <w:pPr>
              <w:spacing w:after="0" w:line="240" w:lineRule="auto"/>
              <w:jc w:val="center"/>
              <w:rPr>
                <w:rFonts w:ascii="Arial Narrow" w:eastAsia="Calibri" w:hAnsi="Arial Narrow" w:cs="Calibri"/>
                <w:b/>
                <w:noProof/>
                <w:kern w:val="0"/>
                <w:sz w:val="16"/>
                <w:szCs w:val="16"/>
                <w:lang w:val="en-GB"/>
                <w14:ligatures w14:val="none"/>
              </w:rPr>
            </w:pPr>
            <w:r w:rsidRPr="00BA1475">
              <w:rPr>
                <w:rFonts w:ascii="Arial Narrow" w:eastAsia="Calibri" w:hAnsi="Arial Narrow" w:cs="Calibri"/>
                <w:b/>
                <w:noProof/>
                <w:kern w:val="0"/>
                <w:sz w:val="16"/>
                <w:szCs w:val="16"/>
                <w:lang w:val="en-GB"/>
                <w14:ligatures w14:val="none"/>
              </w:rPr>
              <w:t>Milestone and target description</w:t>
            </w:r>
          </w:p>
        </w:tc>
      </w:tr>
      <w:tr w:rsidR="00BA1475" w:rsidRPr="00BA1475" w14:paraId="3CDE7D96" w14:textId="77777777" w:rsidTr="007802BD">
        <w:trPr>
          <w:trHeight w:val="559"/>
          <w:tblHeader/>
          <w:jc w:val="center"/>
        </w:trPr>
        <w:tc>
          <w:tcPr>
            <w:tcW w:w="500" w:type="dxa"/>
            <w:vMerge/>
            <w:vAlign w:val="center"/>
            <w:hideMark/>
          </w:tcPr>
          <w:p w14:paraId="4CB7B654"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1197" w:type="dxa"/>
            <w:vMerge/>
            <w:vAlign w:val="center"/>
            <w:hideMark/>
          </w:tcPr>
          <w:p w14:paraId="3EDAA31C"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851" w:type="dxa"/>
            <w:vMerge/>
            <w:vAlign w:val="center"/>
            <w:hideMark/>
          </w:tcPr>
          <w:p w14:paraId="64B046E8"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1385" w:type="dxa"/>
            <w:vMerge/>
            <w:vAlign w:val="center"/>
            <w:hideMark/>
          </w:tcPr>
          <w:p w14:paraId="599D1509"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1200" w:type="dxa"/>
            <w:vMerge/>
            <w:vAlign w:val="center"/>
            <w:hideMark/>
          </w:tcPr>
          <w:p w14:paraId="7A3CE38A"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840" w:type="dxa"/>
            <w:shd w:val="clear" w:color="auto" w:fill="BDD7EE"/>
            <w:vAlign w:val="center"/>
            <w:hideMark/>
          </w:tcPr>
          <w:p w14:paraId="0CF22D35"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Unit</w:t>
            </w:r>
          </w:p>
        </w:tc>
        <w:tc>
          <w:tcPr>
            <w:tcW w:w="840" w:type="dxa"/>
            <w:shd w:val="clear" w:color="auto" w:fill="BDD7EE"/>
            <w:vAlign w:val="center"/>
            <w:hideMark/>
          </w:tcPr>
          <w:p w14:paraId="41BCF856"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Baseline</w:t>
            </w:r>
          </w:p>
        </w:tc>
        <w:tc>
          <w:tcPr>
            <w:tcW w:w="691" w:type="dxa"/>
            <w:shd w:val="clear" w:color="auto" w:fill="BDD7EE"/>
            <w:vAlign w:val="center"/>
            <w:hideMark/>
          </w:tcPr>
          <w:p w14:paraId="098FC9EC"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Goal</w:t>
            </w:r>
          </w:p>
        </w:tc>
        <w:tc>
          <w:tcPr>
            <w:tcW w:w="480" w:type="dxa"/>
            <w:shd w:val="clear" w:color="auto" w:fill="BDD7EE"/>
            <w:vAlign w:val="center"/>
            <w:hideMark/>
          </w:tcPr>
          <w:p w14:paraId="6C420B91"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Q</w:t>
            </w:r>
          </w:p>
        </w:tc>
        <w:tc>
          <w:tcPr>
            <w:tcW w:w="600" w:type="dxa"/>
            <w:shd w:val="clear" w:color="auto" w:fill="BDD7EE"/>
            <w:vAlign w:val="center"/>
            <w:hideMark/>
          </w:tcPr>
          <w:p w14:paraId="3CC2B9A7"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Year</w:t>
            </w:r>
          </w:p>
        </w:tc>
        <w:tc>
          <w:tcPr>
            <w:tcW w:w="1320" w:type="dxa"/>
            <w:vMerge/>
          </w:tcPr>
          <w:p w14:paraId="15591ECD"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1320" w:type="dxa"/>
            <w:vMerge/>
          </w:tcPr>
          <w:p w14:paraId="16FF5DDD"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2640" w:type="dxa"/>
            <w:vMerge/>
          </w:tcPr>
          <w:p w14:paraId="5DC0B463" w14:textId="77777777" w:rsidR="00BA1475" w:rsidRPr="00BA1475" w:rsidRDefault="00BA1475" w:rsidP="00BA1475">
            <w:pPr>
              <w:spacing w:after="0" w:line="240" w:lineRule="auto"/>
              <w:jc w:val="center"/>
              <w:rPr>
                <w:rFonts w:ascii="Arial Narrow" w:eastAsia="Times New Roman" w:hAnsi="Arial Narrow" w:cs="Times New Roman"/>
                <w:b/>
                <w:bCs/>
                <w:noProof/>
                <w:color w:val="4F6228"/>
                <w:kern w:val="0"/>
                <w:sz w:val="16"/>
                <w:szCs w:val="16"/>
                <w:lang w:val="en-GB" w:eastAsia="en-GB"/>
                <w14:ligatures w14:val="none"/>
              </w:rPr>
            </w:pPr>
          </w:p>
        </w:tc>
        <w:tc>
          <w:tcPr>
            <w:tcW w:w="1913" w:type="dxa"/>
            <w:vMerge/>
            <w:vAlign w:val="center"/>
            <w:hideMark/>
          </w:tcPr>
          <w:p w14:paraId="44D51048"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r>
      <w:tr w:rsidR="007802BD" w:rsidRPr="00BA1475" w14:paraId="0FA95771" w14:textId="77777777" w:rsidTr="007802BD">
        <w:trPr>
          <w:trHeight w:val="1200"/>
          <w:jc w:val="center"/>
        </w:trPr>
        <w:tc>
          <w:tcPr>
            <w:tcW w:w="500" w:type="dxa"/>
            <w:shd w:val="clear" w:color="auto" w:fill="C6EFCE"/>
            <w:hideMark/>
          </w:tcPr>
          <w:p w14:paraId="3E84BEC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166</w:t>
            </w:r>
          </w:p>
        </w:tc>
        <w:tc>
          <w:tcPr>
            <w:tcW w:w="1197" w:type="dxa"/>
            <w:shd w:val="clear" w:color="auto" w:fill="C6EFCE"/>
            <w:hideMark/>
          </w:tcPr>
          <w:p w14:paraId="0596D519"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6.1.1.r. Strengthening analytics and developing data management in the field of tax administration and customs</w:t>
            </w:r>
          </w:p>
        </w:tc>
        <w:tc>
          <w:tcPr>
            <w:tcW w:w="851" w:type="dxa"/>
            <w:shd w:val="clear" w:color="auto" w:fill="C6EFCE"/>
            <w:hideMark/>
          </w:tcPr>
          <w:p w14:paraId="0679D18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0A684A1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Adoption of work plan for public authorities to curb the shadow economy 2021-2022</w:t>
            </w:r>
          </w:p>
        </w:tc>
        <w:tc>
          <w:tcPr>
            <w:tcW w:w="1200" w:type="dxa"/>
            <w:shd w:val="clear" w:color="auto" w:fill="C6EFCE"/>
            <w:hideMark/>
          </w:tcPr>
          <w:p w14:paraId="5DF0101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Adoption of the work plan of the national authorities to limit the shadow economy for 2021-2022 </w:t>
            </w:r>
          </w:p>
        </w:tc>
        <w:tc>
          <w:tcPr>
            <w:tcW w:w="840" w:type="dxa"/>
            <w:shd w:val="clear" w:color="auto" w:fill="C6EFCE"/>
            <w:hideMark/>
          </w:tcPr>
          <w:p w14:paraId="5DA69FE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5C51D87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91" w:type="dxa"/>
            <w:shd w:val="clear" w:color="auto" w:fill="C6EFCE"/>
            <w:hideMark/>
          </w:tcPr>
          <w:p w14:paraId="4AEAC5E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80" w:type="dxa"/>
            <w:shd w:val="clear" w:color="auto" w:fill="C6EFCE"/>
            <w:hideMark/>
          </w:tcPr>
          <w:p w14:paraId="2BB79D0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3E106C3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320" w:type="dxa"/>
            <w:shd w:val="clear" w:color="auto" w:fill="C6EFCE"/>
          </w:tcPr>
          <w:p w14:paraId="17143CD2"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Finance</w:t>
            </w:r>
          </w:p>
        </w:tc>
        <w:tc>
          <w:tcPr>
            <w:tcW w:w="1320" w:type="dxa"/>
            <w:shd w:val="clear" w:color="auto" w:fill="C6EFCE"/>
          </w:tcPr>
          <w:p w14:paraId="7E6DF8A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5BE96A5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Summary document duly justifying how the milestone (including all the constitutive elements) was satisfactorily fulfilled, with appropriate links to the underlying evidence. </w:t>
            </w:r>
          </w:p>
          <w:p w14:paraId="24A0C09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 copy of the adopted work plan and a link to its online publication (if applicable).</w:t>
            </w:r>
          </w:p>
        </w:tc>
        <w:tc>
          <w:tcPr>
            <w:tcW w:w="1913" w:type="dxa"/>
            <w:shd w:val="clear" w:color="auto" w:fill="C6EFCE"/>
            <w:hideMark/>
          </w:tcPr>
          <w:p w14:paraId="4609B49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National Institutions Work Plan for Restraining the Shadow Economy for 2021-2022 is adopted. It includes the following activities:</w:t>
            </w:r>
          </w:p>
          <w:p w14:paraId="7D625DE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Unregistered/illegal economic activity; </w:t>
            </w:r>
          </w:p>
          <w:p w14:paraId="41BA08B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Undeclared employment; </w:t>
            </w:r>
          </w:p>
          <w:p w14:paraId="18EE2AF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Unrecorded transactions and illicit movement of goods; </w:t>
            </w:r>
          </w:p>
          <w:p w14:paraId="03F39D6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Unrecorded/uncontrolled movements of cash; </w:t>
            </w:r>
          </w:p>
          <w:p w14:paraId="33E93C9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Tax fraud </w:t>
            </w:r>
          </w:p>
          <w:p w14:paraId="15C59EE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596EEDE5" w14:textId="77777777" w:rsidR="00BA1475" w:rsidRPr="00BA1475" w:rsidRDefault="00BA1475" w:rsidP="00BA1475">
            <w:pPr>
              <w:numPr>
                <w:ilvl w:val="0"/>
                <w:numId w:val="50"/>
              </w:numPr>
              <w:spacing w:after="0" w:line="240" w:lineRule="auto"/>
              <w:ind w:left="135" w:hanging="142"/>
              <w:contextualSpacing/>
              <w:rPr>
                <w:rFonts w:ascii="Arial Narrow" w:eastAsia="Times New Roman" w:hAnsi="Arial Narrow" w:cs="Times New Roman"/>
                <w:noProof/>
                <w:kern w:val="0"/>
                <w:sz w:val="16"/>
                <w:szCs w:val="16"/>
                <w:lang w:eastAsia="en-GB"/>
                <w14:ligatures w14:val="none"/>
              </w:rPr>
            </w:pPr>
            <w:r w:rsidRPr="00BA1475">
              <w:rPr>
                <w:rFonts w:ascii="Arial Narrow" w:eastAsia="Times New Roman" w:hAnsi="Arial Narrow" w:cs="Times New Roman"/>
                <w:noProof/>
                <w:kern w:val="0"/>
                <w:sz w:val="16"/>
                <w:szCs w:val="16"/>
                <w:lang w:eastAsia="en-GB"/>
                <w14:ligatures w14:val="none"/>
              </w:rPr>
              <w:t>It</w:t>
            </w:r>
            <w:r w:rsidRPr="00BA1475">
              <w:rPr>
                <w:rFonts w:ascii="Arial Narrow" w:eastAsia="Calibri" w:hAnsi="Arial Narrow" w:cs="Times New Roman"/>
                <w:noProof/>
                <w:kern w:val="0"/>
                <w:sz w:val="16"/>
                <w:szCs w:val="16"/>
                <w14:ligatures w14:val="none"/>
              </w:rPr>
              <w:t xml:space="preserve"> shall</w:t>
            </w:r>
            <w:r w:rsidRPr="00BA1475">
              <w:rPr>
                <w:rFonts w:ascii="Arial Narrow" w:eastAsia="Times New Roman" w:hAnsi="Arial Narrow" w:cs="Times New Roman"/>
                <w:noProof/>
                <w:kern w:val="0"/>
                <w:sz w:val="16"/>
                <w:szCs w:val="16"/>
                <w:lang w:eastAsia="en-GB"/>
                <w14:ligatures w14:val="none"/>
              </w:rPr>
              <w:t xml:space="preserve"> focus on economic sectors with the highest shadow economy risk, such as construction, trade, services, security, catering and hospitality, transport.</w:t>
            </w:r>
          </w:p>
        </w:tc>
      </w:tr>
      <w:tr w:rsidR="007802BD" w:rsidRPr="00BA1475" w14:paraId="67C4EF8E" w14:textId="77777777" w:rsidTr="007802BD">
        <w:trPr>
          <w:trHeight w:val="696"/>
          <w:jc w:val="center"/>
        </w:trPr>
        <w:tc>
          <w:tcPr>
            <w:tcW w:w="500" w:type="dxa"/>
            <w:shd w:val="clear" w:color="auto" w:fill="C6EFCE"/>
            <w:hideMark/>
          </w:tcPr>
          <w:p w14:paraId="6E8C371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167</w:t>
            </w:r>
          </w:p>
        </w:tc>
        <w:tc>
          <w:tcPr>
            <w:tcW w:w="1197" w:type="dxa"/>
            <w:shd w:val="clear" w:color="auto" w:fill="C6EFCE"/>
            <w:hideMark/>
          </w:tcPr>
          <w:p w14:paraId="142A00D7"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6.1.1.r. Strengthening analytics and developing data management in the field of tax administration and customs</w:t>
            </w:r>
          </w:p>
        </w:tc>
        <w:tc>
          <w:tcPr>
            <w:tcW w:w="851" w:type="dxa"/>
            <w:shd w:val="clear" w:color="auto" w:fill="C6EFCE"/>
            <w:hideMark/>
          </w:tcPr>
          <w:p w14:paraId="2A6EF44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7D9DF5C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operation of a taxpayer rating system, optimisation of controls</w:t>
            </w:r>
          </w:p>
        </w:tc>
        <w:tc>
          <w:tcPr>
            <w:tcW w:w="1200" w:type="dxa"/>
            <w:shd w:val="clear" w:color="auto" w:fill="C6EFCE"/>
            <w:hideMark/>
          </w:tcPr>
          <w:p w14:paraId="2FEB812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legal acts</w:t>
            </w:r>
          </w:p>
        </w:tc>
        <w:tc>
          <w:tcPr>
            <w:tcW w:w="840" w:type="dxa"/>
            <w:shd w:val="clear" w:color="auto" w:fill="C6EFCE"/>
            <w:hideMark/>
          </w:tcPr>
          <w:p w14:paraId="78C7951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1BB00D0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4BF034F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592D7BE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40F7AE1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320" w:type="dxa"/>
            <w:shd w:val="clear" w:color="auto" w:fill="C6EFCE"/>
          </w:tcPr>
          <w:p w14:paraId="78DE0895"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Finance</w:t>
            </w:r>
          </w:p>
        </w:tc>
        <w:tc>
          <w:tcPr>
            <w:tcW w:w="1320" w:type="dxa"/>
            <w:shd w:val="clear" w:color="auto" w:fill="C6EFCE"/>
          </w:tcPr>
          <w:p w14:paraId="78FC3BB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7F8C5BA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46A53D6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4C32997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copy of the legislative acts on </w:t>
            </w:r>
            <w:r w:rsidRPr="00BA1475">
              <w:rPr>
                <w:rFonts w:ascii="Arial Narrow" w:eastAsia="Times New Roman" w:hAnsi="Arial Narrow" w:cs="Times New Roman"/>
                <w:noProof/>
                <w:kern w:val="0"/>
                <w:sz w:val="16"/>
                <w:szCs w:val="16"/>
                <w:lang w:val="en-GB" w:eastAsia="en-GB"/>
                <w14:ligatures w14:val="none"/>
              </w:rPr>
              <w:t xml:space="preserve">(i) the legal framework of the taxpayer rating system and (ii) optimised types of tax controls and inspections </w:t>
            </w:r>
            <w:r w:rsidRPr="00BA1475">
              <w:rPr>
                <w:rFonts w:ascii="Arial Narrow" w:eastAsia="Calibri" w:hAnsi="Arial Narrow" w:cs="Calibri"/>
                <w:noProof/>
                <w:kern w:val="0"/>
                <w:sz w:val="16"/>
                <w:szCs w:val="16"/>
                <w:lang w:val="en-GB"/>
                <w14:ligatures w14:val="none"/>
              </w:rPr>
              <w:t>and a link to the publication in the Official Journal,</w:t>
            </w:r>
            <w:r w:rsidRPr="00BA1475">
              <w:rPr>
                <w:rFonts w:ascii="Calibri" w:eastAsia="Calibri" w:hAnsi="Calibri" w:cs="Arial"/>
                <w:noProof/>
                <w:kern w:val="0"/>
                <w:lang w:val="en-GB"/>
                <w14:ligatures w14:val="none"/>
              </w:rPr>
              <w:t xml:space="preserve"> </w:t>
            </w:r>
            <w:r w:rsidRPr="00BA1475">
              <w:rPr>
                <w:rFonts w:ascii="Arial Narrow" w:eastAsia="Calibri" w:hAnsi="Arial Narrow" w:cs="Calibri"/>
                <w:noProof/>
                <w:kern w:val="0"/>
                <w:sz w:val="16"/>
                <w:szCs w:val="16"/>
                <w:lang w:val="en-GB"/>
                <w14:ligatures w14:val="none"/>
              </w:rPr>
              <w:t xml:space="preserve">including a reference to the provisions indicating the entry into force; </w:t>
            </w:r>
          </w:p>
          <w:p w14:paraId="4C36A21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internal documentary evidence confirming optimised tax controls and inspections.</w:t>
            </w:r>
          </w:p>
        </w:tc>
        <w:tc>
          <w:tcPr>
            <w:tcW w:w="1913" w:type="dxa"/>
            <w:shd w:val="clear" w:color="auto" w:fill="C6EFCE"/>
            <w:hideMark/>
          </w:tcPr>
          <w:p w14:paraId="66F5B5E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amendments to the legal acts, including:</w:t>
            </w:r>
          </w:p>
          <w:p w14:paraId="7B5065C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the legal framework of the taxpayer rating system has been included, providing the publishing of their assessment.</w:t>
            </w:r>
          </w:p>
          <w:p w14:paraId="565DCE6C" w14:textId="77777777" w:rsidR="00BA1475" w:rsidRPr="00BA1475" w:rsidRDefault="00BA1475" w:rsidP="00BA1475">
            <w:pPr>
              <w:numPr>
                <w:ilvl w:val="0"/>
                <w:numId w:val="51"/>
              </w:numPr>
              <w:spacing w:after="0" w:line="240" w:lineRule="auto"/>
              <w:ind w:left="135" w:hanging="142"/>
              <w:contextualSpacing/>
              <w:rPr>
                <w:rFonts w:ascii="Arial Narrow" w:eastAsia="Times New Roman" w:hAnsi="Arial Narrow" w:cs="Times New Roman"/>
                <w:noProof/>
                <w:kern w:val="0"/>
                <w:sz w:val="16"/>
                <w:szCs w:val="16"/>
                <w:lang w:eastAsia="en-GB"/>
                <w14:ligatures w14:val="none"/>
              </w:rPr>
            </w:pPr>
            <w:r w:rsidRPr="00BA1475">
              <w:rPr>
                <w:rFonts w:ascii="Arial Narrow" w:eastAsia="Times New Roman" w:hAnsi="Arial Narrow" w:cs="Times New Roman"/>
                <w:noProof/>
                <w:kern w:val="0"/>
                <w:sz w:val="16"/>
                <w:szCs w:val="16"/>
                <w:lang w:eastAsia="en-GB"/>
                <w14:ligatures w14:val="none"/>
              </w:rPr>
              <w:t>- optimised types of tax controls and inspections to improve the efficiency of tax controls and inspections.</w:t>
            </w:r>
          </w:p>
        </w:tc>
      </w:tr>
      <w:tr w:rsidR="007802BD" w:rsidRPr="00BA1475" w14:paraId="0CE8B294" w14:textId="77777777" w:rsidTr="007802BD">
        <w:trPr>
          <w:trHeight w:val="984"/>
          <w:jc w:val="center"/>
        </w:trPr>
        <w:tc>
          <w:tcPr>
            <w:tcW w:w="500" w:type="dxa"/>
            <w:shd w:val="clear" w:color="auto" w:fill="C6EFCE"/>
            <w:hideMark/>
          </w:tcPr>
          <w:p w14:paraId="0927112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168</w:t>
            </w:r>
          </w:p>
        </w:tc>
        <w:tc>
          <w:tcPr>
            <w:tcW w:w="1197" w:type="dxa"/>
            <w:shd w:val="clear" w:color="auto" w:fill="C6EFCE"/>
            <w:hideMark/>
          </w:tcPr>
          <w:p w14:paraId="3AC8B9BD"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6.1.1.r. Strengthening analytics and developing data management in the field of tax administration and customs</w:t>
            </w:r>
          </w:p>
        </w:tc>
        <w:tc>
          <w:tcPr>
            <w:tcW w:w="851" w:type="dxa"/>
            <w:shd w:val="clear" w:color="auto" w:fill="C6EFCE"/>
            <w:hideMark/>
          </w:tcPr>
          <w:p w14:paraId="418A5B9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73E8276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operation of a basket of data-based services for each segmentation group of taxpayers</w:t>
            </w:r>
          </w:p>
        </w:tc>
        <w:tc>
          <w:tcPr>
            <w:tcW w:w="1200" w:type="dxa"/>
            <w:shd w:val="clear" w:color="auto" w:fill="C6EFCE"/>
            <w:hideMark/>
          </w:tcPr>
          <w:p w14:paraId="2C3BED0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Changes to State Revenue Service’s internal rules and/or service provision platform(s)</w:t>
            </w:r>
          </w:p>
        </w:tc>
        <w:tc>
          <w:tcPr>
            <w:tcW w:w="840" w:type="dxa"/>
            <w:shd w:val="clear" w:color="auto" w:fill="C6EFCE"/>
            <w:hideMark/>
          </w:tcPr>
          <w:p w14:paraId="1200633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33EBB1C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741066A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343FE1F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600" w:type="dxa"/>
            <w:shd w:val="clear" w:color="auto" w:fill="C6EFCE"/>
            <w:hideMark/>
          </w:tcPr>
          <w:p w14:paraId="11CBFEB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320" w:type="dxa"/>
            <w:shd w:val="clear" w:color="auto" w:fill="C6EFCE"/>
          </w:tcPr>
          <w:p w14:paraId="59F7B1B5"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0E6956E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7A38AAB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6AF95E6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7BA6A8D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amended internal regulations outlining the principles of taxpayer segmentation and listing the services offered to each segment of taxpayers; </w:t>
            </w:r>
          </w:p>
          <w:p w14:paraId="43A85F2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document explaining the changes and benefits compared to the previous system; </w:t>
            </w:r>
          </w:p>
          <w:p w14:paraId="2D58332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Times New Roman" w:hAnsi="Arial Narrow" w:cs="Times New Roman"/>
                <w:noProof/>
                <w:kern w:val="0"/>
                <w:sz w:val="16"/>
                <w:szCs w:val="16"/>
                <w:lang w:val="en-GB" w:eastAsia="en-GB"/>
                <w14:ligatures w14:val="none"/>
              </w:rPr>
              <w:t>c) extract of the platform/channel which evidences the entry into operation of the data-based basket of services.</w:t>
            </w:r>
          </w:p>
        </w:tc>
        <w:tc>
          <w:tcPr>
            <w:tcW w:w="1913" w:type="dxa"/>
            <w:shd w:val="clear" w:color="auto" w:fill="C6EFCE"/>
            <w:hideMark/>
          </w:tcPr>
          <w:p w14:paraId="2BAFA8B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operation of a data-based basket of services for each segmentation group of taxpayers.</w:t>
            </w:r>
          </w:p>
        </w:tc>
      </w:tr>
      <w:tr w:rsidR="007802BD" w:rsidRPr="00BA1475" w14:paraId="6A6F8454" w14:textId="77777777" w:rsidTr="007802BD">
        <w:trPr>
          <w:trHeight w:val="1200"/>
          <w:jc w:val="center"/>
        </w:trPr>
        <w:tc>
          <w:tcPr>
            <w:tcW w:w="500" w:type="dxa"/>
            <w:shd w:val="clear" w:color="auto" w:fill="C6EFCE"/>
            <w:hideMark/>
          </w:tcPr>
          <w:p w14:paraId="5617846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169</w:t>
            </w:r>
          </w:p>
        </w:tc>
        <w:tc>
          <w:tcPr>
            <w:tcW w:w="1197" w:type="dxa"/>
            <w:shd w:val="clear" w:color="auto" w:fill="C6EFCE"/>
            <w:hideMark/>
          </w:tcPr>
          <w:p w14:paraId="5F4006F6"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6.1.1.r. Strengthening analytics and developing data management in the field of tax administration and customs</w:t>
            </w:r>
          </w:p>
        </w:tc>
        <w:tc>
          <w:tcPr>
            <w:tcW w:w="851" w:type="dxa"/>
            <w:shd w:val="clear" w:color="auto" w:fill="C6EFCE"/>
            <w:hideMark/>
          </w:tcPr>
          <w:p w14:paraId="3658028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6964E15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Publication of  handbook for compliance risk management </w:t>
            </w:r>
          </w:p>
        </w:tc>
        <w:tc>
          <w:tcPr>
            <w:tcW w:w="1200" w:type="dxa"/>
            <w:shd w:val="clear" w:color="auto" w:fill="C6EFCE"/>
            <w:hideMark/>
          </w:tcPr>
          <w:p w14:paraId="5E265FB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Amendments to the State Revenue Service’s internal rules</w:t>
            </w:r>
          </w:p>
        </w:tc>
        <w:tc>
          <w:tcPr>
            <w:tcW w:w="840" w:type="dxa"/>
            <w:shd w:val="clear" w:color="auto" w:fill="C6EFCE"/>
            <w:hideMark/>
          </w:tcPr>
          <w:p w14:paraId="01339CE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3417B33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0C44437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31DE025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600" w:type="dxa"/>
            <w:shd w:val="clear" w:color="auto" w:fill="C6EFCE"/>
            <w:hideMark/>
          </w:tcPr>
          <w:p w14:paraId="2D0BAED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2023</w:t>
            </w:r>
          </w:p>
        </w:tc>
        <w:tc>
          <w:tcPr>
            <w:tcW w:w="1320" w:type="dxa"/>
            <w:shd w:val="clear" w:color="auto" w:fill="C6EFCE"/>
          </w:tcPr>
          <w:p w14:paraId="343F1BED"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741F1C9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6897B11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1E72A43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2F1397E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handbook; </w:t>
            </w:r>
          </w:p>
          <w:p w14:paraId="1DB7F17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proof of publication of the handbook.</w:t>
            </w:r>
          </w:p>
        </w:tc>
        <w:tc>
          <w:tcPr>
            <w:tcW w:w="1913" w:type="dxa"/>
            <w:shd w:val="clear" w:color="auto" w:fill="C6EFCE"/>
            <w:hideMark/>
          </w:tcPr>
          <w:p w14:paraId="34B6DC3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Handbook for methodological compliance risk management of undeclared wages has been published, including:</w:t>
            </w:r>
          </w:p>
          <w:p w14:paraId="662BD59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risk assessment guidelines</w:t>
            </w:r>
          </w:p>
          <w:p w14:paraId="3AAEF6D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aspects of typologies of ‘envelope wage payers’</w:t>
            </w:r>
          </w:p>
          <w:p w14:paraId="6540C49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aspects of available preventive and control tools</w:t>
            </w:r>
          </w:p>
          <w:p w14:paraId="00C3967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analysis of court rulings in the area of undeclared wages.</w:t>
            </w:r>
          </w:p>
        </w:tc>
      </w:tr>
      <w:tr w:rsidR="007802BD" w:rsidRPr="00BA1475" w14:paraId="466AADCD" w14:textId="77777777" w:rsidTr="007802BD">
        <w:trPr>
          <w:trHeight w:val="700"/>
          <w:jc w:val="center"/>
        </w:trPr>
        <w:tc>
          <w:tcPr>
            <w:tcW w:w="500" w:type="dxa"/>
            <w:shd w:val="clear" w:color="auto" w:fill="C6EFCE"/>
            <w:hideMark/>
          </w:tcPr>
          <w:p w14:paraId="5334807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170</w:t>
            </w:r>
          </w:p>
        </w:tc>
        <w:tc>
          <w:tcPr>
            <w:tcW w:w="1197" w:type="dxa"/>
            <w:shd w:val="clear" w:color="auto" w:fill="C6EFCE"/>
            <w:hideMark/>
          </w:tcPr>
          <w:p w14:paraId="2030C3B3"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6.1.1.r. Strengthening analytics and developing data management in the field of tax administration and customs</w:t>
            </w:r>
          </w:p>
        </w:tc>
        <w:tc>
          <w:tcPr>
            <w:tcW w:w="851" w:type="dxa"/>
            <w:shd w:val="clear" w:color="auto" w:fill="C6EFCE"/>
            <w:hideMark/>
          </w:tcPr>
          <w:p w14:paraId="09D0708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1C7A0EB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Implementation of the national research programme “Reducing the shadow economy to ensure the sustainable development of the country”</w:t>
            </w:r>
          </w:p>
        </w:tc>
        <w:tc>
          <w:tcPr>
            <w:tcW w:w="1200" w:type="dxa"/>
            <w:shd w:val="clear" w:color="auto" w:fill="C6EFCE"/>
            <w:hideMark/>
          </w:tcPr>
          <w:p w14:paraId="1192446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33566AA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 of study reports</w:t>
            </w:r>
          </w:p>
        </w:tc>
        <w:tc>
          <w:tcPr>
            <w:tcW w:w="840" w:type="dxa"/>
            <w:shd w:val="clear" w:color="auto" w:fill="C6EFCE"/>
            <w:hideMark/>
          </w:tcPr>
          <w:p w14:paraId="15453BB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91" w:type="dxa"/>
            <w:shd w:val="clear" w:color="auto" w:fill="C6EFCE"/>
            <w:hideMark/>
          </w:tcPr>
          <w:p w14:paraId="1C11A3A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5</w:t>
            </w:r>
          </w:p>
        </w:tc>
        <w:tc>
          <w:tcPr>
            <w:tcW w:w="480" w:type="dxa"/>
            <w:shd w:val="clear" w:color="auto" w:fill="C6EFCE"/>
            <w:hideMark/>
          </w:tcPr>
          <w:p w14:paraId="6BC0A11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57F03A7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320" w:type="dxa"/>
            <w:shd w:val="clear" w:color="auto" w:fill="C6EFCE"/>
          </w:tcPr>
          <w:p w14:paraId="35FF6B5A"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Finance</w:t>
            </w:r>
          </w:p>
        </w:tc>
        <w:tc>
          <w:tcPr>
            <w:tcW w:w="1320" w:type="dxa"/>
            <w:shd w:val="clear" w:color="auto" w:fill="C6EFCE"/>
          </w:tcPr>
          <w:p w14:paraId="22C6352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28F23B1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6FD1A8F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594CBE4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copies of each of the 5 research papers; </w:t>
            </w:r>
          </w:p>
          <w:p w14:paraId="702BEDC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a copy of and a link to the reports on policy recommendations for tackling tax evasion; </w:t>
            </w:r>
          </w:p>
          <w:p w14:paraId="604DB22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 a copy of and a link to the reports on policy recommendations for reducing the risks of illicit money circulation; </w:t>
            </w:r>
          </w:p>
          <w:p w14:paraId="1FB93BE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d) a copy of the methodology for measurement of the shadow economy.</w:t>
            </w:r>
          </w:p>
        </w:tc>
        <w:tc>
          <w:tcPr>
            <w:tcW w:w="1913" w:type="dxa"/>
            <w:shd w:val="clear" w:color="auto" w:fill="C6EFCE"/>
            <w:hideMark/>
          </w:tcPr>
          <w:p w14:paraId="203B87F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following research in the area of tax compliance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be delivered:</w:t>
            </w:r>
          </w:p>
          <w:p w14:paraId="26DC35B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Report on the factors influencing the shadow economy in Latvia, focusing on the most significant sectors ;</w:t>
            </w:r>
          </w:p>
          <w:p w14:paraId="6906B58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Report on the determinants of tax evasion by individuals, including an analysis of the impact of level of the shadow economy on tax compliance;</w:t>
            </w:r>
          </w:p>
          <w:p w14:paraId="416DFCE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Report with policy recommendations for legislative, organisational, technological and other improvements to improve tax compliance, including an assessment of the financial impact of the proposed recommendations;</w:t>
            </w:r>
          </w:p>
          <w:p w14:paraId="338B874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Report assessing the forgone budgetary revenue resulting from illegal activities, including legislative recommendations for reducing the risks of illicit money circulation;</w:t>
            </w:r>
          </w:p>
          <w:p w14:paraId="0AD271F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Development of methodology for the measurement of shadow economy, using a dynamic "multi - indicator - multi - cause" model, including breakdown by tax types, company size and sectors. </w:t>
            </w:r>
          </w:p>
        </w:tc>
      </w:tr>
      <w:tr w:rsidR="007802BD" w:rsidRPr="00BA1475" w14:paraId="7BCADB5F" w14:textId="77777777" w:rsidTr="007802BD">
        <w:trPr>
          <w:trHeight w:val="1200"/>
          <w:jc w:val="center"/>
        </w:trPr>
        <w:tc>
          <w:tcPr>
            <w:tcW w:w="500" w:type="dxa"/>
            <w:shd w:val="clear" w:color="auto" w:fill="C6EFCE"/>
            <w:hideMark/>
          </w:tcPr>
          <w:p w14:paraId="059A7D9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171</w:t>
            </w:r>
          </w:p>
        </w:tc>
        <w:tc>
          <w:tcPr>
            <w:tcW w:w="1197" w:type="dxa"/>
            <w:shd w:val="clear" w:color="auto" w:fill="C6EFCE"/>
            <w:hideMark/>
          </w:tcPr>
          <w:p w14:paraId="12D10E2F"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6.1.1.r. Strengthening analytics and developing data management in the field of tax administration and customs</w:t>
            </w:r>
          </w:p>
        </w:tc>
        <w:tc>
          <w:tcPr>
            <w:tcW w:w="851" w:type="dxa"/>
            <w:shd w:val="clear" w:color="auto" w:fill="C6EFCE"/>
            <w:hideMark/>
          </w:tcPr>
          <w:p w14:paraId="7919CC0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6DB445A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Implementation of the research results</w:t>
            </w:r>
          </w:p>
        </w:tc>
        <w:tc>
          <w:tcPr>
            <w:tcW w:w="1200" w:type="dxa"/>
            <w:shd w:val="clear" w:color="auto" w:fill="C6EFCE"/>
            <w:hideMark/>
          </w:tcPr>
          <w:p w14:paraId="37E0610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Published assessment report of the shadow economy</w:t>
            </w:r>
          </w:p>
        </w:tc>
        <w:tc>
          <w:tcPr>
            <w:tcW w:w="840" w:type="dxa"/>
            <w:shd w:val="clear" w:color="auto" w:fill="C6EFCE"/>
            <w:hideMark/>
          </w:tcPr>
          <w:p w14:paraId="35F7D35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7F72889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91" w:type="dxa"/>
            <w:shd w:val="clear" w:color="auto" w:fill="C6EFCE"/>
            <w:hideMark/>
          </w:tcPr>
          <w:p w14:paraId="67EFE61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80" w:type="dxa"/>
            <w:shd w:val="clear" w:color="auto" w:fill="C6EFCE"/>
            <w:hideMark/>
          </w:tcPr>
          <w:p w14:paraId="795B18A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36CED5F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2023</w:t>
            </w:r>
          </w:p>
        </w:tc>
        <w:tc>
          <w:tcPr>
            <w:tcW w:w="1320" w:type="dxa"/>
            <w:shd w:val="clear" w:color="auto" w:fill="C6EFCE"/>
          </w:tcPr>
          <w:p w14:paraId="37F3C0F2"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Finance</w:t>
            </w:r>
          </w:p>
        </w:tc>
        <w:tc>
          <w:tcPr>
            <w:tcW w:w="1320" w:type="dxa"/>
            <w:shd w:val="clear" w:color="auto" w:fill="C6EFCE"/>
          </w:tcPr>
          <w:p w14:paraId="1D3DD7B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6888314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4BD6A54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a copy of and a link to the published assessment report of the shadow economy. </w:t>
            </w:r>
          </w:p>
        </w:tc>
        <w:tc>
          <w:tcPr>
            <w:tcW w:w="1913" w:type="dxa"/>
            <w:shd w:val="clear" w:color="auto" w:fill="C6EFCE"/>
            <w:hideMark/>
          </w:tcPr>
          <w:p w14:paraId="048EF7F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A first assessment report of the size of the shadow economy based on the methodology developed in 2022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be published.</w:t>
            </w:r>
          </w:p>
        </w:tc>
      </w:tr>
      <w:tr w:rsidR="007802BD" w:rsidRPr="00BA1475" w14:paraId="3E79ED08" w14:textId="77777777" w:rsidTr="007802BD">
        <w:trPr>
          <w:trHeight w:val="1200"/>
          <w:jc w:val="center"/>
        </w:trPr>
        <w:tc>
          <w:tcPr>
            <w:tcW w:w="500" w:type="dxa"/>
            <w:shd w:val="clear" w:color="auto" w:fill="C6EFCE"/>
            <w:hideMark/>
          </w:tcPr>
          <w:p w14:paraId="304ED14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172</w:t>
            </w:r>
          </w:p>
        </w:tc>
        <w:tc>
          <w:tcPr>
            <w:tcW w:w="1197" w:type="dxa"/>
            <w:shd w:val="clear" w:color="auto" w:fill="C6EFCE"/>
            <w:hideMark/>
          </w:tcPr>
          <w:p w14:paraId="5ABEB3A8"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6.1.1.1.i. Modernisation of existing analytical solutions</w:t>
            </w:r>
          </w:p>
        </w:tc>
        <w:tc>
          <w:tcPr>
            <w:tcW w:w="851" w:type="dxa"/>
            <w:shd w:val="clear" w:color="auto" w:fill="C6EFCE"/>
            <w:hideMark/>
          </w:tcPr>
          <w:p w14:paraId="60FF165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3508C71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Entry into operation of upgraded analytical solutions </w:t>
            </w:r>
          </w:p>
        </w:tc>
        <w:tc>
          <w:tcPr>
            <w:tcW w:w="1200" w:type="dxa"/>
            <w:shd w:val="clear" w:color="auto" w:fill="C6EFCE"/>
            <w:hideMark/>
          </w:tcPr>
          <w:p w14:paraId="2CC9D19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Advanced risk analysis systems developed and implemented</w:t>
            </w:r>
          </w:p>
        </w:tc>
        <w:tc>
          <w:tcPr>
            <w:tcW w:w="840" w:type="dxa"/>
            <w:shd w:val="clear" w:color="auto" w:fill="C6EFCE"/>
            <w:hideMark/>
          </w:tcPr>
          <w:p w14:paraId="557B1FD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6F826B7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796118E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1D04648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600" w:type="dxa"/>
            <w:shd w:val="clear" w:color="auto" w:fill="C6EFCE"/>
            <w:hideMark/>
          </w:tcPr>
          <w:p w14:paraId="4C9255F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320" w:type="dxa"/>
            <w:shd w:val="clear" w:color="auto" w:fill="C6EFCE"/>
          </w:tcPr>
          <w:p w14:paraId="24F85E97"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67517E6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3C6A199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4D63B0B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047EF23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certificate of completion issued in line with national legislation confirming the completion of the transfer of the risk systems </w:t>
            </w:r>
            <w:r w:rsidRPr="00BA1475">
              <w:rPr>
                <w:rFonts w:ascii="Arial Narrow" w:eastAsia="Times New Roman" w:hAnsi="Arial Narrow" w:cs="Times New Roman"/>
                <w:noProof/>
                <w:kern w:val="0"/>
                <w:sz w:val="16"/>
                <w:szCs w:val="16"/>
                <w:lang w:val="en-GB" w:eastAsia="en-GB"/>
                <w14:ligatures w14:val="none"/>
              </w:rPr>
              <w:t xml:space="preserve">to a single analytical platform, the development and implementation of the System of Risks for Individual Taxpayers and the Excise Tax Risk Management System and the transfer of the ESKORT system to the SAP HANA database; </w:t>
            </w:r>
          </w:p>
          <w:p w14:paraId="151ECF0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an extract of technical specifications linking their requirements with the fulfilment of the milestone.</w:t>
            </w:r>
          </w:p>
        </w:tc>
        <w:tc>
          <w:tcPr>
            <w:tcW w:w="1913" w:type="dxa"/>
            <w:shd w:val="clear" w:color="auto" w:fill="C6EFCE"/>
            <w:hideMark/>
          </w:tcPr>
          <w:p w14:paraId="59F8BEA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following upgrades have been completed:</w:t>
            </w:r>
          </w:p>
          <w:p w14:paraId="36B692E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Existing risk systems have been migrated to a single analytical platform.</w:t>
            </w:r>
          </w:p>
          <w:p w14:paraId="152DEB3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System of Risks for Individual Taxpayers has been developed and implemented. </w:t>
            </w:r>
          </w:p>
          <w:p w14:paraId="1DA5E4F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Excise Tax Risk Management System developed and implemented. </w:t>
            </w:r>
          </w:p>
          <w:p w14:paraId="004DA9D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ESKORT system has been transferred to the SAP HANA database.</w:t>
            </w:r>
          </w:p>
        </w:tc>
      </w:tr>
      <w:tr w:rsidR="007802BD" w:rsidRPr="00BA1475" w14:paraId="28458417" w14:textId="77777777" w:rsidTr="007802BD">
        <w:trPr>
          <w:trHeight w:val="1200"/>
          <w:jc w:val="center"/>
        </w:trPr>
        <w:tc>
          <w:tcPr>
            <w:tcW w:w="500" w:type="dxa"/>
            <w:shd w:val="clear" w:color="auto" w:fill="C6EFCE"/>
            <w:hideMark/>
          </w:tcPr>
          <w:p w14:paraId="668727C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173</w:t>
            </w:r>
          </w:p>
        </w:tc>
        <w:tc>
          <w:tcPr>
            <w:tcW w:w="1197" w:type="dxa"/>
            <w:shd w:val="clear" w:color="auto" w:fill="C6EFCE"/>
            <w:hideMark/>
          </w:tcPr>
          <w:p w14:paraId="6A0D8CF3"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6.1.1.2.i. Development of new analytical systems</w:t>
            </w:r>
          </w:p>
        </w:tc>
        <w:tc>
          <w:tcPr>
            <w:tcW w:w="851" w:type="dxa"/>
            <w:shd w:val="clear" w:color="auto" w:fill="C6EFCE"/>
            <w:hideMark/>
          </w:tcPr>
          <w:p w14:paraId="24E5450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0A9710D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operation of new analytical systems</w:t>
            </w:r>
          </w:p>
        </w:tc>
        <w:tc>
          <w:tcPr>
            <w:tcW w:w="1200" w:type="dxa"/>
            <w:shd w:val="clear" w:color="auto" w:fill="C6EFCE"/>
            <w:hideMark/>
          </w:tcPr>
          <w:p w14:paraId="606CD68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Advanced risk analysis system enters into operation</w:t>
            </w:r>
          </w:p>
        </w:tc>
        <w:tc>
          <w:tcPr>
            <w:tcW w:w="840" w:type="dxa"/>
            <w:shd w:val="clear" w:color="auto" w:fill="C6EFCE"/>
            <w:hideMark/>
          </w:tcPr>
          <w:p w14:paraId="4A6EC02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15CE5A1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286391A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0ED7975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600" w:type="dxa"/>
            <w:shd w:val="clear" w:color="auto" w:fill="C6EFCE"/>
            <w:hideMark/>
          </w:tcPr>
          <w:p w14:paraId="7FD514F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320" w:type="dxa"/>
            <w:shd w:val="clear" w:color="auto" w:fill="C6EFCE"/>
          </w:tcPr>
          <w:p w14:paraId="2C91D19F"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712399B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7DCC592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2385AB4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5A078DF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certificate of completion issued in line with national legislation confirming the development and entry into operation of the IT system for taxpayer segmentation; </w:t>
            </w:r>
          </w:p>
          <w:p w14:paraId="6EDF17A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an extract of technical specifications linking the requirements of with fulfilment of the milestone.</w:t>
            </w:r>
          </w:p>
        </w:tc>
        <w:tc>
          <w:tcPr>
            <w:tcW w:w="1913" w:type="dxa"/>
            <w:shd w:val="clear" w:color="auto" w:fill="C6EFCE"/>
            <w:hideMark/>
          </w:tcPr>
          <w:p w14:paraId="7F9B14F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An IT system for taxpayer segmentation (including integration with a published database and data visualisation in the Electronic Declaration System (EDS)) shall be developed and entered into operation. </w:t>
            </w:r>
          </w:p>
          <w:p w14:paraId="7B813E7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new system is integrated with the 360 degrees analysis of the taxpayer.</w:t>
            </w:r>
          </w:p>
        </w:tc>
      </w:tr>
      <w:tr w:rsidR="007802BD" w:rsidRPr="00BA1475" w14:paraId="71225EB9" w14:textId="77777777" w:rsidTr="007802BD">
        <w:trPr>
          <w:trHeight w:val="1200"/>
          <w:jc w:val="center"/>
        </w:trPr>
        <w:tc>
          <w:tcPr>
            <w:tcW w:w="500" w:type="dxa"/>
            <w:shd w:val="clear" w:color="auto" w:fill="C6EFCE"/>
            <w:hideMark/>
          </w:tcPr>
          <w:p w14:paraId="0DE936C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174</w:t>
            </w:r>
          </w:p>
        </w:tc>
        <w:tc>
          <w:tcPr>
            <w:tcW w:w="1197" w:type="dxa"/>
            <w:shd w:val="clear" w:color="auto" w:fill="C6EFCE"/>
            <w:hideMark/>
          </w:tcPr>
          <w:p w14:paraId="46E66022"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6.1.1.3.i. </w:t>
            </w:r>
          </w:p>
          <w:p w14:paraId="0F02BFE9"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Personnel training with analytical platform and consultancy</w:t>
            </w:r>
          </w:p>
        </w:tc>
        <w:tc>
          <w:tcPr>
            <w:tcW w:w="851" w:type="dxa"/>
            <w:shd w:val="clear" w:color="auto" w:fill="C6EFCE"/>
            <w:hideMark/>
          </w:tcPr>
          <w:p w14:paraId="7789130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60ABD50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Training of staff to work with the analytical platform</w:t>
            </w:r>
          </w:p>
        </w:tc>
        <w:tc>
          <w:tcPr>
            <w:tcW w:w="1200" w:type="dxa"/>
            <w:shd w:val="clear" w:color="auto" w:fill="C6EFCE"/>
            <w:hideMark/>
          </w:tcPr>
          <w:p w14:paraId="3B182D2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2989398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 of training certificates</w:t>
            </w:r>
          </w:p>
        </w:tc>
        <w:tc>
          <w:tcPr>
            <w:tcW w:w="840" w:type="dxa"/>
            <w:shd w:val="clear" w:color="auto" w:fill="C6EFCE"/>
            <w:hideMark/>
          </w:tcPr>
          <w:p w14:paraId="10712D1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91" w:type="dxa"/>
            <w:shd w:val="clear" w:color="auto" w:fill="C6EFCE"/>
            <w:hideMark/>
          </w:tcPr>
          <w:p w14:paraId="60DB898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50</w:t>
            </w:r>
          </w:p>
        </w:tc>
        <w:tc>
          <w:tcPr>
            <w:tcW w:w="480" w:type="dxa"/>
            <w:shd w:val="clear" w:color="auto" w:fill="C6EFCE"/>
            <w:hideMark/>
          </w:tcPr>
          <w:p w14:paraId="6138908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520E897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2023</w:t>
            </w:r>
          </w:p>
        </w:tc>
        <w:tc>
          <w:tcPr>
            <w:tcW w:w="1320" w:type="dxa"/>
            <w:shd w:val="clear" w:color="auto" w:fill="C6EFCE"/>
          </w:tcPr>
          <w:p w14:paraId="12BCEAC2"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7486DB5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749A2BD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598FD13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7D59C7D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copies of the 50 certificates proving that the training programmes have been completed; </w:t>
            </w:r>
          </w:p>
          <w:p w14:paraId="7853E73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the specifications in line with the requirements of the training (i.e. hours completed, areas of focus of the training).</w:t>
            </w:r>
          </w:p>
        </w:tc>
        <w:tc>
          <w:tcPr>
            <w:tcW w:w="1913" w:type="dxa"/>
            <w:shd w:val="clear" w:color="auto" w:fill="C6EFCE"/>
            <w:hideMark/>
          </w:tcPr>
          <w:p w14:paraId="45DAACC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50 SRS specialists have been trained to work with SAP HANA platform. The training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focus on the skills to work with SAP HANA framework and practical skills in system administration.</w:t>
            </w:r>
          </w:p>
        </w:tc>
      </w:tr>
      <w:tr w:rsidR="007802BD" w:rsidRPr="00BA1475" w14:paraId="0FEA105C" w14:textId="77777777" w:rsidTr="007802BD">
        <w:trPr>
          <w:trHeight w:val="980"/>
          <w:jc w:val="center"/>
        </w:trPr>
        <w:tc>
          <w:tcPr>
            <w:tcW w:w="500" w:type="dxa"/>
            <w:shd w:val="clear" w:color="auto" w:fill="C6EFCE"/>
            <w:hideMark/>
          </w:tcPr>
          <w:p w14:paraId="4E98CDA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175</w:t>
            </w:r>
          </w:p>
        </w:tc>
        <w:tc>
          <w:tcPr>
            <w:tcW w:w="1197" w:type="dxa"/>
            <w:shd w:val="clear" w:color="auto" w:fill="C6EFCE"/>
            <w:hideMark/>
          </w:tcPr>
          <w:p w14:paraId="57164F9E"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6.1.2.r. </w:t>
            </w:r>
          </w:p>
          <w:p w14:paraId="0DF932F9"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Remote and centralised analysis of scanned images at Customs Control Points </w:t>
            </w:r>
          </w:p>
        </w:tc>
        <w:tc>
          <w:tcPr>
            <w:tcW w:w="851" w:type="dxa"/>
            <w:shd w:val="clear" w:color="auto" w:fill="C6EFCE"/>
            <w:hideMark/>
          </w:tcPr>
          <w:p w14:paraId="2C25346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2A57306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bookmarkStart w:id="12" w:name="_Hlk146707515"/>
            <w:r w:rsidRPr="00BA1475">
              <w:rPr>
                <w:rFonts w:ascii="Arial Narrow" w:eastAsia="Times New Roman" w:hAnsi="Arial Narrow" w:cs="Times New Roman"/>
                <w:noProof/>
                <w:kern w:val="0"/>
                <w:sz w:val="16"/>
                <w:szCs w:val="16"/>
                <w:lang w:val="en-GB" w:eastAsia="en-GB"/>
                <w14:ligatures w14:val="none"/>
              </w:rPr>
              <w:t>Share of cargo images scanned by Latvian customs control points analysed remotely and centrally</w:t>
            </w:r>
            <w:bookmarkEnd w:id="12"/>
          </w:p>
        </w:tc>
        <w:tc>
          <w:tcPr>
            <w:tcW w:w="1200" w:type="dxa"/>
            <w:shd w:val="clear" w:color="auto" w:fill="C6EFCE"/>
            <w:hideMark/>
          </w:tcPr>
          <w:p w14:paraId="6DE7A31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6A69CAB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w:t>
            </w:r>
          </w:p>
        </w:tc>
        <w:tc>
          <w:tcPr>
            <w:tcW w:w="840" w:type="dxa"/>
            <w:shd w:val="clear" w:color="auto" w:fill="C6EFCE"/>
            <w:hideMark/>
          </w:tcPr>
          <w:p w14:paraId="779251B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91" w:type="dxa"/>
            <w:shd w:val="clear" w:color="auto" w:fill="C6EFCE"/>
            <w:hideMark/>
          </w:tcPr>
          <w:p w14:paraId="435538F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95</w:t>
            </w:r>
          </w:p>
        </w:tc>
        <w:tc>
          <w:tcPr>
            <w:tcW w:w="480" w:type="dxa"/>
            <w:shd w:val="clear" w:color="auto" w:fill="C6EFCE"/>
            <w:hideMark/>
          </w:tcPr>
          <w:p w14:paraId="377715C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600" w:type="dxa"/>
            <w:shd w:val="clear" w:color="auto" w:fill="C6EFCE"/>
            <w:hideMark/>
          </w:tcPr>
          <w:p w14:paraId="6E8C2A8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320" w:type="dxa"/>
            <w:shd w:val="clear" w:color="auto" w:fill="C6EFCE"/>
          </w:tcPr>
          <w:p w14:paraId="124904DE"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164C818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1012F45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42335EB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a copy of (and a link to) a summary report of the customs control activities and a document referencing its parts that are relevant for the fulfilment of the target. </w:t>
            </w:r>
          </w:p>
        </w:tc>
        <w:tc>
          <w:tcPr>
            <w:tcW w:w="1913" w:type="dxa"/>
            <w:shd w:val="clear" w:color="auto" w:fill="C6EFCE"/>
            <w:hideMark/>
          </w:tcPr>
          <w:p w14:paraId="47C5F23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95% of the cargo images are analysed centrally and remotely through the BAXE system.</w:t>
            </w:r>
          </w:p>
        </w:tc>
      </w:tr>
      <w:tr w:rsidR="007802BD" w:rsidRPr="00BA1475" w14:paraId="6EF0DAB4" w14:textId="77777777" w:rsidTr="007802BD">
        <w:trPr>
          <w:trHeight w:val="1200"/>
          <w:jc w:val="center"/>
        </w:trPr>
        <w:tc>
          <w:tcPr>
            <w:tcW w:w="500" w:type="dxa"/>
            <w:shd w:val="clear" w:color="auto" w:fill="C6EFCE"/>
            <w:hideMark/>
          </w:tcPr>
          <w:p w14:paraId="21824DE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176</w:t>
            </w:r>
          </w:p>
        </w:tc>
        <w:tc>
          <w:tcPr>
            <w:tcW w:w="1197" w:type="dxa"/>
            <w:shd w:val="clear" w:color="auto" w:fill="C6EFCE"/>
            <w:hideMark/>
          </w:tcPr>
          <w:p w14:paraId="1EF2438C"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6.1.2.1.i. </w:t>
            </w:r>
          </w:p>
          <w:p w14:paraId="4F161C0A"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Linking railway x-ray equipment to BAXE and use of artificial intelligence for rail freight scanning image analysis</w:t>
            </w:r>
          </w:p>
        </w:tc>
        <w:tc>
          <w:tcPr>
            <w:tcW w:w="851" w:type="dxa"/>
            <w:shd w:val="clear" w:color="auto" w:fill="C6EFCE"/>
            <w:hideMark/>
          </w:tcPr>
          <w:p w14:paraId="1E3E7EB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5E90904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Railway customs control points’ scanners connected to x-ray images exchange system BAXE</w:t>
            </w:r>
          </w:p>
        </w:tc>
        <w:tc>
          <w:tcPr>
            <w:tcW w:w="1200" w:type="dxa"/>
            <w:shd w:val="clear" w:color="auto" w:fill="C6EFCE"/>
            <w:hideMark/>
          </w:tcPr>
          <w:p w14:paraId="6AFB73B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Deed of acceptance signed</w:t>
            </w:r>
          </w:p>
        </w:tc>
        <w:tc>
          <w:tcPr>
            <w:tcW w:w="840" w:type="dxa"/>
            <w:shd w:val="clear" w:color="auto" w:fill="C6EFCE"/>
            <w:hideMark/>
          </w:tcPr>
          <w:p w14:paraId="4B932CB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68273E6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44929C3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477EA6F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Q1</w:t>
            </w:r>
          </w:p>
        </w:tc>
        <w:tc>
          <w:tcPr>
            <w:tcW w:w="600" w:type="dxa"/>
            <w:shd w:val="clear" w:color="auto" w:fill="C6EFCE"/>
            <w:hideMark/>
          </w:tcPr>
          <w:p w14:paraId="60D74CA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3EA4B275"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4F5EFBC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09EE1A3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0E70CC2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1853FC8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a copy of the certificate of completion issued in line with national legislation confirming the linking the scanners at the control points in</w:t>
            </w:r>
            <w:r w:rsidRPr="00BA1475">
              <w:rPr>
                <w:rFonts w:ascii="Arial Narrow" w:eastAsia="Times New Roman" w:hAnsi="Arial Narrow" w:cs="Times New Roman"/>
                <w:noProof/>
                <w:kern w:val="0"/>
                <w:sz w:val="16"/>
                <w:szCs w:val="16"/>
                <w:lang w:val="en-GB" w:eastAsia="en-GB"/>
                <w14:ligatures w14:val="none"/>
              </w:rPr>
              <w:t xml:space="preserve"> Indra and Karsava </w:t>
            </w:r>
            <w:r w:rsidRPr="00BA1475">
              <w:rPr>
                <w:rFonts w:ascii="Arial Narrow" w:eastAsia="Calibri" w:hAnsi="Arial Narrow" w:cs="Calibri"/>
                <w:noProof/>
                <w:kern w:val="0"/>
                <w:sz w:val="16"/>
                <w:szCs w:val="16"/>
                <w:lang w:val="en-GB"/>
                <w14:ligatures w14:val="none"/>
              </w:rPr>
              <w:t xml:space="preserve">with the BAXE system; </w:t>
            </w:r>
          </w:p>
          <w:p w14:paraId="690ADDF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an extract of technical specifications linking the requirements of with fulfilment of the milestone.</w:t>
            </w:r>
          </w:p>
        </w:tc>
        <w:tc>
          <w:tcPr>
            <w:tcW w:w="1913" w:type="dxa"/>
            <w:shd w:val="clear" w:color="auto" w:fill="C6EFCE"/>
            <w:hideMark/>
          </w:tcPr>
          <w:p w14:paraId="60F3402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Railway scanners at customs control points in Indra and Karsava connected to BAXE information system.</w:t>
            </w:r>
          </w:p>
        </w:tc>
      </w:tr>
      <w:tr w:rsidR="007802BD" w:rsidRPr="00BA1475" w14:paraId="6996E1E2" w14:textId="77777777" w:rsidTr="007802BD">
        <w:trPr>
          <w:trHeight w:val="558"/>
          <w:jc w:val="center"/>
        </w:trPr>
        <w:tc>
          <w:tcPr>
            <w:tcW w:w="500" w:type="dxa"/>
            <w:shd w:val="clear" w:color="auto" w:fill="C6EFCE"/>
            <w:hideMark/>
          </w:tcPr>
          <w:p w14:paraId="2903109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177</w:t>
            </w:r>
          </w:p>
        </w:tc>
        <w:tc>
          <w:tcPr>
            <w:tcW w:w="1197" w:type="dxa"/>
            <w:shd w:val="clear" w:color="auto" w:fill="C6EFCE"/>
            <w:hideMark/>
          </w:tcPr>
          <w:p w14:paraId="75A16685"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6.1.2.1.i. </w:t>
            </w:r>
          </w:p>
          <w:p w14:paraId="4BE6F673"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Linking railway x-ray equipment to BAXE and use of artificial intelligence for the analysis of rail freight scanning images </w:t>
            </w:r>
          </w:p>
        </w:tc>
        <w:tc>
          <w:tcPr>
            <w:tcW w:w="851" w:type="dxa"/>
            <w:shd w:val="clear" w:color="auto" w:fill="C6EFCE"/>
            <w:hideMark/>
          </w:tcPr>
          <w:p w14:paraId="7689769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129840E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Rail Freight scanned image analysis platform introduced</w:t>
            </w:r>
          </w:p>
        </w:tc>
        <w:tc>
          <w:tcPr>
            <w:tcW w:w="1200" w:type="dxa"/>
            <w:shd w:val="clear" w:color="auto" w:fill="C6EFCE"/>
            <w:hideMark/>
          </w:tcPr>
          <w:p w14:paraId="75FE85B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Deed of acceptance signed</w:t>
            </w:r>
          </w:p>
        </w:tc>
        <w:tc>
          <w:tcPr>
            <w:tcW w:w="840" w:type="dxa"/>
            <w:shd w:val="clear" w:color="auto" w:fill="C6EFCE"/>
            <w:hideMark/>
          </w:tcPr>
          <w:p w14:paraId="405C358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2C7EBF6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1580DAA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0B523B6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Q1</w:t>
            </w:r>
          </w:p>
        </w:tc>
        <w:tc>
          <w:tcPr>
            <w:tcW w:w="600" w:type="dxa"/>
            <w:shd w:val="clear" w:color="auto" w:fill="C6EFCE"/>
            <w:hideMark/>
          </w:tcPr>
          <w:p w14:paraId="6CBC968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320" w:type="dxa"/>
            <w:shd w:val="clear" w:color="auto" w:fill="C6EFCE"/>
          </w:tcPr>
          <w:p w14:paraId="19E6E1C1"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496F6B9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527EC4A9" w14:textId="77777777" w:rsidR="00BA1475" w:rsidRPr="00BA1475" w:rsidRDefault="00BA1475" w:rsidP="00BA1475">
            <w:pPr>
              <w:spacing w:after="12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milestone(including all the constitutive elements) was satisfactorily fulfilled, with appropriate links to the underlying evidence.</w:t>
            </w:r>
          </w:p>
          <w:p w14:paraId="644B749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3DC3AB1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certificate of completion issued in line with national legislation confirming the </w:t>
            </w:r>
            <w:r w:rsidRPr="00BA1475">
              <w:rPr>
                <w:rFonts w:ascii="Arial Narrow" w:eastAsia="Times New Roman" w:hAnsi="Arial Narrow" w:cs="Times New Roman"/>
                <w:noProof/>
                <w:kern w:val="0"/>
                <w:sz w:val="16"/>
                <w:szCs w:val="16"/>
                <w:lang w:val="en-GB" w:eastAsia="en-GB"/>
                <w14:ligatures w14:val="none"/>
              </w:rPr>
              <w:t xml:space="preserve">automated x-ray image analysis platform using artificial intelligence is in use for the analysis of railway cargo scanning images; </w:t>
            </w:r>
          </w:p>
          <w:p w14:paraId="1687E8C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an extract of technical specifications linking their requirements with fulfilment of the milestone.</w:t>
            </w:r>
          </w:p>
        </w:tc>
        <w:tc>
          <w:tcPr>
            <w:tcW w:w="1913" w:type="dxa"/>
            <w:shd w:val="clear" w:color="auto" w:fill="C6EFCE"/>
            <w:hideMark/>
          </w:tcPr>
          <w:p w14:paraId="76F9D61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An automated x-ray image analysis platform using artificial intelligence is in use for the analysis of railway cargo scanning images.</w:t>
            </w:r>
          </w:p>
        </w:tc>
      </w:tr>
      <w:tr w:rsidR="007802BD" w:rsidRPr="00BA1475" w14:paraId="798CC4AC" w14:textId="77777777" w:rsidTr="007802BD">
        <w:trPr>
          <w:trHeight w:val="1200"/>
          <w:jc w:val="center"/>
        </w:trPr>
        <w:tc>
          <w:tcPr>
            <w:tcW w:w="500" w:type="dxa"/>
            <w:shd w:val="clear" w:color="auto" w:fill="C6EFCE"/>
            <w:hideMark/>
          </w:tcPr>
          <w:p w14:paraId="5C64777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178</w:t>
            </w:r>
          </w:p>
        </w:tc>
        <w:tc>
          <w:tcPr>
            <w:tcW w:w="1197" w:type="dxa"/>
            <w:shd w:val="clear" w:color="auto" w:fill="C6EFCE"/>
            <w:hideMark/>
          </w:tcPr>
          <w:p w14:paraId="1548CED4"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6.1.2.2.i. </w:t>
            </w:r>
          </w:p>
          <w:p w14:paraId="25335B62"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Capacity building of the Customs Laboratory</w:t>
            </w:r>
          </w:p>
        </w:tc>
        <w:tc>
          <w:tcPr>
            <w:tcW w:w="851" w:type="dxa"/>
            <w:shd w:val="clear" w:color="auto" w:fill="C6EFCE"/>
            <w:hideMark/>
          </w:tcPr>
          <w:p w14:paraId="3E45733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0961590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Purchased and installed spectrophotometer for use in the Customs Laboratory </w:t>
            </w:r>
          </w:p>
        </w:tc>
        <w:tc>
          <w:tcPr>
            <w:tcW w:w="1200" w:type="dxa"/>
            <w:shd w:val="clear" w:color="auto" w:fill="C6EFCE"/>
            <w:hideMark/>
          </w:tcPr>
          <w:p w14:paraId="76A016E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Deed of acceptance signed</w:t>
            </w:r>
          </w:p>
        </w:tc>
        <w:tc>
          <w:tcPr>
            <w:tcW w:w="840" w:type="dxa"/>
            <w:shd w:val="clear" w:color="auto" w:fill="C6EFCE"/>
            <w:hideMark/>
          </w:tcPr>
          <w:p w14:paraId="769CC90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77D91BA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5F060D1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062FF85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795770D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320" w:type="dxa"/>
            <w:shd w:val="clear" w:color="auto" w:fill="C6EFCE"/>
          </w:tcPr>
          <w:p w14:paraId="2A916B6F"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27D34E2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7069026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078F29E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1A46503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certificate of completion issued in line with national legislation confirming the installation of the spectrophotometer at the Customs Laboratory; </w:t>
            </w:r>
          </w:p>
          <w:p w14:paraId="16801FA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an extract of technical specifications linking their requirements with fulfilment of the milestone.</w:t>
            </w:r>
          </w:p>
        </w:tc>
        <w:tc>
          <w:tcPr>
            <w:tcW w:w="1913" w:type="dxa"/>
            <w:shd w:val="clear" w:color="auto" w:fill="C6EFCE"/>
            <w:hideMark/>
          </w:tcPr>
          <w:p w14:paraId="4C4B230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spectrophotometer is set up and in use at the Customs Laboratory.</w:t>
            </w:r>
          </w:p>
        </w:tc>
      </w:tr>
      <w:tr w:rsidR="007802BD" w:rsidRPr="00BA1475" w14:paraId="3DDEC3B6" w14:textId="77777777" w:rsidTr="007802BD">
        <w:trPr>
          <w:trHeight w:val="983"/>
          <w:jc w:val="center"/>
        </w:trPr>
        <w:tc>
          <w:tcPr>
            <w:tcW w:w="500" w:type="dxa"/>
            <w:shd w:val="clear" w:color="auto" w:fill="C6EFCE"/>
            <w:hideMark/>
          </w:tcPr>
          <w:p w14:paraId="2861EC9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179</w:t>
            </w:r>
          </w:p>
        </w:tc>
        <w:tc>
          <w:tcPr>
            <w:tcW w:w="1197" w:type="dxa"/>
            <w:shd w:val="clear" w:color="auto" w:fill="C6EFCE"/>
            <w:hideMark/>
          </w:tcPr>
          <w:p w14:paraId="4FBE9BFF"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6.1.2.2.i. </w:t>
            </w:r>
          </w:p>
          <w:p w14:paraId="5E736D7C"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Capacity building of the Customs Laboratory</w:t>
            </w:r>
          </w:p>
        </w:tc>
        <w:tc>
          <w:tcPr>
            <w:tcW w:w="851" w:type="dxa"/>
            <w:shd w:val="clear" w:color="auto" w:fill="C6EFCE"/>
            <w:hideMark/>
          </w:tcPr>
          <w:p w14:paraId="0D3C24D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575CEF3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Purchased and installed spectrophotometer for use in Airport customs control point</w:t>
            </w:r>
          </w:p>
        </w:tc>
        <w:tc>
          <w:tcPr>
            <w:tcW w:w="1200" w:type="dxa"/>
            <w:shd w:val="clear" w:color="auto" w:fill="C6EFCE"/>
            <w:hideMark/>
          </w:tcPr>
          <w:p w14:paraId="2351FEE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Deed of acceptance signed</w:t>
            </w:r>
          </w:p>
        </w:tc>
        <w:tc>
          <w:tcPr>
            <w:tcW w:w="840" w:type="dxa"/>
            <w:shd w:val="clear" w:color="auto" w:fill="C6EFCE"/>
            <w:hideMark/>
          </w:tcPr>
          <w:p w14:paraId="1BACA94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49E7D07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5D34D80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4F50F90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706E9C5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320" w:type="dxa"/>
            <w:shd w:val="clear" w:color="auto" w:fill="C6EFCE"/>
          </w:tcPr>
          <w:p w14:paraId="5E70C025"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2688461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54F6142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7F71268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32DF6ED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certificate of completion issued in line with national legislation confirming the installation and use of the spectrophotometer at the airport customs control point; </w:t>
            </w:r>
          </w:p>
          <w:p w14:paraId="40AB324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an extract of technical specifications linking the requirements of with fulfilment of the milestone.</w:t>
            </w:r>
          </w:p>
        </w:tc>
        <w:tc>
          <w:tcPr>
            <w:tcW w:w="1913" w:type="dxa"/>
            <w:shd w:val="clear" w:color="auto" w:fill="C6EFCE"/>
            <w:hideMark/>
          </w:tcPr>
          <w:p w14:paraId="02B3916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spectrophotometer is set up and in use at the airport customs control point.</w:t>
            </w:r>
          </w:p>
        </w:tc>
      </w:tr>
      <w:tr w:rsidR="007802BD" w:rsidRPr="00BA1475" w14:paraId="614D69AC" w14:textId="77777777" w:rsidTr="007802BD">
        <w:trPr>
          <w:trHeight w:val="1405"/>
          <w:jc w:val="center"/>
        </w:trPr>
        <w:tc>
          <w:tcPr>
            <w:tcW w:w="500" w:type="dxa"/>
            <w:shd w:val="clear" w:color="auto" w:fill="C6EFCE"/>
            <w:hideMark/>
          </w:tcPr>
          <w:p w14:paraId="2606F10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180</w:t>
            </w:r>
          </w:p>
        </w:tc>
        <w:tc>
          <w:tcPr>
            <w:tcW w:w="1197" w:type="dxa"/>
            <w:shd w:val="clear" w:color="auto" w:fill="C6EFCE"/>
            <w:hideMark/>
          </w:tcPr>
          <w:p w14:paraId="7359E7E5"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6.1.2.3.i. Improvement of customs control of received postal items at Airport customs control point</w:t>
            </w:r>
          </w:p>
        </w:tc>
        <w:tc>
          <w:tcPr>
            <w:tcW w:w="851" w:type="dxa"/>
            <w:shd w:val="clear" w:color="auto" w:fill="C6EFCE"/>
            <w:hideMark/>
          </w:tcPr>
          <w:p w14:paraId="5B221F2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4712B2E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Calibri" w:hAnsi="Arial Narrow" w:cs="Times New Roman"/>
                <w:noProof/>
                <w:kern w:val="0"/>
                <w:sz w:val="16"/>
                <w:szCs w:val="16"/>
                <w:lang w:val="en-GB" w:eastAsia="en-GB"/>
                <w14:ligatures w14:val="none"/>
              </w:rPr>
              <w:t>A line for intelligent scanned and automatic sorting/analysis of postal items introduced at the Airport customs control point</w:t>
            </w:r>
          </w:p>
        </w:tc>
        <w:tc>
          <w:tcPr>
            <w:tcW w:w="1200" w:type="dxa"/>
            <w:shd w:val="clear" w:color="auto" w:fill="C6EFCE"/>
            <w:hideMark/>
          </w:tcPr>
          <w:p w14:paraId="336517B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Deed of acceptance signed</w:t>
            </w:r>
          </w:p>
        </w:tc>
        <w:tc>
          <w:tcPr>
            <w:tcW w:w="840" w:type="dxa"/>
            <w:shd w:val="clear" w:color="auto" w:fill="C6EFCE"/>
            <w:hideMark/>
          </w:tcPr>
          <w:p w14:paraId="484A8C6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6EF8767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4CE4F45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067F84D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Q1</w:t>
            </w:r>
          </w:p>
        </w:tc>
        <w:tc>
          <w:tcPr>
            <w:tcW w:w="600" w:type="dxa"/>
            <w:shd w:val="clear" w:color="auto" w:fill="C6EFCE"/>
            <w:hideMark/>
          </w:tcPr>
          <w:p w14:paraId="65187CB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7774F99A"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5D987E9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3E3CFAD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4470B6D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3324408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certificate of completion issued in line with national legislation confirming the installation of the smart mail scanning system at the airport </w:t>
            </w:r>
            <w:r w:rsidRPr="00BA1475">
              <w:rPr>
                <w:rFonts w:ascii="Arial Narrow" w:eastAsia="Times New Roman" w:hAnsi="Arial Narrow" w:cs="Times New Roman"/>
                <w:noProof/>
                <w:kern w:val="0"/>
                <w:sz w:val="16"/>
                <w:szCs w:val="16"/>
                <w:lang w:val="en-GB" w:eastAsia="en-GB"/>
                <w14:ligatures w14:val="none"/>
              </w:rPr>
              <w:t xml:space="preserve">customs control point; </w:t>
            </w:r>
          </w:p>
          <w:p w14:paraId="10CC921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an extract of technical specifications linking the requirements of with fulfilment of the milestone.</w:t>
            </w:r>
          </w:p>
          <w:p w14:paraId="130DAA1E" w14:textId="77777777" w:rsidR="00BA1475" w:rsidRPr="00BA1475" w:rsidRDefault="00BA1475" w:rsidP="00BA1475">
            <w:pPr>
              <w:spacing w:after="200" w:line="240" w:lineRule="auto"/>
              <w:rPr>
                <w:rFonts w:ascii="Arial Narrow" w:eastAsia="Calibri" w:hAnsi="Arial Narrow" w:cs="Calibri"/>
                <w:noProof/>
                <w:kern w:val="0"/>
                <w:sz w:val="16"/>
                <w:szCs w:val="16"/>
                <w:lang w:val="en-GB"/>
                <w14:ligatures w14:val="none"/>
              </w:rPr>
            </w:pPr>
          </w:p>
        </w:tc>
        <w:tc>
          <w:tcPr>
            <w:tcW w:w="1913" w:type="dxa"/>
            <w:shd w:val="clear" w:color="auto" w:fill="C6EFCE"/>
            <w:hideMark/>
          </w:tcPr>
          <w:p w14:paraId="0E43FCF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smart mail scanning and automatic sorting/analysis line is set up and in use at the airport customs control point.</w:t>
            </w:r>
          </w:p>
        </w:tc>
      </w:tr>
      <w:tr w:rsidR="007802BD" w:rsidRPr="00BA1475" w14:paraId="00443260" w14:textId="77777777" w:rsidTr="007802BD">
        <w:trPr>
          <w:trHeight w:val="699"/>
          <w:jc w:val="center"/>
        </w:trPr>
        <w:tc>
          <w:tcPr>
            <w:tcW w:w="500" w:type="dxa"/>
            <w:shd w:val="clear" w:color="auto" w:fill="C6EFCE"/>
            <w:hideMark/>
          </w:tcPr>
          <w:p w14:paraId="71DBDDA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181</w:t>
            </w:r>
          </w:p>
        </w:tc>
        <w:tc>
          <w:tcPr>
            <w:tcW w:w="1197" w:type="dxa"/>
            <w:shd w:val="clear" w:color="auto" w:fill="C6EFCE"/>
            <w:hideMark/>
          </w:tcPr>
          <w:p w14:paraId="1AD408CC"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6.1.2.4.i. </w:t>
            </w:r>
          </w:p>
          <w:p w14:paraId="53623095"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Creation of infrastructure for the performance of control services in Kundziņsala</w:t>
            </w:r>
          </w:p>
        </w:tc>
        <w:tc>
          <w:tcPr>
            <w:tcW w:w="851" w:type="dxa"/>
            <w:shd w:val="clear" w:color="auto" w:fill="C6EFCE"/>
            <w:hideMark/>
          </w:tcPr>
          <w:p w14:paraId="78EE9FF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757CA14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fr-BE" w:eastAsia="en-GB"/>
                <w14:ligatures w14:val="none"/>
              </w:rPr>
            </w:pPr>
            <w:r w:rsidRPr="00BA1475">
              <w:rPr>
                <w:rFonts w:ascii="Arial Narrow" w:eastAsia="Times New Roman" w:hAnsi="Arial Narrow" w:cs="Times New Roman"/>
                <w:noProof/>
                <w:kern w:val="0"/>
                <w:sz w:val="16"/>
                <w:szCs w:val="16"/>
                <w:lang w:val="en-GB" w:eastAsia="en-GB"/>
                <w14:ligatures w14:val="none"/>
              </w:rPr>
              <w:t>Joint design – construction contract signed</w:t>
            </w:r>
          </w:p>
        </w:tc>
        <w:tc>
          <w:tcPr>
            <w:tcW w:w="1200" w:type="dxa"/>
            <w:shd w:val="clear" w:color="auto" w:fill="C6EFCE"/>
            <w:hideMark/>
          </w:tcPr>
          <w:p w14:paraId="4943D7B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Construction and design contract signed</w:t>
            </w:r>
          </w:p>
        </w:tc>
        <w:tc>
          <w:tcPr>
            <w:tcW w:w="840" w:type="dxa"/>
            <w:shd w:val="clear" w:color="auto" w:fill="C6EFCE"/>
            <w:hideMark/>
          </w:tcPr>
          <w:p w14:paraId="4AB766D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78F20EE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79321C2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126F614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600" w:type="dxa"/>
            <w:shd w:val="clear" w:color="auto" w:fill="C6EFCE"/>
            <w:hideMark/>
          </w:tcPr>
          <w:p w14:paraId="55F3E1E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2023</w:t>
            </w:r>
          </w:p>
        </w:tc>
        <w:tc>
          <w:tcPr>
            <w:tcW w:w="1320" w:type="dxa"/>
            <w:shd w:val="clear" w:color="auto" w:fill="C6EFCE"/>
          </w:tcPr>
          <w:p w14:paraId="082DE6C3"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 SJSC “State Real Estate”</w:t>
            </w:r>
          </w:p>
        </w:tc>
        <w:tc>
          <w:tcPr>
            <w:tcW w:w="1320" w:type="dxa"/>
            <w:shd w:val="clear" w:color="auto" w:fill="C6EFCE"/>
          </w:tcPr>
          <w:p w14:paraId="63FA6EC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19789B0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42DFB04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1A7BA7F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signed contract for the design and construction of the customs control infrastructure in Kundzinsala; </w:t>
            </w:r>
          </w:p>
          <w:p w14:paraId="14E7330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 copy of and a link to the tender publication.</w:t>
            </w:r>
          </w:p>
        </w:tc>
        <w:tc>
          <w:tcPr>
            <w:tcW w:w="1913" w:type="dxa"/>
            <w:shd w:val="clear" w:color="auto" w:fill="C6EFCE"/>
            <w:hideMark/>
          </w:tcPr>
          <w:p w14:paraId="049C6E6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contract for the design and construction of infrastructure for the control services at Kundzinsala has been signed following a tender procedure.</w:t>
            </w:r>
          </w:p>
        </w:tc>
      </w:tr>
      <w:tr w:rsidR="007802BD" w:rsidRPr="00BA1475" w14:paraId="5CA20C43" w14:textId="77777777" w:rsidTr="007802BD">
        <w:trPr>
          <w:trHeight w:val="1200"/>
          <w:jc w:val="center"/>
        </w:trPr>
        <w:tc>
          <w:tcPr>
            <w:tcW w:w="500" w:type="dxa"/>
            <w:shd w:val="clear" w:color="auto" w:fill="C6EFCE"/>
            <w:hideMark/>
          </w:tcPr>
          <w:p w14:paraId="534D2EE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182</w:t>
            </w:r>
          </w:p>
        </w:tc>
        <w:tc>
          <w:tcPr>
            <w:tcW w:w="1197" w:type="dxa"/>
            <w:shd w:val="clear" w:color="auto" w:fill="C6EFCE"/>
            <w:hideMark/>
          </w:tcPr>
          <w:p w14:paraId="530CCC80"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6.1.2.4.i. </w:t>
            </w:r>
          </w:p>
          <w:p w14:paraId="2D0E3367"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Creation of infrastructure for the performance of control services in Kundziņsala</w:t>
            </w:r>
          </w:p>
        </w:tc>
        <w:tc>
          <w:tcPr>
            <w:tcW w:w="851" w:type="dxa"/>
            <w:shd w:val="clear" w:color="auto" w:fill="C6EFCE"/>
            <w:hideMark/>
          </w:tcPr>
          <w:p w14:paraId="14D6B54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0BF5743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Building permit received</w:t>
            </w:r>
          </w:p>
        </w:tc>
        <w:tc>
          <w:tcPr>
            <w:tcW w:w="1200" w:type="dxa"/>
            <w:shd w:val="clear" w:color="auto" w:fill="C6EFCE"/>
            <w:hideMark/>
          </w:tcPr>
          <w:p w14:paraId="6277E20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Notification of the permit approval decision</w:t>
            </w:r>
          </w:p>
        </w:tc>
        <w:tc>
          <w:tcPr>
            <w:tcW w:w="840" w:type="dxa"/>
            <w:shd w:val="clear" w:color="auto" w:fill="C6EFCE"/>
            <w:hideMark/>
          </w:tcPr>
          <w:p w14:paraId="2C2813E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189005B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683923C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731EC71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600" w:type="dxa"/>
            <w:shd w:val="clear" w:color="auto" w:fill="C6EFCE"/>
            <w:hideMark/>
          </w:tcPr>
          <w:p w14:paraId="7EC8748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320" w:type="dxa"/>
            <w:shd w:val="clear" w:color="auto" w:fill="C6EFCE"/>
          </w:tcPr>
          <w:p w14:paraId="6B2A46B6"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 SJSC “State Real Estate”</w:t>
            </w:r>
          </w:p>
        </w:tc>
        <w:tc>
          <w:tcPr>
            <w:tcW w:w="1320" w:type="dxa"/>
            <w:shd w:val="clear" w:color="auto" w:fill="C6EFCE"/>
          </w:tcPr>
          <w:p w14:paraId="4FE7A9D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056B11A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lang w:val="en-GB"/>
                <w14:ligatures w14:val="none"/>
              </w:rPr>
              <w:t>Summary document duly justifying how the milestone (including all the constitutive elements) was satisfactorily fulfilled, with appropriate links to the underlying evidence.</w:t>
            </w:r>
          </w:p>
          <w:p w14:paraId="7790A26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lang w:val="en-GB"/>
                <w14:ligatures w14:val="none"/>
              </w:rPr>
              <w:t>This document shall include as an annex a copy of the approval of the construction project and the permit approval decision by the Construction Board and a copy of the approved building permit.</w:t>
            </w:r>
            <w:r w:rsidRPr="00BA1475">
              <w:rPr>
                <w:rFonts w:ascii="Arial Narrow" w:eastAsia="Calibri" w:hAnsi="Arial Narrow" w:cs="Calibri"/>
                <w:noProof/>
                <w:kern w:val="0"/>
                <w:sz w:val="16"/>
                <w:szCs w:val="16"/>
                <w:lang w:val="en-GB"/>
                <w14:ligatures w14:val="none"/>
              </w:rPr>
              <w:t xml:space="preserve"> </w:t>
            </w:r>
          </w:p>
        </w:tc>
        <w:tc>
          <w:tcPr>
            <w:tcW w:w="1913" w:type="dxa"/>
            <w:shd w:val="clear" w:color="auto" w:fill="C6EFCE"/>
            <w:hideMark/>
          </w:tcPr>
          <w:p w14:paraId="02B45EB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building permit has been received from the Construction Board.</w:t>
            </w:r>
          </w:p>
        </w:tc>
      </w:tr>
      <w:tr w:rsidR="007802BD" w:rsidRPr="00BA1475" w14:paraId="30445EC5" w14:textId="77777777" w:rsidTr="007802BD">
        <w:trPr>
          <w:trHeight w:val="1200"/>
          <w:jc w:val="center"/>
        </w:trPr>
        <w:tc>
          <w:tcPr>
            <w:tcW w:w="500" w:type="dxa"/>
            <w:shd w:val="clear" w:color="auto" w:fill="C6EFCE"/>
            <w:hideMark/>
          </w:tcPr>
          <w:p w14:paraId="4FBD3D4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183</w:t>
            </w:r>
          </w:p>
        </w:tc>
        <w:tc>
          <w:tcPr>
            <w:tcW w:w="1197" w:type="dxa"/>
            <w:shd w:val="clear" w:color="auto" w:fill="C6EFCE"/>
            <w:hideMark/>
          </w:tcPr>
          <w:p w14:paraId="29E3F26E"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6.1.2.4.i. </w:t>
            </w:r>
          </w:p>
          <w:p w14:paraId="28D83D8E"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Creation of infrastructure for the performance of control services in Kundziņsala</w:t>
            </w:r>
          </w:p>
        </w:tc>
        <w:tc>
          <w:tcPr>
            <w:tcW w:w="851" w:type="dxa"/>
            <w:shd w:val="clear" w:color="auto" w:fill="C6EFCE"/>
            <w:hideMark/>
          </w:tcPr>
          <w:p w14:paraId="0ABE310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3D6B951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bookmarkStart w:id="13" w:name="_Hlk146707537"/>
            <w:r w:rsidRPr="00BA1475">
              <w:rPr>
                <w:rFonts w:ascii="Arial Narrow" w:eastAsia="Times New Roman" w:hAnsi="Arial Narrow" w:cs="Times New Roman"/>
                <w:noProof/>
                <w:kern w:val="0"/>
                <w:sz w:val="16"/>
                <w:szCs w:val="16"/>
                <w:lang w:val="en-GB" w:eastAsia="en-GB"/>
                <w14:ligatures w14:val="none"/>
              </w:rPr>
              <w:t>The cycle of the enclosing structures has been completed</w:t>
            </w:r>
            <w:bookmarkEnd w:id="13"/>
          </w:p>
        </w:tc>
        <w:tc>
          <w:tcPr>
            <w:tcW w:w="1200" w:type="dxa"/>
            <w:shd w:val="clear" w:color="auto" w:fill="C6EFCE"/>
            <w:hideMark/>
          </w:tcPr>
          <w:p w14:paraId="63443C8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Construction act (Form 2 and Form 3)</w:t>
            </w:r>
          </w:p>
        </w:tc>
        <w:tc>
          <w:tcPr>
            <w:tcW w:w="840" w:type="dxa"/>
            <w:shd w:val="clear" w:color="auto" w:fill="C6EFCE"/>
            <w:hideMark/>
          </w:tcPr>
          <w:p w14:paraId="4BD2A2F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6AC3BA9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91" w:type="dxa"/>
            <w:shd w:val="clear" w:color="auto" w:fill="C6EFCE"/>
            <w:hideMark/>
          </w:tcPr>
          <w:p w14:paraId="71DA4EA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80" w:type="dxa"/>
            <w:shd w:val="clear" w:color="auto" w:fill="C6EFCE"/>
            <w:hideMark/>
          </w:tcPr>
          <w:p w14:paraId="5F07688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600" w:type="dxa"/>
            <w:shd w:val="clear" w:color="auto" w:fill="C6EFCE"/>
            <w:hideMark/>
          </w:tcPr>
          <w:p w14:paraId="3A41EE9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320" w:type="dxa"/>
            <w:shd w:val="clear" w:color="auto" w:fill="C6EFCE"/>
          </w:tcPr>
          <w:p w14:paraId="0E69FD41"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 SJSC “State Real Estate”</w:t>
            </w:r>
          </w:p>
        </w:tc>
        <w:tc>
          <w:tcPr>
            <w:tcW w:w="1320" w:type="dxa"/>
            <w:shd w:val="clear" w:color="auto" w:fill="C6EFCE"/>
          </w:tcPr>
          <w:p w14:paraId="1325728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1EA70BD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lang w:val="en-GB"/>
                <w14:ligatures w14:val="none"/>
              </w:rPr>
              <w:t>Summary document duly justifying how the milestone (including all the constitutive elements) was satisfactorily fulfilled, with appropriate links to the underlying evidence.</w:t>
            </w:r>
          </w:p>
          <w:p w14:paraId="097F1C4B" w14:textId="77777777" w:rsidR="00BA1475" w:rsidRPr="00BA1475" w:rsidRDefault="00BA1475" w:rsidP="00BA1475">
            <w:pPr>
              <w:spacing w:after="12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lang w:val="en-GB"/>
                <w14:ligatures w14:val="none"/>
              </w:rPr>
              <w:t xml:space="preserve">This document shall include as an annex a copy of the certificate of completion issued </w:t>
            </w:r>
            <w:r w:rsidRPr="00BA1475">
              <w:rPr>
                <w:rFonts w:ascii="Arial Narrow" w:eastAsia="Calibri" w:hAnsi="Arial Narrow" w:cs="Calibri"/>
                <w:noProof/>
                <w:kern w:val="0"/>
                <w:sz w:val="16"/>
                <w:szCs w:val="16"/>
                <w:lang w:val="en-GB"/>
                <w14:ligatures w14:val="none"/>
              </w:rPr>
              <w:t xml:space="preserve">for the construction of the building’s bearing and enclosing structures, including the roof. </w:t>
            </w:r>
          </w:p>
        </w:tc>
        <w:tc>
          <w:tcPr>
            <w:tcW w:w="1913" w:type="dxa"/>
            <w:shd w:val="clear" w:color="auto" w:fill="C6EFCE"/>
            <w:hideMark/>
          </w:tcPr>
          <w:p w14:paraId="6C6D182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construction of the building’s bearing and enclosing structures, including the roof, has been completed. </w:t>
            </w:r>
          </w:p>
        </w:tc>
      </w:tr>
      <w:tr w:rsidR="007802BD" w:rsidRPr="00BA1475" w14:paraId="6614F98E" w14:textId="77777777" w:rsidTr="007802BD">
        <w:trPr>
          <w:trHeight w:val="1200"/>
          <w:jc w:val="center"/>
        </w:trPr>
        <w:tc>
          <w:tcPr>
            <w:tcW w:w="500" w:type="dxa"/>
            <w:shd w:val="clear" w:color="auto" w:fill="C6EFCE"/>
            <w:hideMark/>
          </w:tcPr>
          <w:p w14:paraId="49F473D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184</w:t>
            </w:r>
          </w:p>
        </w:tc>
        <w:tc>
          <w:tcPr>
            <w:tcW w:w="1197" w:type="dxa"/>
            <w:shd w:val="clear" w:color="auto" w:fill="C6EFCE"/>
            <w:hideMark/>
          </w:tcPr>
          <w:p w14:paraId="420E16B7"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6.1.2.4.i. </w:t>
            </w:r>
          </w:p>
          <w:p w14:paraId="318A491E"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Creation of infrastructure for the performance of control services in Kundziņsala</w:t>
            </w:r>
          </w:p>
        </w:tc>
        <w:tc>
          <w:tcPr>
            <w:tcW w:w="851" w:type="dxa"/>
            <w:shd w:val="clear" w:color="auto" w:fill="C6EFCE"/>
            <w:hideMark/>
          </w:tcPr>
          <w:p w14:paraId="2123C73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749D344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Procurement and conclusion of a contract for the supply and installation of X-ray cargo control equipment</w:t>
            </w:r>
          </w:p>
        </w:tc>
        <w:tc>
          <w:tcPr>
            <w:tcW w:w="1200" w:type="dxa"/>
            <w:shd w:val="clear" w:color="auto" w:fill="C6EFCE"/>
            <w:hideMark/>
          </w:tcPr>
          <w:p w14:paraId="4DEAAE2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Contract signed</w:t>
            </w:r>
          </w:p>
        </w:tc>
        <w:tc>
          <w:tcPr>
            <w:tcW w:w="840" w:type="dxa"/>
            <w:shd w:val="clear" w:color="auto" w:fill="C6EFCE"/>
            <w:hideMark/>
          </w:tcPr>
          <w:p w14:paraId="3F28EB4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1FD626E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75A05E2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2448513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600" w:type="dxa"/>
            <w:shd w:val="clear" w:color="auto" w:fill="C6EFCE"/>
            <w:hideMark/>
          </w:tcPr>
          <w:p w14:paraId="05605F0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2023</w:t>
            </w:r>
          </w:p>
        </w:tc>
        <w:tc>
          <w:tcPr>
            <w:tcW w:w="1320" w:type="dxa"/>
            <w:shd w:val="clear" w:color="auto" w:fill="C6EFCE"/>
          </w:tcPr>
          <w:p w14:paraId="5D2B7F24"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68B966D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2BABFD8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00293A2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48A96A9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signed contract for the supply and installation of the x-ray cargo control equipment; </w:t>
            </w:r>
          </w:p>
          <w:p w14:paraId="266A52E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 copy of and a link to the tender publication.</w:t>
            </w:r>
          </w:p>
        </w:tc>
        <w:tc>
          <w:tcPr>
            <w:tcW w:w="1913" w:type="dxa"/>
            <w:shd w:val="clear" w:color="auto" w:fill="C6EFCE"/>
            <w:hideMark/>
          </w:tcPr>
          <w:p w14:paraId="57FB7DC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contract for the supply and installation of X-ray cargo control equipment has been signed following a tender procedure.</w:t>
            </w:r>
          </w:p>
        </w:tc>
      </w:tr>
      <w:tr w:rsidR="007802BD" w:rsidRPr="00BA1475" w14:paraId="5B2DFD2C" w14:textId="77777777" w:rsidTr="007802BD">
        <w:trPr>
          <w:trHeight w:val="1200"/>
          <w:jc w:val="center"/>
        </w:trPr>
        <w:tc>
          <w:tcPr>
            <w:tcW w:w="500" w:type="dxa"/>
            <w:shd w:val="clear" w:color="auto" w:fill="C6EFCE"/>
            <w:hideMark/>
          </w:tcPr>
          <w:p w14:paraId="4DB6BA9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185</w:t>
            </w:r>
          </w:p>
        </w:tc>
        <w:tc>
          <w:tcPr>
            <w:tcW w:w="1197" w:type="dxa"/>
            <w:shd w:val="clear" w:color="auto" w:fill="C6EFCE"/>
            <w:hideMark/>
          </w:tcPr>
          <w:p w14:paraId="762206CD"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6.1.2.4.i. </w:t>
            </w:r>
          </w:p>
          <w:p w14:paraId="126BEAA6"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Creation of infrastructure for the performance of control services in Kundziņsala</w:t>
            </w:r>
          </w:p>
        </w:tc>
        <w:tc>
          <w:tcPr>
            <w:tcW w:w="851" w:type="dxa"/>
            <w:shd w:val="clear" w:color="auto" w:fill="C6EFCE"/>
            <w:hideMark/>
          </w:tcPr>
          <w:p w14:paraId="5115A5A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46814FE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Cargo control x-ray equipment installed </w:t>
            </w:r>
          </w:p>
        </w:tc>
        <w:tc>
          <w:tcPr>
            <w:tcW w:w="1200" w:type="dxa"/>
            <w:shd w:val="clear" w:color="auto" w:fill="C6EFCE"/>
            <w:hideMark/>
          </w:tcPr>
          <w:p w14:paraId="69E37FB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Deed of delivery</w:t>
            </w:r>
          </w:p>
        </w:tc>
        <w:tc>
          <w:tcPr>
            <w:tcW w:w="840" w:type="dxa"/>
            <w:shd w:val="clear" w:color="auto" w:fill="C6EFCE"/>
            <w:hideMark/>
          </w:tcPr>
          <w:p w14:paraId="57A7D37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5C69693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52F5E75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3EB8498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600" w:type="dxa"/>
            <w:shd w:val="clear" w:color="auto" w:fill="C6EFCE"/>
            <w:hideMark/>
          </w:tcPr>
          <w:p w14:paraId="3EE9628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320" w:type="dxa"/>
            <w:shd w:val="clear" w:color="auto" w:fill="C6EFCE"/>
          </w:tcPr>
          <w:p w14:paraId="1A750459"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Revenue service</w:t>
            </w:r>
          </w:p>
        </w:tc>
        <w:tc>
          <w:tcPr>
            <w:tcW w:w="1320" w:type="dxa"/>
            <w:shd w:val="clear" w:color="auto" w:fill="C6EFCE"/>
          </w:tcPr>
          <w:p w14:paraId="16348C1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78F0472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lang w:val="en-GB"/>
                <w14:ligatures w14:val="none"/>
              </w:rPr>
              <w:t>Summary document duly justifying how the milestone (including all the constitutive elements) was satisfactorily fulfilled, with appropriate links to the underlying evidence.</w:t>
            </w:r>
          </w:p>
          <w:p w14:paraId="34E7288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lang w:val="en-GB"/>
                <w14:ligatures w14:val="none"/>
              </w:rPr>
              <w:t xml:space="preserve">This document shall include as an annex </w:t>
            </w:r>
            <w:r w:rsidRPr="00BA1475">
              <w:rPr>
                <w:rFonts w:ascii="Arial Narrow" w:eastAsia="Calibri" w:hAnsi="Arial Narrow" w:cs="Calibri"/>
                <w:noProof/>
                <w:kern w:val="0"/>
                <w:sz w:val="16"/>
                <w:szCs w:val="16"/>
                <w:lang w:val="en-GB"/>
                <w14:ligatures w14:val="none"/>
              </w:rPr>
              <w:t>a copy of the certificate of completion issued confirming the delivery and installation of the x-ray cargo control equipment.</w:t>
            </w:r>
          </w:p>
        </w:tc>
        <w:tc>
          <w:tcPr>
            <w:tcW w:w="1913" w:type="dxa"/>
            <w:shd w:val="clear" w:color="auto" w:fill="C6EFCE"/>
            <w:hideMark/>
          </w:tcPr>
          <w:p w14:paraId="230A3F6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Cargo control x-ray equipment delivered and installed.</w:t>
            </w:r>
          </w:p>
        </w:tc>
      </w:tr>
      <w:tr w:rsidR="007802BD" w:rsidRPr="00BA1475" w14:paraId="7C477E5D" w14:textId="77777777" w:rsidTr="007802BD">
        <w:trPr>
          <w:trHeight w:val="1200"/>
          <w:jc w:val="center"/>
        </w:trPr>
        <w:tc>
          <w:tcPr>
            <w:tcW w:w="500" w:type="dxa"/>
            <w:shd w:val="clear" w:color="auto" w:fill="C6EFCE"/>
            <w:hideMark/>
          </w:tcPr>
          <w:p w14:paraId="0E565CC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186</w:t>
            </w:r>
          </w:p>
        </w:tc>
        <w:tc>
          <w:tcPr>
            <w:tcW w:w="1197" w:type="dxa"/>
            <w:shd w:val="clear" w:color="auto" w:fill="C6EFCE"/>
            <w:hideMark/>
          </w:tcPr>
          <w:p w14:paraId="2231DEF7"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6.2.1.r. Modernisation of the process of identifying money laundering, investigating economic crimes and judicial proceedings</w:t>
            </w:r>
          </w:p>
        </w:tc>
        <w:tc>
          <w:tcPr>
            <w:tcW w:w="851" w:type="dxa"/>
            <w:shd w:val="clear" w:color="auto" w:fill="C6EFCE"/>
            <w:hideMark/>
          </w:tcPr>
          <w:p w14:paraId="6E4364B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2A7AFEF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Entry into force of amendments to the Law on the prevention of money laundering and terrorist and proliferation financing </w:t>
            </w:r>
          </w:p>
        </w:tc>
        <w:tc>
          <w:tcPr>
            <w:tcW w:w="1200" w:type="dxa"/>
            <w:shd w:val="clear" w:color="auto" w:fill="C6EFCE"/>
            <w:hideMark/>
          </w:tcPr>
          <w:p w14:paraId="4B9539B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amendments to the NILLTPFN Law</w:t>
            </w:r>
          </w:p>
        </w:tc>
        <w:tc>
          <w:tcPr>
            <w:tcW w:w="840" w:type="dxa"/>
            <w:shd w:val="clear" w:color="auto" w:fill="C6EFCE"/>
            <w:hideMark/>
          </w:tcPr>
          <w:p w14:paraId="36D389A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6C54AEA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91" w:type="dxa"/>
            <w:shd w:val="clear" w:color="auto" w:fill="C6EFCE"/>
            <w:hideMark/>
          </w:tcPr>
          <w:p w14:paraId="07BCEE2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80" w:type="dxa"/>
            <w:shd w:val="clear" w:color="auto" w:fill="C6EFCE"/>
            <w:hideMark/>
          </w:tcPr>
          <w:p w14:paraId="7607F09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600" w:type="dxa"/>
            <w:shd w:val="clear" w:color="auto" w:fill="C6EFCE"/>
            <w:hideMark/>
          </w:tcPr>
          <w:p w14:paraId="29A63FE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2021</w:t>
            </w:r>
          </w:p>
        </w:tc>
        <w:tc>
          <w:tcPr>
            <w:tcW w:w="1320" w:type="dxa"/>
            <w:shd w:val="clear" w:color="auto" w:fill="C6EFCE"/>
          </w:tcPr>
          <w:p w14:paraId="69ED5EFF"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Financial Intelligence Service is responsible for reporting and implementation.</w:t>
            </w:r>
          </w:p>
        </w:tc>
        <w:tc>
          <w:tcPr>
            <w:tcW w:w="1320" w:type="dxa"/>
            <w:shd w:val="clear" w:color="auto" w:fill="C6EFCE"/>
          </w:tcPr>
          <w:p w14:paraId="526248A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1F8B3891" w14:textId="77777777" w:rsidR="00BA1475" w:rsidRPr="00BA1475" w:rsidRDefault="00BA1475" w:rsidP="00BA1475">
            <w:pPr>
              <w:spacing w:after="12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copy of the publication of the amended law on the prevention of money laundering and terrorist financing and a link in Official Journal, including a reference to the provision indicating the entry into force, accompanied by a summary document duly justifying how the milestone (including all the constitutive elements) was satisfactorily fulfilled, with appropriate links to the underlying evidence.</w:t>
            </w:r>
          </w:p>
        </w:tc>
        <w:tc>
          <w:tcPr>
            <w:tcW w:w="1913" w:type="dxa"/>
            <w:shd w:val="clear" w:color="auto" w:fill="C6EFCE"/>
            <w:hideMark/>
          </w:tcPr>
          <w:p w14:paraId="3B05E81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Amendments to the Law on the prevention of money laundering and terrorist and proliferation financing have entered into force, including:</w:t>
            </w:r>
          </w:p>
          <w:p w14:paraId="6CA5BD4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the introduction of a new Financial intelligence unit (FIU) data reception and analysis system and the abolition of a parallel reporting system for both the FIU and the State revenue service (SRS), providing only for reporting to the FIU. </w:t>
            </w:r>
          </w:p>
          <w:p w14:paraId="2D5A4CF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Cabinet of ministers Regulation on the procedure and content of suspicious transaction reports and threshold declarations has been adopted.</w:t>
            </w:r>
          </w:p>
        </w:tc>
      </w:tr>
      <w:tr w:rsidR="007802BD" w:rsidRPr="00BA1475" w14:paraId="038FF471" w14:textId="77777777" w:rsidTr="007802BD">
        <w:trPr>
          <w:trHeight w:val="559"/>
          <w:jc w:val="center"/>
        </w:trPr>
        <w:tc>
          <w:tcPr>
            <w:tcW w:w="500" w:type="dxa"/>
            <w:shd w:val="clear" w:color="auto" w:fill="C6EFCE"/>
            <w:hideMark/>
          </w:tcPr>
          <w:p w14:paraId="5DC79F6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187</w:t>
            </w:r>
          </w:p>
        </w:tc>
        <w:tc>
          <w:tcPr>
            <w:tcW w:w="1197" w:type="dxa"/>
            <w:shd w:val="clear" w:color="auto" w:fill="C6EFCE"/>
            <w:hideMark/>
          </w:tcPr>
          <w:p w14:paraId="4E3C43A9"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6.2.1.1.i. Establishment of AML Innovation Hub to improve the identification of money laundering</w:t>
            </w:r>
          </w:p>
        </w:tc>
        <w:tc>
          <w:tcPr>
            <w:tcW w:w="851" w:type="dxa"/>
            <w:shd w:val="clear" w:color="auto" w:fill="C6EFCE"/>
            <w:hideMark/>
          </w:tcPr>
          <w:p w14:paraId="78FC782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089AF84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US" w:eastAsia="en-GB"/>
                <w14:ligatures w14:val="none"/>
              </w:rPr>
              <w:t>Cooperation platform for financial intelligence and knowledge-sharing to improve the identification of money laundering</w:t>
            </w:r>
          </w:p>
          <w:p w14:paraId="3C3413A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Cooperation platform for financial intelligence and knowledge-sharing to improve the identification of money launderingAn IT platform for the exchange of knowledge and documents and for the coordination of cooperation between the stakeholders</w:t>
            </w:r>
          </w:p>
          <w:p w14:paraId="34E3200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200" w:type="dxa"/>
            <w:shd w:val="clear" w:color="auto" w:fill="C6EFCE"/>
            <w:hideMark/>
          </w:tcPr>
          <w:p w14:paraId="084F5F2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Completion of the IT platform for knowledge exchange and communication with stakeholders</w:t>
            </w:r>
          </w:p>
        </w:tc>
        <w:tc>
          <w:tcPr>
            <w:tcW w:w="840" w:type="dxa"/>
            <w:shd w:val="clear" w:color="auto" w:fill="C6EFCE"/>
            <w:hideMark/>
          </w:tcPr>
          <w:p w14:paraId="6802ACD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49ACB09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01000C9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79F0C8D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Q1</w:t>
            </w:r>
          </w:p>
        </w:tc>
        <w:tc>
          <w:tcPr>
            <w:tcW w:w="600" w:type="dxa"/>
            <w:shd w:val="clear" w:color="auto" w:fill="C6EFCE"/>
            <w:hideMark/>
          </w:tcPr>
          <w:p w14:paraId="25569A5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066C72CC"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Financial Intelligence Service is responsible for reporting and implementation.</w:t>
            </w:r>
          </w:p>
        </w:tc>
        <w:tc>
          <w:tcPr>
            <w:tcW w:w="1320" w:type="dxa"/>
            <w:shd w:val="clear" w:color="auto" w:fill="C6EFCE"/>
          </w:tcPr>
          <w:p w14:paraId="097CB88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10BEEFC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080160A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37E521A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copies of the certificates of completion issued in line with national legislation confirming the set up of secure platforms for knowledge exchange, transfer and communication including a research hall, communication spaces and intra-system connections with involved parties </w:t>
            </w:r>
            <w:r w:rsidRPr="00BA1475">
              <w:rPr>
                <w:rFonts w:ascii="Arial Narrow" w:eastAsia="Times New Roman" w:hAnsi="Arial Narrow" w:cs="Times New Roman"/>
                <w:noProof/>
                <w:kern w:val="0"/>
                <w:sz w:val="16"/>
                <w:szCs w:val="16"/>
                <w:lang w:val="en-GB" w:eastAsia="en-GB"/>
                <w14:ligatures w14:val="none"/>
              </w:rPr>
              <w:t xml:space="preserve">ensuring information protection are established and operational; </w:t>
            </w:r>
          </w:p>
          <w:p w14:paraId="6C491F1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an extract of technical specifications linking the requirements of with fulfilment of the milestone.</w:t>
            </w:r>
          </w:p>
        </w:tc>
        <w:tc>
          <w:tcPr>
            <w:tcW w:w="1913" w:type="dxa"/>
            <w:shd w:val="clear" w:color="auto" w:fill="C6EFCE"/>
            <w:hideMark/>
          </w:tcPr>
          <w:p w14:paraId="4C39C4B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5F3D605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50A6206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5 information systems are introduced to strengthen the capacity to identify money laundering, terrorism or proliferation financing;</w:t>
            </w:r>
          </w:p>
          <w:p w14:paraId="1036FD99" w14:textId="77777777" w:rsidR="00BA1475" w:rsidRPr="00BA1475" w:rsidRDefault="00BA1475" w:rsidP="00BA1475">
            <w:pPr>
              <w:spacing w:after="0" w:line="240" w:lineRule="auto"/>
              <w:rPr>
                <w:rFonts w:ascii="Calibri" w:eastAsia="Calibri" w:hAnsi="Calibri" w:cs="Arial"/>
                <w:kern w:val="0"/>
                <w:lang w:val="en-GB"/>
                <w14:ligatures w14:val="none"/>
              </w:rPr>
            </w:pPr>
            <w:r w:rsidRPr="00BA1475">
              <w:rPr>
                <w:rFonts w:ascii="Arial Narrow" w:eastAsia="Times New Roman" w:hAnsi="Arial Narrow" w:cs="Times New Roman"/>
                <w:noProof/>
                <w:kern w:val="0"/>
                <w:sz w:val="16"/>
                <w:szCs w:val="16"/>
                <w:lang w:val="en-GB" w:eastAsia="en-GB"/>
                <w14:ligatures w14:val="none"/>
              </w:rPr>
              <w:t>(b) 3 dedicated rooms for knowledge- sharing and cooperation are established;</w:t>
            </w:r>
          </w:p>
          <w:p w14:paraId="28AB7DB2" w14:textId="77777777" w:rsidR="00BA1475" w:rsidRPr="00BA1475" w:rsidRDefault="00BA1475" w:rsidP="00BA1475">
            <w:pPr>
              <w:spacing w:after="0" w:line="240" w:lineRule="auto"/>
              <w:rPr>
                <w:rFonts w:ascii="Calibri" w:eastAsia="Calibri" w:hAnsi="Calibri" w:cs="Arial"/>
                <w:kern w:val="0"/>
                <w:lang w:val="en-GB"/>
                <w14:ligatures w14:val="none"/>
              </w:rPr>
            </w:pPr>
            <w:r w:rsidRPr="00BA1475">
              <w:rPr>
                <w:rFonts w:ascii="Arial Narrow" w:eastAsia="Times New Roman" w:hAnsi="Arial Narrow" w:cs="Times New Roman"/>
                <w:noProof/>
                <w:kern w:val="0"/>
                <w:sz w:val="16"/>
                <w:szCs w:val="16"/>
                <w:lang w:val="en-GB" w:eastAsia="en-GB"/>
                <w14:ligatures w14:val="none"/>
              </w:rPr>
              <w:t>(c) 5 inter-system connections are created for automated data exchange;</w:t>
            </w:r>
          </w:p>
          <w:p w14:paraId="5601E875" w14:textId="77777777" w:rsidR="00BA1475" w:rsidRPr="00BA1475" w:rsidRDefault="00BA1475" w:rsidP="00BA1475">
            <w:pPr>
              <w:spacing w:after="0" w:line="240" w:lineRule="auto"/>
              <w:rPr>
                <w:rFonts w:ascii="Calibri" w:eastAsia="Calibri" w:hAnsi="Calibri" w:cs="Arial"/>
                <w:kern w:val="0"/>
                <w:lang w:val="en-GB"/>
                <w14:ligatures w14:val="none"/>
              </w:rPr>
            </w:pPr>
            <w:r w:rsidRPr="00BA1475">
              <w:rPr>
                <w:rFonts w:ascii="Arial Narrow" w:eastAsia="Times New Roman" w:hAnsi="Arial Narrow" w:cs="Times New Roman"/>
                <w:noProof/>
                <w:kern w:val="0"/>
                <w:sz w:val="16"/>
                <w:szCs w:val="16"/>
                <w:lang w:val="en-GB" w:eastAsia="en-GB"/>
                <w14:ligatures w14:val="none"/>
              </w:rPr>
              <w:t>(d) data processing infrastructure is established based on 6 technical solutions;</w:t>
            </w:r>
          </w:p>
          <w:p w14:paraId="223FC5B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 2 researchers are mobilised to develop analytical solutions for information-checking against predefined characteristics in financial transaction reports.</w:t>
            </w:r>
          </w:p>
        </w:tc>
      </w:tr>
      <w:tr w:rsidR="007802BD" w:rsidRPr="00BA1475" w14:paraId="48530E6D" w14:textId="77777777" w:rsidTr="007802BD">
        <w:trPr>
          <w:trHeight w:val="1200"/>
          <w:jc w:val="center"/>
        </w:trPr>
        <w:tc>
          <w:tcPr>
            <w:tcW w:w="500" w:type="dxa"/>
            <w:shd w:val="clear" w:color="auto" w:fill="C6EFCE"/>
          </w:tcPr>
          <w:p w14:paraId="44A13E0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188</w:t>
            </w:r>
          </w:p>
        </w:tc>
        <w:tc>
          <w:tcPr>
            <w:tcW w:w="1197" w:type="dxa"/>
            <w:shd w:val="clear" w:color="auto" w:fill="C6EFCE"/>
          </w:tcPr>
          <w:p w14:paraId="78D6A953"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6.2.1.2.i. Strengthening the capacity to investigate economic crime</w:t>
            </w:r>
          </w:p>
        </w:tc>
        <w:tc>
          <w:tcPr>
            <w:tcW w:w="851" w:type="dxa"/>
            <w:shd w:val="clear" w:color="auto" w:fill="C6EFCE"/>
          </w:tcPr>
          <w:p w14:paraId="5E2ADA3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tcPr>
          <w:p w14:paraId="2D02AD5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Progress report on implementation of the action plan is approved</w:t>
            </w:r>
          </w:p>
        </w:tc>
        <w:tc>
          <w:tcPr>
            <w:tcW w:w="1200" w:type="dxa"/>
            <w:shd w:val="clear" w:color="auto" w:fill="C6EFCE"/>
          </w:tcPr>
          <w:p w14:paraId="5AC0233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Approval of the progress report </w:t>
            </w:r>
          </w:p>
        </w:tc>
        <w:tc>
          <w:tcPr>
            <w:tcW w:w="840" w:type="dxa"/>
            <w:shd w:val="clear" w:color="auto" w:fill="C6EFCE"/>
          </w:tcPr>
          <w:p w14:paraId="1813DB8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tcPr>
          <w:p w14:paraId="4CDAC9F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91" w:type="dxa"/>
            <w:shd w:val="clear" w:color="auto" w:fill="C6EFCE"/>
          </w:tcPr>
          <w:p w14:paraId="00834B2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80" w:type="dxa"/>
            <w:shd w:val="clear" w:color="auto" w:fill="C6EFCE"/>
          </w:tcPr>
          <w:p w14:paraId="47E7982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tcPr>
          <w:p w14:paraId="1AC5AAE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2C391EFB" w14:textId="77777777" w:rsidR="00BA1475" w:rsidRPr="00BA1475" w:rsidRDefault="00BA1475" w:rsidP="00BA1475">
            <w:pPr>
              <w:spacing w:after="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Ministry of Inetrior</w:t>
            </w:r>
          </w:p>
          <w:p w14:paraId="2666413A" w14:textId="77777777" w:rsidR="00BA1475" w:rsidRPr="00BA1475" w:rsidRDefault="00BA1475" w:rsidP="00BA1475">
            <w:pPr>
              <w:spacing w:after="0" w:line="276" w:lineRule="auto"/>
              <w:rPr>
                <w:rFonts w:ascii="Arial Narrow" w:eastAsia="Calibri" w:hAnsi="Arial Narrow" w:cs="Calibri"/>
                <w:noProof/>
                <w:kern w:val="0"/>
                <w:sz w:val="16"/>
                <w:szCs w:val="16"/>
                <w:lang w:val="en-GB"/>
                <w14:ligatures w14:val="none"/>
              </w:rPr>
            </w:pPr>
          </w:p>
        </w:tc>
        <w:tc>
          <w:tcPr>
            <w:tcW w:w="1320" w:type="dxa"/>
            <w:shd w:val="clear" w:color="auto" w:fill="C6EFCE"/>
          </w:tcPr>
          <w:p w14:paraId="3BE110D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444F8F26" w14:textId="77777777" w:rsidR="00BA1475" w:rsidRPr="00BA1475" w:rsidRDefault="00BA1475" w:rsidP="00BA1475">
            <w:pPr>
              <w:spacing w:after="0" w:line="240" w:lineRule="auto"/>
              <w:textAlignment w:val="baseline"/>
              <w:rPr>
                <w:rFonts w:ascii="Segoe UI" w:eastAsia="Times New Roman" w:hAnsi="Segoe UI" w:cs="Segoe UI"/>
                <w:noProof/>
                <w:kern w:val="0"/>
                <w:sz w:val="18"/>
                <w:szCs w:val="18"/>
                <w:lang w:val="en-GB" w:eastAsia="en-GB"/>
                <w14:ligatures w14:val="none"/>
              </w:rPr>
            </w:pPr>
            <w:r w:rsidRPr="00BA1475">
              <w:rPr>
                <w:rFonts w:ascii="Arial Narrow" w:eastAsia="Times New Roman" w:hAnsi="Arial Narrow" w:cs="Segoe UI"/>
                <w:noProof/>
                <w:kern w:val="0"/>
                <w:sz w:val="16"/>
                <w:szCs w:val="16"/>
                <w:lang w:val="en-GB" w:eastAsia="en-GB"/>
                <w14:ligatures w14:val="none"/>
              </w:rPr>
              <w:t>Summary document duly justifying how the milestone (including all the constitutive elements) was satisfactorily fulfilled, with appropriate links to the underlying evidence. </w:t>
            </w:r>
          </w:p>
          <w:p w14:paraId="3B33817E" w14:textId="77777777" w:rsidR="00BA1475" w:rsidRPr="00BA1475" w:rsidRDefault="00BA1475" w:rsidP="00BA1475">
            <w:pPr>
              <w:spacing w:after="0" w:line="240" w:lineRule="auto"/>
              <w:textAlignment w:val="baseline"/>
              <w:rPr>
                <w:rFonts w:ascii="Arial Narrow" w:eastAsia="Times New Roman" w:hAnsi="Arial Narrow" w:cs="Calibri"/>
                <w:noProof/>
                <w:kern w:val="0"/>
                <w:sz w:val="16"/>
                <w:szCs w:val="16"/>
                <w:lang w:val="en-GB" w:eastAsia="en-GB"/>
                <w14:ligatures w14:val="none"/>
              </w:rPr>
            </w:pPr>
            <w:r w:rsidRPr="00BA1475">
              <w:rPr>
                <w:rFonts w:ascii="Arial Narrow" w:eastAsia="Times New Roman" w:hAnsi="Arial Narrow" w:cs="Segoe UI"/>
                <w:noProof/>
                <w:kern w:val="0"/>
                <w:sz w:val="16"/>
                <w:szCs w:val="16"/>
                <w:lang w:val="en-GB" w:eastAsia="en-GB"/>
                <w14:ligatures w14:val="none"/>
              </w:rPr>
              <w:t>This document shall include as an annex a copy of and a link to the publication of the approved progress report on the implementation of the action plan.</w:t>
            </w:r>
          </w:p>
        </w:tc>
        <w:tc>
          <w:tcPr>
            <w:tcW w:w="1913" w:type="dxa"/>
            <w:shd w:val="clear" w:color="auto" w:fill="C6EFCE"/>
          </w:tcPr>
          <w:p w14:paraId="41FB8CB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Cabinet of Ministers approves a progress report on the implementation of the action plan for strengthening the fight against economic crime. The information report shall confirm the implementation of all objectives set out in the plan. </w:t>
            </w:r>
          </w:p>
          <w:p w14:paraId="6A51854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plan has been approved in 2022 based on the recommendations received under the Structural Reform Programme of DG REFORM and further detailed by the State Police. </w:t>
            </w:r>
          </w:p>
          <w:p w14:paraId="54728487" w14:textId="77777777" w:rsidR="00BA1475" w:rsidRPr="00BA1475" w:rsidRDefault="00BA1475" w:rsidP="00BA1475">
            <w:pPr>
              <w:spacing w:after="0" w:line="240" w:lineRule="auto"/>
              <w:textAlignment w:val="baseline"/>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plan shall have defined the activities to be implemented, the deadlines and the bodies responsible for implementation. </w:t>
            </w:r>
          </w:p>
        </w:tc>
      </w:tr>
      <w:tr w:rsidR="007802BD" w:rsidRPr="00BA1475" w14:paraId="6A1DA13F" w14:textId="77777777" w:rsidTr="007802BD">
        <w:trPr>
          <w:trHeight w:val="1200"/>
          <w:jc w:val="center"/>
        </w:trPr>
        <w:tc>
          <w:tcPr>
            <w:tcW w:w="500" w:type="dxa"/>
            <w:shd w:val="clear" w:color="auto" w:fill="C6EFCE"/>
            <w:hideMark/>
          </w:tcPr>
          <w:p w14:paraId="355D4E3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189</w:t>
            </w:r>
          </w:p>
        </w:tc>
        <w:tc>
          <w:tcPr>
            <w:tcW w:w="1197" w:type="dxa"/>
            <w:shd w:val="clear" w:color="auto" w:fill="C6EFCE"/>
            <w:hideMark/>
          </w:tcPr>
          <w:p w14:paraId="578DFC3A"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noProof/>
                <w:kern w:val="0"/>
                <w:sz w:val="16"/>
                <w:szCs w:val="16"/>
                <w:lang w:val="en-GB" w:eastAsia="en-GB"/>
                <w14:ligatures w14:val="none"/>
              </w:rPr>
              <w:t>6.2.1.</w:t>
            </w:r>
            <w:r w:rsidRPr="00BA1475">
              <w:rPr>
                <w:rFonts w:ascii="Arial Narrow" w:eastAsia="Times New Roman" w:hAnsi="Arial Narrow" w:cs="Times New Roman"/>
                <w:b/>
                <w:bCs/>
                <w:noProof/>
                <w:kern w:val="0"/>
                <w:sz w:val="16"/>
                <w:szCs w:val="16"/>
                <w:lang w:val="en-GB" w:eastAsia="en-GB"/>
                <w14:ligatures w14:val="none"/>
              </w:rPr>
              <w:t>2.i</w:t>
            </w:r>
            <w:r w:rsidRPr="00BA1475">
              <w:rPr>
                <w:rFonts w:ascii="Arial Narrow" w:eastAsia="Times New Roman" w:hAnsi="Arial Narrow" w:cs="Times New Roman"/>
                <w:b/>
                <w:noProof/>
                <w:kern w:val="0"/>
                <w:sz w:val="16"/>
                <w:szCs w:val="16"/>
                <w:lang w:val="en-GB" w:eastAsia="en-GB"/>
                <w14:ligatures w14:val="none"/>
              </w:rPr>
              <w:t>. Strengthening the capacity to investigate economic crime</w:t>
            </w:r>
          </w:p>
        </w:tc>
        <w:tc>
          <w:tcPr>
            <w:tcW w:w="851" w:type="dxa"/>
            <w:shd w:val="clear" w:color="auto" w:fill="C6EFCE"/>
            <w:hideMark/>
          </w:tcPr>
          <w:p w14:paraId="7D12270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3C6FBE8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Calibri" w:hAnsi="Arial Narrow" w:cs="Times New Roman"/>
                <w:noProof/>
                <w:kern w:val="0"/>
                <w:sz w:val="16"/>
                <w:szCs w:val="16"/>
                <w:lang w:val="en-GB" w:eastAsia="en-GB"/>
                <w14:ligatures w14:val="none"/>
              </w:rPr>
              <w:t>Proportion of detected criminal proceedings of environmental crimes</w:t>
            </w:r>
          </w:p>
        </w:tc>
        <w:tc>
          <w:tcPr>
            <w:tcW w:w="1200" w:type="dxa"/>
            <w:shd w:val="clear" w:color="auto" w:fill="C6EFCE"/>
            <w:hideMark/>
          </w:tcPr>
          <w:p w14:paraId="25EC7D6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7C92F19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w:t>
            </w:r>
          </w:p>
        </w:tc>
        <w:tc>
          <w:tcPr>
            <w:tcW w:w="840" w:type="dxa"/>
            <w:shd w:val="clear" w:color="auto" w:fill="C6EFCE"/>
            <w:hideMark/>
          </w:tcPr>
          <w:p w14:paraId="2C4C0C2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40</w:t>
            </w:r>
          </w:p>
        </w:tc>
        <w:tc>
          <w:tcPr>
            <w:tcW w:w="691" w:type="dxa"/>
            <w:shd w:val="clear" w:color="auto" w:fill="C6EFCE"/>
            <w:hideMark/>
          </w:tcPr>
          <w:p w14:paraId="7C7AC7D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60</w:t>
            </w:r>
          </w:p>
        </w:tc>
        <w:tc>
          <w:tcPr>
            <w:tcW w:w="480" w:type="dxa"/>
            <w:shd w:val="clear" w:color="auto" w:fill="C6EFCE"/>
            <w:hideMark/>
          </w:tcPr>
          <w:p w14:paraId="0D52AD7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Q1</w:t>
            </w:r>
          </w:p>
        </w:tc>
        <w:tc>
          <w:tcPr>
            <w:tcW w:w="600" w:type="dxa"/>
            <w:shd w:val="clear" w:color="auto" w:fill="C6EFCE"/>
            <w:hideMark/>
          </w:tcPr>
          <w:p w14:paraId="37D4DCE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7C2C9396"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5 Latvian regional units of the State Police (environmental crime)</w:t>
            </w:r>
          </w:p>
        </w:tc>
        <w:tc>
          <w:tcPr>
            <w:tcW w:w="1320" w:type="dxa"/>
            <w:shd w:val="clear" w:color="auto" w:fill="C6EFCE"/>
          </w:tcPr>
          <w:p w14:paraId="5526EEB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51A164E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 This document shall include as an annex the following documentary evidence: a copy of and a link to the state police annual report demonstrating that the p</w:t>
            </w:r>
            <w:r w:rsidRPr="00BA1475">
              <w:rPr>
                <w:rFonts w:ascii="Arial Narrow" w:eastAsia="Calibri" w:hAnsi="Arial Narrow" w:cs="Times New Roman"/>
                <w:noProof/>
                <w:kern w:val="0"/>
                <w:sz w:val="16"/>
                <w:szCs w:val="16"/>
                <w:lang w:val="en-GB" w:eastAsia="en-GB"/>
                <w14:ligatures w14:val="none"/>
              </w:rPr>
              <w:t>roportion of detected environmental crimes</w:t>
            </w:r>
            <w:r w:rsidRPr="00BA1475">
              <w:rPr>
                <w:rFonts w:ascii="Arial Narrow" w:eastAsia="Times New Roman" w:hAnsi="Arial Narrow" w:cs="Times New Roman"/>
                <w:noProof/>
                <w:kern w:val="0"/>
                <w:sz w:val="16"/>
                <w:szCs w:val="16"/>
                <w:lang w:val="en-GB" w:eastAsia="en-GB"/>
                <w14:ligatures w14:val="none"/>
              </w:rPr>
              <w:t xml:space="preserve"> that are solved and brought to prosecution for the year 2024 </w:t>
            </w:r>
            <w:r w:rsidRPr="00BA1475">
              <w:rPr>
                <w:rFonts w:ascii="Arial Narrow" w:eastAsia="Calibri" w:hAnsi="Arial Narrow" w:cs="Times New Roman"/>
                <w:noProof/>
                <w:kern w:val="0"/>
                <w:sz w:val="16"/>
                <w:szCs w:val="16"/>
                <w:lang w:val="en-GB"/>
                <w14:ligatures w14:val="none"/>
              </w:rPr>
              <w:t>is</w:t>
            </w:r>
            <w:r w:rsidRPr="00BA1475">
              <w:rPr>
                <w:rFonts w:ascii="Arial Narrow" w:eastAsia="Times New Roman" w:hAnsi="Arial Narrow" w:cs="Times New Roman"/>
                <w:noProof/>
                <w:kern w:val="0"/>
                <w:sz w:val="16"/>
                <w:szCs w:val="16"/>
                <w:lang w:val="en-GB" w:eastAsia="en-GB"/>
                <w14:ligatures w14:val="none"/>
              </w:rPr>
              <w:t xml:space="preserve"> at least of 60%.</w:t>
            </w:r>
          </w:p>
        </w:tc>
        <w:tc>
          <w:tcPr>
            <w:tcW w:w="1913" w:type="dxa"/>
            <w:shd w:val="clear" w:color="auto" w:fill="C6EFCE"/>
            <w:hideMark/>
          </w:tcPr>
          <w:p w14:paraId="37A9047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Calibri" w:hAnsi="Arial Narrow" w:cs="Arial"/>
                <w:noProof/>
                <w:kern w:val="0"/>
                <w:sz w:val="16"/>
                <w:lang w:val="en-GB"/>
                <w14:ligatures w14:val="none"/>
              </w:rPr>
              <w:t>The share of detected environmental crimes that are solved and brought to prosecution for the year 2024 shall be at least 60%.</w:t>
            </w:r>
          </w:p>
        </w:tc>
      </w:tr>
      <w:tr w:rsidR="007802BD" w:rsidRPr="00BA1475" w14:paraId="7691709A" w14:textId="77777777" w:rsidTr="007802BD">
        <w:trPr>
          <w:trHeight w:val="555"/>
          <w:jc w:val="center"/>
        </w:trPr>
        <w:tc>
          <w:tcPr>
            <w:tcW w:w="500" w:type="dxa"/>
            <w:shd w:val="clear" w:color="auto" w:fill="C6EFCE"/>
            <w:hideMark/>
          </w:tcPr>
          <w:p w14:paraId="0DBFE16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190</w:t>
            </w:r>
          </w:p>
        </w:tc>
        <w:tc>
          <w:tcPr>
            <w:tcW w:w="1197" w:type="dxa"/>
            <w:shd w:val="clear" w:color="auto" w:fill="C6EFCE"/>
            <w:hideMark/>
          </w:tcPr>
          <w:p w14:paraId="1537EFE3"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6.2.1.2.i. Strengthening the capacity to investigate economic crime</w:t>
            </w:r>
          </w:p>
        </w:tc>
        <w:tc>
          <w:tcPr>
            <w:tcW w:w="851" w:type="dxa"/>
            <w:shd w:val="clear" w:color="auto" w:fill="C6EFCE"/>
            <w:hideMark/>
          </w:tcPr>
          <w:p w14:paraId="1DFA906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3082E7C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Calibri" w:hAnsi="Arial Narrow" w:cs="Times New Roman"/>
                <w:noProof/>
                <w:kern w:val="0"/>
                <w:sz w:val="16"/>
                <w:szCs w:val="16"/>
                <w:lang w:val="en-GB" w:eastAsia="en-GB"/>
                <w14:ligatures w14:val="none"/>
              </w:rPr>
              <w:t xml:space="preserve">Number of certified economic crime investigators in </w:t>
            </w:r>
            <w:r w:rsidRPr="00BA1475">
              <w:rPr>
                <w:rFonts w:ascii="Arial Narrow" w:eastAsia="Times New Roman" w:hAnsi="Arial Narrow" w:cs="Times New Roman"/>
                <w:noProof/>
                <w:kern w:val="0"/>
                <w:sz w:val="16"/>
                <w:szCs w:val="16"/>
                <w:lang w:val="en-GB" w:eastAsia="en-GB"/>
                <w14:ligatures w14:val="none"/>
              </w:rPr>
              <w:t xml:space="preserve"> “Certified Anti Money Laundering Specialist (CAMS)” programme</w:t>
            </w:r>
          </w:p>
        </w:tc>
        <w:tc>
          <w:tcPr>
            <w:tcW w:w="1200" w:type="dxa"/>
            <w:shd w:val="clear" w:color="auto" w:fill="C6EFCE"/>
            <w:hideMark/>
          </w:tcPr>
          <w:p w14:paraId="2902C31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6A04191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w:t>
            </w:r>
          </w:p>
        </w:tc>
        <w:tc>
          <w:tcPr>
            <w:tcW w:w="840" w:type="dxa"/>
            <w:shd w:val="clear" w:color="auto" w:fill="C6EFCE"/>
            <w:hideMark/>
          </w:tcPr>
          <w:p w14:paraId="3A441E6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91" w:type="dxa"/>
            <w:shd w:val="clear" w:color="auto" w:fill="C6EFCE"/>
            <w:hideMark/>
          </w:tcPr>
          <w:p w14:paraId="624EA64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w:t>
            </w:r>
          </w:p>
        </w:tc>
        <w:tc>
          <w:tcPr>
            <w:tcW w:w="480" w:type="dxa"/>
            <w:shd w:val="clear" w:color="auto" w:fill="C6EFCE"/>
            <w:hideMark/>
          </w:tcPr>
          <w:p w14:paraId="7E4E350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Q1</w:t>
            </w:r>
          </w:p>
        </w:tc>
        <w:tc>
          <w:tcPr>
            <w:tcW w:w="600" w:type="dxa"/>
            <w:shd w:val="clear" w:color="auto" w:fill="C6EFCE"/>
            <w:hideMark/>
          </w:tcPr>
          <w:p w14:paraId="1956419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1D1E054F"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Office for Combating Economic Crimes of the State Police, 5 Latvian regional units </w:t>
            </w:r>
          </w:p>
        </w:tc>
        <w:tc>
          <w:tcPr>
            <w:tcW w:w="1320" w:type="dxa"/>
            <w:shd w:val="clear" w:color="auto" w:fill="C6EFCE"/>
          </w:tcPr>
          <w:p w14:paraId="23BE72E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5C4BD60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645E7B8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17B67BC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certificates proving that </w:t>
            </w:r>
            <w:r w:rsidRPr="00BA1475">
              <w:rPr>
                <w:rFonts w:ascii="Arial Narrow" w:eastAsia="Times New Roman" w:hAnsi="Arial Narrow" w:cs="Times New Roman"/>
                <w:noProof/>
                <w:kern w:val="0"/>
                <w:sz w:val="16"/>
                <w:szCs w:val="16"/>
                <w:lang w:val="en-GB" w:eastAsia="en-GB"/>
                <w14:ligatures w14:val="none"/>
              </w:rPr>
              <w:t xml:space="preserve">20 law enforcement officials have obtained Certified Anti Money Laundering Specialist certificates; </w:t>
            </w:r>
          </w:p>
          <w:p w14:paraId="4EB6896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the specifications in line with the requirements of the training (i.e. specific areas of focus of the anti-money laundering training).</w:t>
            </w:r>
          </w:p>
        </w:tc>
        <w:tc>
          <w:tcPr>
            <w:tcW w:w="1913" w:type="dxa"/>
            <w:shd w:val="clear" w:color="auto" w:fill="C6EFCE"/>
            <w:hideMark/>
          </w:tcPr>
          <w:p w14:paraId="4BC2430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At least 20 law enforcement officials shall have obtained Certified Anti Money Laundering Specialist certificate.</w:t>
            </w:r>
          </w:p>
        </w:tc>
      </w:tr>
      <w:tr w:rsidR="007802BD" w:rsidRPr="00BA1475" w14:paraId="3CE57C69" w14:textId="77777777" w:rsidTr="007802BD">
        <w:trPr>
          <w:trHeight w:val="2053"/>
          <w:jc w:val="center"/>
        </w:trPr>
        <w:tc>
          <w:tcPr>
            <w:tcW w:w="500" w:type="dxa"/>
            <w:shd w:val="clear" w:color="auto" w:fill="C6EFCE"/>
            <w:hideMark/>
          </w:tcPr>
          <w:p w14:paraId="4499ABB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191</w:t>
            </w:r>
          </w:p>
        </w:tc>
        <w:tc>
          <w:tcPr>
            <w:tcW w:w="1197" w:type="dxa"/>
            <w:shd w:val="clear" w:color="auto" w:fill="C6EFCE"/>
            <w:hideMark/>
          </w:tcPr>
          <w:p w14:paraId="565DA1B6"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6.2.1.2.i. Strengthening the capacity to investigate economic crime</w:t>
            </w:r>
          </w:p>
        </w:tc>
        <w:tc>
          <w:tcPr>
            <w:tcW w:w="851" w:type="dxa"/>
            <w:shd w:val="clear" w:color="auto" w:fill="C6EFCE"/>
            <w:hideMark/>
          </w:tcPr>
          <w:p w14:paraId="6111A43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7CD6082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Equipment for law enforcement officials </w:t>
            </w:r>
          </w:p>
        </w:tc>
        <w:tc>
          <w:tcPr>
            <w:tcW w:w="1200" w:type="dxa"/>
            <w:shd w:val="clear" w:color="auto" w:fill="C6EFCE"/>
            <w:hideMark/>
          </w:tcPr>
          <w:p w14:paraId="3A02C9A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Proof of purchase</w:t>
            </w:r>
          </w:p>
        </w:tc>
        <w:tc>
          <w:tcPr>
            <w:tcW w:w="840" w:type="dxa"/>
            <w:shd w:val="clear" w:color="auto" w:fill="C6EFCE"/>
            <w:hideMark/>
          </w:tcPr>
          <w:p w14:paraId="17FE183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w:t>
            </w:r>
          </w:p>
        </w:tc>
        <w:tc>
          <w:tcPr>
            <w:tcW w:w="840" w:type="dxa"/>
            <w:shd w:val="clear" w:color="auto" w:fill="C6EFCE"/>
            <w:hideMark/>
          </w:tcPr>
          <w:p w14:paraId="09F3604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91" w:type="dxa"/>
            <w:shd w:val="clear" w:color="auto" w:fill="C6EFCE"/>
            <w:hideMark/>
          </w:tcPr>
          <w:p w14:paraId="58C05D8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237</w:t>
            </w:r>
          </w:p>
        </w:tc>
        <w:tc>
          <w:tcPr>
            <w:tcW w:w="480" w:type="dxa"/>
            <w:shd w:val="clear" w:color="auto" w:fill="C6EFCE"/>
            <w:hideMark/>
          </w:tcPr>
          <w:p w14:paraId="66D0DB8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Q1</w:t>
            </w:r>
          </w:p>
        </w:tc>
        <w:tc>
          <w:tcPr>
            <w:tcW w:w="600" w:type="dxa"/>
            <w:shd w:val="clear" w:color="auto" w:fill="C6EFCE"/>
            <w:hideMark/>
          </w:tcPr>
          <w:p w14:paraId="7583DCC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5EB9CAB5"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Office for Combating Economic Crimes of the State Police, 5 Latvian regional units </w:t>
            </w:r>
          </w:p>
        </w:tc>
        <w:tc>
          <w:tcPr>
            <w:tcW w:w="1320" w:type="dxa"/>
            <w:shd w:val="clear" w:color="auto" w:fill="C6EFCE"/>
          </w:tcPr>
          <w:p w14:paraId="18A26AE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29EB0D8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397210E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This document shall include as an annex</w:t>
            </w:r>
            <w:r w:rsidRPr="00BA1475">
              <w:rPr>
                <w:rFonts w:ascii="Arial Narrow" w:eastAsia="Calibri" w:hAnsi="Arial Narrow" w:cs="Calibri"/>
                <w:noProof/>
                <w:kern w:val="0"/>
                <w:sz w:val="16"/>
                <w:szCs w:val="16"/>
                <w:lang w:val="en-GB"/>
                <w14:ligatures w14:val="none"/>
              </w:rPr>
              <w:t xml:space="preserve"> a list of the purchases indicating for each purchase: </w:t>
            </w:r>
          </w:p>
          <w:p w14:paraId="67FFAEE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the reference and date of the invoice;</w:t>
            </w:r>
          </w:p>
          <w:p w14:paraId="56E6DD1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the description of the items being purchased; </w:t>
            </w:r>
          </w:p>
          <w:p w14:paraId="71BBB1A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c) the municipality that has carried out the purchases.</w:t>
            </w:r>
          </w:p>
        </w:tc>
        <w:tc>
          <w:tcPr>
            <w:tcW w:w="1913" w:type="dxa"/>
            <w:shd w:val="clear" w:color="auto" w:fill="C6EFCE"/>
            <w:hideMark/>
          </w:tcPr>
          <w:p w14:paraId="489A999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target includes the purchase of the following equipment:</w:t>
            </w:r>
          </w:p>
          <w:p w14:paraId="6E03654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- 200 mobile workstations;</w:t>
            </w:r>
          </w:p>
          <w:p w14:paraId="13509DA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- 30 portable printers </w:t>
            </w:r>
          </w:p>
          <w:p w14:paraId="16BCA8C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- 4 large-scale servers</w:t>
            </w:r>
          </w:p>
          <w:p w14:paraId="5EA361A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- 3 units of videoconferencing equipment. </w:t>
            </w:r>
          </w:p>
        </w:tc>
      </w:tr>
      <w:tr w:rsidR="007802BD" w:rsidRPr="00BA1475" w14:paraId="44F4CE9C" w14:textId="77777777" w:rsidTr="007802BD">
        <w:trPr>
          <w:trHeight w:val="1200"/>
          <w:jc w:val="center"/>
        </w:trPr>
        <w:tc>
          <w:tcPr>
            <w:tcW w:w="500" w:type="dxa"/>
            <w:shd w:val="clear" w:color="auto" w:fill="C6EFCE"/>
            <w:hideMark/>
          </w:tcPr>
          <w:p w14:paraId="4AE2ABF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192</w:t>
            </w:r>
          </w:p>
        </w:tc>
        <w:tc>
          <w:tcPr>
            <w:tcW w:w="1197" w:type="dxa"/>
            <w:shd w:val="clear" w:color="auto" w:fill="C6EFCE"/>
            <w:hideMark/>
          </w:tcPr>
          <w:p w14:paraId="74EB6104" w14:textId="77777777" w:rsidR="00BA1475" w:rsidRPr="00610215" w:rsidRDefault="00BA1475" w:rsidP="00BA1475">
            <w:pPr>
              <w:spacing w:after="0" w:line="240" w:lineRule="auto"/>
              <w:rPr>
                <w:rFonts w:ascii="Arial Narrow" w:eastAsia="Times New Roman" w:hAnsi="Arial Narrow" w:cs="Times New Roman"/>
                <w:b/>
                <w:bCs/>
                <w:noProof/>
                <w:kern w:val="0"/>
                <w:sz w:val="14"/>
                <w:szCs w:val="14"/>
                <w:lang w:val="en-GB" w:eastAsia="en-GB"/>
                <w14:ligatures w14:val="none"/>
              </w:rPr>
            </w:pPr>
            <w:r w:rsidRPr="00610215">
              <w:rPr>
                <w:rFonts w:ascii="Arial Narrow" w:eastAsia="Times New Roman" w:hAnsi="Arial Narrow" w:cs="Times New Roman"/>
                <w:b/>
                <w:bCs/>
                <w:noProof/>
                <w:kern w:val="0"/>
                <w:sz w:val="14"/>
                <w:szCs w:val="14"/>
                <w:lang w:val="en-GB" w:eastAsia="en-GB"/>
                <w14:ligatures w14:val="none"/>
              </w:rPr>
              <w:t>6.2.1.3.i. Establishment of a single training centre for the development of the qualifications of judges, court staff, prosecutors, assistant prosecutors and specialised investigators (interdisciplinary matters)</w:t>
            </w:r>
          </w:p>
        </w:tc>
        <w:tc>
          <w:tcPr>
            <w:tcW w:w="851" w:type="dxa"/>
            <w:shd w:val="clear" w:color="auto" w:fill="C6EFCE"/>
            <w:hideMark/>
          </w:tcPr>
          <w:p w14:paraId="04F5CB3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6480F0A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the law and other legal acts related to the justice training centre</w:t>
            </w:r>
          </w:p>
        </w:tc>
        <w:tc>
          <w:tcPr>
            <w:tcW w:w="1200" w:type="dxa"/>
            <w:shd w:val="clear" w:color="auto" w:fill="C6EFCE"/>
            <w:hideMark/>
          </w:tcPr>
          <w:p w14:paraId="419C954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the regulatory framework for the operation of the training centre and public funding ensured in state budget law for 2025.</w:t>
            </w:r>
          </w:p>
        </w:tc>
        <w:tc>
          <w:tcPr>
            <w:tcW w:w="840" w:type="dxa"/>
            <w:shd w:val="clear" w:color="auto" w:fill="C6EFCE"/>
            <w:hideMark/>
          </w:tcPr>
          <w:p w14:paraId="2F1691A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0FDE0EC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54EAC09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4CEB2CD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Q1</w:t>
            </w:r>
          </w:p>
        </w:tc>
        <w:tc>
          <w:tcPr>
            <w:tcW w:w="600" w:type="dxa"/>
            <w:shd w:val="clear" w:color="auto" w:fill="C6EFCE"/>
            <w:hideMark/>
          </w:tcPr>
          <w:p w14:paraId="7523C84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78C686DB"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Justice collects data and is responsible for reporting.</w:t>
            </w:r>
          </w:p>
        </w:tc>
        <w:tc>
          <w:tcPr>
            <w:tcW w:w="1320" w:type="dxa"/>
            <w:shd w:val="clear" w:color="auto" w:fill="C6EFCE"/>
          </w:tcPr>
          <w:p w14:paraId="73307B9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260134D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lang w:val="en-GB"/>
                <w14:ligatures w14:val="none"/>
              </w:rPr>
              <w:t>Summary document duly justifying how the milestone (including all the constitutive elements) was satisfactorily fulfilled, with appropriate links to the underlying evidence.</w:t>
            </w:r>
          </w:p>
          <w:p w14:paraId="17548A0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lang w:val="en-GB"/>
                <w14:ligatures w14:val="none"/>
              </w:rPr>
              <w:t xml:space="preserve">This document shall include as an annex the following documentary evidence: </w:t>
            </w:r>
          </w:p>
          <w:p w14:paraId="2140D0D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lang w:val="en-GB"/>
                <w14:ligatures w14:val="none"/>
              </w:rPr>
              <w:t xml:space="preserve">a) a copy of and a link to the law establishing the justice training center, including a reference to the provision indicating the entry into force; </w:t>
            </w:r>
          </w:p>
          <w:p w14:paraId="4E97AF5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lang w:val="en-GB"/>
                <w14:ligatures w14:val="none"/>
              </w:rPr>
              <w:t>b) a copy of and a link to the relevant parts of the State budget law with an accompanying document referring to the parts relevant for the fulfilment of the milestone including a reference to the provision indicating the entry into force.</w:t>
            </w:r>
          </w:p>
        </w:tc>
        <w:tc>
          <w:tcPr>
            <w:tcW w:w="1913" w:type="dxa"/>
            <w:shd w:val="clear" w:color="auto" w:fill="C6EFCE"/>
          </w:tcPr>
          <w:p w14:paraId="2C2DF55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following has entered into force:</w:t>
            </w:r>
          </w:p>
          <w:p w14:paraId="7A2A03E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A law for the establishment and operation of the institutional model of the justice training centre entered into force, including the definition of the involvement of the judiciary and the Judicial Council on training content and methodology. </w:t>
            </w:r>
          </w:p>
          <w:p w14:paraId="38E504C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State budget funding for the financing of the full coverage of the training centre’s maintenance costs, staff costs and training content expenses, including the updating of training programmmes from 2025 onwards shall be ensured. </w:t>
            </w:r>
            <w:r w:rsidRPr="00BA1475">
              <w:rPr>
                <w:rFonts w:ascii="Arial Narrow" w:eastAsia="Times New Roman" w:hAnsi="Arial Narrow" w:cs="Times New Roman"/>
                <w:noProof/>
                <w:kern w:val="0"/>
                <w:sz w:val="16"/>
                <w:szCs w:val="16"/>
                <w:shd w:val="clear" w:color="auto" w:fill="E6E6E6"/>
                <w:lang w:val="en-GB" w:eastAsia="en-GB"/>
                <w14:ligatures w14:val="none"/>
              </w:rPr>
              <w:t xml:space="preserve"> </w:t>
            </w:r>
          </w:p>
        </w:tc>
      </w:tr>
      <w:tr w:rsidR="007802BD" w:rsidRPr="00BA1475" w14:paraId="64052F63" w14:textId="77777777" w:rsidTr="007802BD">
        <w:trPr>
          <w:trHeight w:val="1200"/>
          <w:jc w:val="center"/>
        </w:trPr>
        <w:tc>
          <w:tcPr>
            <w:tcW w:w="500" w:type="dxa"/>
            <w:shd w:val="clear" w:color="auto" w:fill="C6EFCE"/>
            <w:hideMark/>
          </w:tcPr>
          <w:p w14:paraId="7EA716BA" w14:textId="77777777" w:rsidR="00BA1475" w:rsidRPr="00610215" w:rsidRDefault="00BA1475" w:rsidP="00BA1475">
            <w:pPr>
              <w:spacing w:after="0" w:line="240" w:lineRule="auto"/>
              <w:rPr>
                <w:rFonts w:ascii="Arial Narrow" w:eastAsia="Times New Roman" w:hAnsi="Arial Narrow" w:cs="Times New Roman"/>
                <w:noProof/>
                <w:kern w:val="0"/>
                <w:sz w:val="14"/>
                <w:szCs w:val="14"/>
                <w:lang w:val="en-GB" w:eastAsia="en-GB"/>
                <w14:ligatures w14:val="none"/>
              </w:rPr>
            </w:pPr>
            <w:r w:rsidRPr="00610215">
              <w:rPr>
                <w:rFonts w:ascii="Arial Narrow" w:eastAsia="Times New Roman" w:hAnsi="Arial Narrow" w:cs="Times New Roman"/>
                <w:noProof/>
                <w:kern w:val="0"/>
                <w:sz w:val="14"/>
                <w:szCs w:val="14"/>
                <w:lang w:val="en-GB" w:eastAsia="en-GB"/>
                <w14:ligatures w14:val="none"/>
              </w:rPr>
              <w:t>193</w:t>
            </w:r>
          </w:p>
        </w:tc>
        <w:tc>
          <w:tcPr>
            <w:tcW w:w="1197" w:type="dxa"/>
            <w:shd w:val="clear" w:color="auto" w:fill="C6EFCE"/>
            <w:hideMark/>
          </w:tcPr>
          <w:p w14:paraId="6B1FD886" w14:textId="77777777" w:rsidR="00BA1475" w:rsidRPr="00610215" w:rsidRDefault="00BA1475" w:rsidP="00BA1475">
            <w:pPr>
              <w:spacing w:after="0" w:line="240" w:lineRule="auto"/>
              <w:rPr>
                <w:rFonts w:ascii="Arial Narrow" w:eastAsia="Times New Roman" w:hAnsi="Arial Narrow" w:cs="Times New Roman"/>
                <w:b/>
                <w:bCs/>
                <w:noProof/>
                <w:kern w:val="0"/>
                <w:sz w:val="14"/>
                <w:szCs w:val="14"/>
                <w:lang w:val="en-GB" w:eastAsia="en-GB"/>
                <w14:ligatures w14:val="none"/>
              </w:rPr>
            </w:pPr>
            <w:r w:rsidRPr="00610215">
              <w:rPr>
                <w:rFonts w:ascii="Arial Narrow" w:eastAsia="Times New Roman" w:hAnsi="Arial Narrow" w:cs="Times New Roman"/>
                <w:b/>
                <w:bCs/>
                <w:noProof/>
                <w:kern w:val="0"/>
                <w:sz w:val="14"/>
                <w:szCs w:val="14"/>
                <w:lang w:val="en-GB" w:eastAsia="en-GB"/>
                <w14:ligatures w14:val="none"/>
              </w:rPr>
              <w:t>6.2.1.3.i. Establishment of a single training centre for the development of the qualifications of judges, court staff, prosecutors, assistant prosecutors and specialised investigators (interdisciplinary matters)</w:t>
            </w:r>
          </w:p>
        </w:tc>
        <w:tc>
          <w:tcPr>
            <w:tcW w:w="851" w:type="dxa"/>
            <w:shd w:val="clear" w:color="auto" w:fill="C6EFCE"/>
            <w:hideMark/>
          </w:tcPr>
          <w:p w14:paraId="3FC28FB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2610C6F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New training programme developmentand approval</w:t>
            </w:r>
          </w:p>
        </w:tc>
        <w:tc>
          <w:tcPr>
            <w:tcW w:w="1200" w:type="dxa"/>
            <w:shd w:val="clear" w:color="auto" w:fill="C6EFCE"/>
            <w:hideMark/>
          </w:tcPr>
          <w:p w14:paraId="6CAC9C0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34EADD9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w:t>
            </w:r>
          </w:p>
        </w:tc>
        <w:tc>
          <w:tcPr>
            <w:tcW w:w="840" w:type="dxa"/>
            <w:shd w:val="clear" w:color="auto" w:fill="C6EFCE"/>
            <w:hideMark/>
          </w:tcPr>
          <w:p w14:paraId="3144898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91" w:type="dxa"/>
            <w:shd w:val="clear" w:color="auto" w:fill="C6EFCE"/>
            <w:hideMark/>
          </w:tcPr>
          <w:p w14:paraId="2D5BFFE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10</w:t>
            </w:r>
          </w:p>
        </w:tc>
        <w:tc>
          <w:tcPr>
            <w:tcW w:w="480" w:type="dxa"/>
            <w:shd w:val="clear" w:color="auto" w:fill="C6EFCE"/>
            <w:hideMark/>
          </w:tcPr>
          <w:p w14:paraId="3D759CF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6414356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320" w:type="dxa"/>
            <w:shd w:val="clear" w:color="auto" w:fill="C6EFCE"/>
          </w:tcPr>
          <w:p w14:paraId="7650AF2A"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Justice collects data and is responsible for reporting.</w:t>
            </w:r>
          </w:p>
        </w:tc>
        <w:tc>
          <w:tcPr>
            <w:tcW w:w="1320" w:type="dxa"/>
            <w:shd w:val="clear" w:color="auto" w:fill="C6EFCE"/>
          </w:tcPr>
          <w:p w14:paraId="105CD1C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53E95C8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3A902DB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4837A56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Calibri" w:hAnsi="Arial Narrow" w:cs="Calibri"/>
                <w:noProof/>
                <w:kern w:val="0"/>
                <w:sz w:val="16"/>
                <w:szCs w:val="16"/>
                <w:lang w:val="en-GB"/>
                <w14:ligatures w14:val="none"/>
              </w:rPr>
              <w:t xml:space="preserve">a) a copy of the ten new training programme descriptions </w:t>
            </w:r>
            <w:r w:rsidRPr="00BA1475">
              <w:rPr>
                <w:rFonts w:ascii="Arial Narrow" w:eastAsia="Times New Roman" w:hAnsi="Arial Narrow" w:cs="Times New Roman"/>
                <w:noProof/>
                <w:kern w:val="0"/>
                <w:sz w:val="16"/>
                <w:szCs w:val="16"/>
                <w:lang w:val="en-GB" w:eastAsia="en-GB"/>
                <w14:ligatures w14:val="none"/>
              </w:rPr>
              <w:t xml:space="preserve">for judges, court staff, prosecutors and assistant prosecutors, specific interdisciplinary training for investigators; </w:t>
            </w:r>
          </w:p>
          <w:p w14:paraId="19D1DA15" w14:textId="77777777" w:rsidR="00BA1475" w:rsidRPr="00BA1475" w:rsidRDefault="00BA1475" w:rsidP="00BA1475">
            <w:pPr>
              <w:spacing w:after="0" w:line="240" w:lineRule="auto"/>
              <w:rPr>
                <w:rFonts w:ascii="Arial Narrow" w:eastAsia="Arial Narrow" w:hAnsi="Arial Narrow" w:cs="Arial Narrow"/>
                <w:noProof/>
                <w:kern w:val="0"/>
                <w:sz w:val="16"/>
                <w:szCs w:val="16"/>
                <w:lang w:val="en-GB"/>
                <w14:ligatures w14:val="none"/>
              </w:rPr>
            </w:pPr>
            <w:r w:rsidRPr="00BA1475">
              <w:rPr>
                <w:rFonts w:ascii="Arial Narrow" w:eastAsia="Times New Roman" w:hAnsi="Arial Narrow" w:cs="Times New Roman"/>
                <w:noProof/>
                <w:kern w:val="0"/>
                <w:sz w:val="16"/>
                <w:szCs w:val="16"/>
                <w:lang w:val="en-GB" w:eastAsia="en-GB"/>
                <w14:ligatures w14:val="none"/>
              </w:rPr>
              <w:t>b) copy of Minutes of the Supervisory Board of the project “Judicial Academy” with the decision approving the training programmes</w:t>
            </w:r>
          </w:p>
        </w:tc>
        <w:tc>
          <w:tcPr>
            <w:tcW w:w="1913" w:type="dxa"/>
            <w:shd w:val="clear" w:color="auto" w:fill="C6EFCE"/>
            <w:hideMark/>
          </w:tcPr>
          <w:p w14:paraId="22A813C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Ten new training programmes for judges, court staff, prosecutors and assistant prosecutors, specific interdisciplinary training for investigators, including on issues such as cybercrime, fraud and tax evasion, corruption in public procurement and money laundering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be developed and approved.</w:t>
            </w:r>
          </w:p>
          <w:p w14:paraId="250C4D7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programmes are approved by the Supervisory Board of the “Judicial Academy” project, in which the Judicial Council is also represented.</w:t>
            </w:r>
          </w:p>
        </w:tc>
      </w:tr>
      <w:tr w:rsidR="007802BD" w:rsidRPr="00BA1475" w14:paraId="12DCFB85" w14:textId="77777777" w:rsidTr="007802BD">
        <w:trPr>
          <w:trHeight w:val="559"/>
          <w:jc w:val="center"/>
        </w:trPr>
        <w:tc>
          <w:tcPr>
            <w:tcW w:w="500" w:type="dxa"/>
            <w:shd w:val="clear" w:color="auto" w:fill="C6EFCE"/>
            <w:hideMark/>
          </w:tcPr>
          <w:p w14:paraId="35F7E2A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194</w:t>
            </w:r>
          </w:p>
        </w:tc>
        <w:tc>
          <w:tcPr>
            <w:tcW w:w="1197" w:type="dxa"/>
            <w:shd w:val="clear" w:color="auto" w:fill="C6EFCE"/>
            <w:hideMark/>
          </w:tcPr>
          <w:p w14:paraId="01BED38C"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610215">
              <w:rPr>
                <w:rFonts w:ascii="Arial Narrow" w:eastAsia="Times New Roman" w:hAnsi="Arial Narrow" w:cs="Times New Roman"/>
                <w:b/>
                <w:bCs/>
                <w:noProof/>
                <w:kern w:val="0"/>
                <w:sz w:val="14"/>
                <w:szCs w:val="14"/>
                <w:lang w:val="en-GB" w:eastAsia="en-GB"/>
                <w14:ligatures w14:val="none"/>
              </w:rPr>
              <w:t>6.2.1.3.i. Establishment of a single training centre for the development of the qualifications of judges, court staff, prosecutors, assistant prosecutors and specialised investigators (interdisciplinary matters)</w:t>
            </w:r>
          </w:p>
        </w:tc>
        <w:tc>
          <w:tcPr>
            <w:tcW w:w="851" w:type="dxa"/>
            <w:shd w:val="clear" w:color="auto" w:fill="C6EFCE"/>
            <w:hideMark/>
          </w:tcPr>
          <w:p w14:paraId="10C6622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25B01FC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Calibri" w:hAnsi="Arial Narrow" w:cs="Times New Roman"/>
                <w:noProof/>
                <w:kern w:val="0"/>
                <w:sz w:val="16"/>
                <w:szCs w:val="16"/>
                <w:lang w:val="en-GB" w:eastAsia="en-GB"/>
                <w14:ligatures w14:val="none"/>
              </w:rPr>
              <w:t>Implementation  of training programmes</w:t>
            </w:r>
          </w:p>
        </w:tc>
        <w:tc>
          <w:tcPr>
            <w:tcW w:w="1200" w:type="dxa"/>
            <w:shd w:val="clear" w:color="auto" w:fill="C6EFCE"/>
            <w:hideMark/>
          </w:tcPr>
          <w:p w14:paraId="70C0DDB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3206214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w:t>
            </w:r>
          </w:p>
        </w:tc>
        <w:tc>
          <w:tcPr>
            <w:tcW w:w="840" w:type="dxa"/>
            <w:shd w:val="clear" w:color="auto" w:fill="C6EFCE"/>
            <w:hideMark/>
          </w:tcPr>
          <w:p w14:paraId="30366C9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91" w:type="dxa"/>
            <w:shd w:val="clear" w:color="auto" w:fill="C6EFCE"/>
            <w:hideMark/>
          </w:tcPr>
          <w:p w14:paraId="32F0BC9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10</w:t>
            </w:r>
          </w:p>
        </w:tc>
        <w:tc>
          <w:tcPr>
            <w:tcW w:w="480" w:type="dxa"/>
            <w:shd w:val="clear" w:color="auto" w:fill="C6EFCE"/>
            <w:hideMark/>
          </w:tcPr>
          <w:p w14:paraId="5880B21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600" w:type="dxa"/>
            <w:shd w:val="clear" w:color="auto" w:fill="C6EFCE"/>
            <w:hideMark/>
          </w:tcPr>
          <w:p w14:paraId="5C3E15F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320" w:type="dxa"/>
            <w:shd w:val="clear" w:color="auto" w:fill="C6EFCE"/>
          </w:tcPr>
          <w:p w14:paraId="54DE9D18"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Justice collects data and is responsible for reporting.</w:t>
            </w:r>
          </w:p>
        </w:tc>
        <w:tc>
          <w:tcPr>
            <w:tcW w:w="1320" w:type="dxa"/>
            <w:shd w:val="clear" w:color="auto" w:fill="C6EFCE"/>
          </w:tcPr>
          <w:p w14:paraId="7B3D8A2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02EA756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77A6CBE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54E954C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training programme description b) list of organised training events. </w:t>
            </w:r>
          </w:p>
        </w:tc>
        <w:tc>
          <w:tcPr>
            <w:tcW w:w="1913" w:type="dxa"/>
            <w:shd w:val="clear" w:color="auto" w:fill="C6EFCE"/>
            <w:hideMark/>
          </w:tcPr>
          <w:p w14:paraId="1667455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Calibri" w:eastAsia="Calibri" w:hAnsi="Calibri" w:cs="Arial"/>
                <w:kern w:val="0"/>
                <w:lang w:val="en-GB"/>
                <w14:ligatures w14:val="none"/>
              </w:rPr>
              <w:t xml:space="preserve"> </w:t>
            </w:r>
            <w:r w:rsidRPr="00BA1475">
              <w:rPr>
                <w:rFonts w:ascii="Arial Narrow" w:eastAsia="Times New Roman" w:hAnsi="Arial Narrow" w:cs="Times New Roman"/>
                <w:noProof/>
                <w:kern w:val="0"/>
                <w:sz w:val="16"/>
                <w:szCs w:val="16"/>
                <w:lang w:val="en-GB" w:eastAsia="en-GB"/>
                <w14:ligatures w14:val="none"/>
              </w:rPr>
              <w:t>The training programmes (onsite, remote and e-learning) for judges, court staff, prosecutors and assistant prosecutors, specific interdisciplinary training for investigators, including on issues such as cybercrime, fraud and tax evasion, corruption in public procurement and money laundering shall be implemented.</w:t>
            </w:r>
          </w:p>
        </w:tc>
      </w:tr>
      <w:tr w:rsidR="007802BD" w:rsidRPr="00BA1475" w14:paraId="20187DB1" w14:textId="77777777" w:rsidTr="007802BD">
        <w:trPr>
          <w:trHeight w:val="1200"/>
          <w:jc w:val="center"/>
        </w:trPr>
        <w:tc>
          <w:tcPr>
            <w:tcW w:w="500" w:type="dxa"/>
            <w:shd w:val="clear" w:color="auto" w:fill="C6EFCE"/>
            <w:hideMark/>
          </w:tcPr>
          <w:p w14:paraId="42A9E50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195</w:t>
            </w:r>
          </w:p>
        </w:tc>
        <w:tc>
          <w:tcPr>
            <w:tcW w:w="1197" w:type="dxa"/>
            <w:shd w:val="clear" w:color="auto" w:fill="C6EFCE"/>
            <w:hideMark/>
          </w:tcPr>
          <w:p w14:paraId="0AC3EA81"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610215">
              <w:rPr>
                <w:rFonts w:ascii="Arial Narrow" w:eastAsia="Times New Roman" w:hAnsi="Arial Narrow" w:cs="Times New Roman"/>
                <w:b/>
                <w:bCs/>
                <w:noProof/>
                <w:kern w:val="0"/>
                <w:sz w:val="14"/>
                <w:szCs w:val="14"/>
                <w:lang w:val="en-GB" w:eastAsia="en-GB"/>
                <w14:ligatures w14:val="none"/>
              </w:rPr>
              <w:t>6.2.1.3.i. Establishment of a single training centre for the development of the qualifications of judges, court staff, prosecutors, assistant prosecutors and specialised investigators (interdisciplinary matters)</w:t>
            </w:r>
          </w:p>
        </w:tc>
        <w:tc>
          <w:tcPr>
            <w:tcW w:w="851" w:type="dxa"/>
            <w:shd w:val="clear" w:color="auto" w:fill="C6EFCE"/>
            <w:hideMark/>
          </w:tcPr>
          <w:p w14:paraId="190809B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646A7E4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Establishment of a training centre</w:t>
            </w:r>
          </w:p>
        </w:tc>
        <w:tc>
          <w:tcPr>
            <w:tcW w:w="1200" w:type="dxa"/>
            <w:shd w:val="clear" w:color="auto" w:fill="C6EFCE"/>
            <w:hideMark/>
          </w:tcPr>
          <w:p w14:paraId="647C970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Adaptation of premises (renovation) and provision of equipment for the training centre completed</w:t>
            </w:r>
          </w:p>
        </w:tc>
        <w:tc>
          <w:tcPr>
            <w:tcW w:w="840" w:type="dxa"/>
            <w:shd w:val="clear" w:color="auto" w:fill="C6EFCE"/>
            <w:hideMark/>
          </w:tcPr>
          <w:p w14:paraId="1ABBE5A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356705C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4C55544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008FB98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24CC782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320" w:type="dxa"/>
            <w:shd w:val="clear" w:color="auto" w:fill="C6EFCE"/>
          </w:tcPr>
          <w:p w14:paraId="532A7EC2"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Justice collects data and is responsible for reporting.</w:t>
            </w:r>
          </w:p>
        </w:tc>
        <w:tc>
          <w:tcPr>
            <w:tcW w:w="1320" w:type="dxa"/>
            <w:shd w:val="clear" w:color="auto" w:fill="C6EFCE"/>
          </w:tcPr>
          <w:p w14:paraId="204DB0D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5F86919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488BDAA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3850AE4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certificate of completion issued in line with national legislation confirming the adaptation (renovation) of the premises has been completed; </w:t>
            </w:r>
          </w:p>
          <w:p w14:paraId="0A3AEA0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if procured separately, a list of equipment purchases made including the items bought and the purchase dates.</w:t>
            </w:r>
          </w:p>
        </w:tc>
        <w:tc>
          <w:tcPr>
            <w:tcW w:w="1913" w:type="dxa"/>
            <w:shd w:val="clear" w:color="auto" w:fill="C6EFCE"/>
            <w:hideMark/>
          </w:tcPr>
          <w:p w14:paraId="113101A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necessary adaptation of the premises (renovation) to the needs of the training centre has been completed.  Purchase and development of the necessary equipment in the premises of the training centre. The premises of the training centre are refurbished and equipped.</w:t>
            </w:r>
          </w:p>
        </w:tc>
      </w:tr>
      <w:tr w:rsidR="007802BD" w:rsidRPr="00BA1475" w14:paraId="28994851" w14:textId="77777777" w:rsidTr="007802BD">
        <w:trPr>
          <w:trHeight w:val="1200"/>
          <w:jc w:val="center"/>
        </w:trPr>
        <w:tc>
          <w:tcPr>
            <w:tcW w:w="500" w:type="dxa"/>
            <w:shd w:val="clear" w:color="auto" w:fill="C6EFCE"/>
            <w:hideMark/>
          </w:tcPr>
          <w:p w14:paraId="669AC0F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196</w:t>
            </w:r>
          </w:p>
        </w:tc>
        <w:tc>
          <w:tcPr>
            <w:tcW w:w="1197" w:type="dxa"/>
            <w:shd w:val="clear" w:color="auto" w:fill="C6EFCE"/>
            <w:hideMark/>
          </w:tcPr>
          <w:p w14:paraId="59E9E9D8"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6.3.1.r. Modernisation of public administration</w:t>
            </w:r>
          </w:p>
        </w:tc>
        <w:tc>
          <w:tcPr>
            <w:tcW w:w="851" w:type="dxa"/>
            <w:shd w:val="clear" w:color="auto" w:fill="C6EFCE"/>
            <w:hideMark/>
          </w:tcPr>
          <w:p w14:paraId="7DBCF80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5585233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Approved Plan for Modernisation of Public Administration</w:t>
            </w:r>
          </w:p>
        </w:tc>
        <w:tc>
          <w:tcPr>
            <w:tcW w:w="1200" w:type="dxa"/>
            <w:shd w:val="clear" w:color="auto" w:fill="C6EFCE"/>
            <w:hideMark/>
          </w:tcPr>
          <w:p w14:paraId="6FA44DF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Plan for Modernisation of Public Administration approved</w:t>
            </w:r>
          </w:p>
        </w:tc>
        <w:tc>
          <w:tcPr>
            <w:tcW w:w="840" w:type="dxa"/>
            <w:shd w:val="clear" w:color="auto" w:fill="C6EFCE"/>
            <w:hideMark/>
          </w:tcPr>
          <w:p w14:paraId="0D4EFE6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2A8285F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6C5A38A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5C3D774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3D14BED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320" w:type="dxa"/>
            <w:shd w:val="clear" w:color="auto" w:fill="C6EFCE"/>
          </w:tcPr>
          <w:p w14:paraId="5FE95FB2"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State Chancellery </w:t>
            </w:r>
          </w:p>
        </w:tc>
        <w:tc>
          <w:tcPr>
            <w:tcW w:w="1320" w:type="dxa"/>
            <w:shd w:val="clear" w:color="auto" w:fill="C6EFCE"/>
          </w:tcPr>
          <w:p w14:paraId="17090E9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5181E2B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7EE460B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1A5F80E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approved Plan for Modernisation of Public Administration; </w:t>
            </w:r>
          </w:p>
          <w:p w14:paraId="5CE12D1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 copy of the decision approving the Plan for Modernisation of Public Administration by the Cabinet of Ministers.</w:t>
            </w:r>
          </w:p>
        </w:tc>
        <w:tc>
          <w:tcPr>
            <w:tcW w:w="1913" w:type="dxa"/>
            <w:shd w:val="clear" w:color="auto" w:fill="C6EFCE"/>
            <w:hideMark/>
          </w:tcPr>
          <w:p w14:paraId="458C431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plan for the modernisation of public administration is approved by the Cabinet of Ministers. The plan covers the following priority areas and including timeframes for implementation:</w:t>
            </w:r>
          </w:p>
          <w:p w14:paraId="30F5D05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An open, transparent, fair and accountable public administration: the principles of integrity are reviewed and improved by defining and implementing accountability to every public administration, as well as by respecting ethical principles and values in the work of public administration;</w:t>
            </w:r>
          </w:p>
          <w:p w14:paraId="6146B2C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(b) Uniform, centralised and standardised support processes and systems – the introduction of a centralised resource management system in public administrations, including accounting and human resources management;</w:t>
            </w:r>
          </w:p>
          <w:p w14:paraId="7044A0C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sidDel="00F11949">
              <w:rPr>
                <w:rFonts w:ascii="Arial Narrow" w:eastAsia="Times New Roman" w:hAnsi="Arial Narrow" w:cs="Times New Roman"/>
                <w:noProof/>
                <w:kern w:val="0"/>
                <w:sz w:val="16"/>
                <w:szCs w:val="16"/>
                <w:lang w:val="en-GB" w:eastAsia="en-GB"/>
                <w14:ligatures w14:val="none"/>
              </w:rPr>
              <w:t>(c)</w:t>
            </w:r>
            <w:r w:rsidRPr="00BA1475">
              <w:rPr>
                <w:rFonts w:ascii="Arial Narrow" w:eastAsia="Times New Roman" w:hAnsi="Arial Narrow" w:cs="Times New Roman"/>
                <w:noProof/>
                <w:kern w:val="0"/>
                <w:sz w:val="16"/>
                <w:szCs w:val="16"/>
                <w:lang w:val="en-GB" w:eastAsia="en-GB"/>
                <w14:ligatures w14:val="none"/>
              </w:rPr>
              <w:t xml:space="preserve"> Strategic human resources management and development, including selection, career management, evaluation, learning and development;</w:t>
            </w:r>
          </w:p>
          <w:p w14:paraId="13D9E0F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(d) Available, comprehensible and relevant services –developing digital transmission guidelines and digitising services, while ensuring their accessibility, accessibility and comprehensibility for all citizens, including those who do not use digital tools.</w:t>
            </w:r>
          </w:p>
        </w:tc>
      </w:tr>
      <w:tr w:rsidR="007802BD" w:rsidRPr="00BA1475" w14:paraId="7DC22BAF" w14:textId="77777777" w:rsidTr="007802BD">
        <w:trPr>
          <w:trHeight w:val="923"/>
          <w:jc w:val="center"/>
        </w:trPr>
        <w:tc>
          <w:tcPr>
            <w:tcW w:w="500" w:type="dxa"/>
            <w:shd w:val="clear" w:color="auto" w:fill="C6EFCE"/>
            <w:hideMark/>
          </w:tcPr>
          <w:p w14:paraId="1B780F5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197</w:t>
            </w:r>
          </w:p>
        </w:tc>
        <w:tc>
          <w:tcPr>
            <w:tcW w:w="1197" w:type="dxa"/>
            <w:shd w:val="clear" w:color="auto" w:fill="C6EFCE"/>
            <w:hideMark/>
          </w:tcPr>
          <w:p w14:paraId="67F03944"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6.3.1.r. Modernisation of public administration</w:t>
            </w:r>
          </w:p>
        </w:tc>
        <w:tc>
          <w:tcPr>
            <w:tcW w:w="851" w:type="dxa"/>
            <w:shd w:val="clear" w:color="auto" w:fill="C6EFCE"/>
            <w:hideMark/>
          </w:tcPr>
          <w:p w14:paraId="05D1D14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5D574A8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Review of progress in the implementation of the Plan for Modernisation of Public Administration approved</w:t>
            </w:r>
          </w:p>
        </w:tc>
        <w:tc>
          <w:tcPr>
            <w:tcW w:w="1200" w:type="dxa"/>
            <w:shd w:val="clear" w:color="auto" w:fill="C6EFCE"/>
            <w:hideMark/>
          </w:tcPr>
          <w:p w14:paraId="78D2981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Review of progress in the implementation of the Plan for Modernisation of Public Administration approved</w:t>
            </w:r>
          </w:p>
        </w:tc>
        <w:tc>
          <w:tcPr>
            <w:tcW w:w="840" w:type="dxa"/>
            <w:shd w:val="clear" w:color="auto" w:fill="C6EFCE"/>
            <w:hideMark/>
          </w:tcPr>
          <w:p w14:paraId="4221D15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2669FEB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4B5D2D6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50A2FB5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17902FC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1186184D"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State Chancellery </w:t>
            </w:r>
          </w:p>
        </w:tc>
        <w:tc>
          <w:tcPr>
            <w:tcW w:w="1320" w:type="dxa"/>
            <w:shd w:val="clear" w:color="auto" w:fill="C6EFCE"/>
          </w:tcPr>
          <w:p w14:paraId="605EF32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35A1F27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20DF588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3355289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the review of progress in the implementation of the Plan for Modernisation of Public Administration; </w:t>
            </w:r>
          </w:p>
          <w:p w14:paraId="6501E22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a copy of the decision of the Cabinet of Ministers </w:t>
            </w:r>
            <w:r w:rsidRPr="00BA1475">
              <w:rPr>
                <w:rFonts w:ascii="Arial Narrow" w:eastAsia="Times New Roman" w:hAnsi="Arial Narrow" w:cs="Times New Roman"/>
                <w:noProof/>
                <w:kern w:val="0"/>
                <w:sz w:val="16"/>
                <w:szCs w:val="16"/>
                <w:lang w:val="en-GB" w:eastAsia="en-GB"/>
                <w14:ligatures w14:val="none"/>
              </w:rPr>
              <w:t>approving the Progress Report on the Implementation of the Plan for Modernisation of Public Administration.</w:t>
            </w:r>
          </w:p>
        </w:tc>
        <w:tc>
          <w:tcPr>
            <w:tcW w:w="1913" w:type="dxa"/>
            <w:shd w:val="clear" w:color="auto" w:fill="C6EFCE"/>
            <w:hideMark/>
          </w:tcPr>
          <w:p w14:paraId="144D8A5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Cabinet of Ministers has approved the Progress Report on the Implementation of the Plan for Modernisation of Public Administration, which includes, if necessary, amendments to the plan’s measures in line with the objectives of the Plan.</w:t>
            </w:r>
          </w:p>
        </w:tc>
      </w:tr>
      <w:tr w:rsidR="007802BD" w:rsidRPr="00BA1475" w14:paraId="3529D191" w14:textId="77777777" w:rsidTr="007802BD">
        <w:trPr>
          <w:trHeight w:val="1200"/>
          <w:jc w:val="center"/>
        </w:trPr>
        <w:tc>
          <w:tcPr>
            <w:tcW w:w="500" w:type="dxa"/>
            <w:shd w:val="clear" w:color="auto" w:fill="C6EFCE"/>
            <w:hideMark/>
          </w:tcPr>
          <w:p w14:paraId="1D12DC3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198</w:t>
            </w:r>
          </w:p>
        </w:tc>
        <w:tc>
          <w:tcPr>
            <w:tcW w:w="1197" w:type="dxa"/>
            <w:shd w:val="clear" w:color="auto" w:fill="C6EFCE"/>
            <w:hideMark/>
          </w:tcPr>
          <w:p w14:paraId="77975616"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6.3.1.r. Modernisation of public administration</w:t>
            </w:r>
          </w:p>
        </w:tc>
        <w:tc>
          <w:tcPr>
            <w:tcW w:w="851" w:type="dxa"/>
            <w:shd w:val="clear" w:color="auto" w:fill="C6EFCE"/>
            <w:hideMark/>
          </w:tcPr>
          <w:p w14:paraId="03CE92F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26E8C2B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Concept of the Single Service Centre approved as a prerequisite for the provision of centralised services</w:t>
            </w:r>
          </w:p>
        </w:tc>
        <w:tc>
          <w:tcPr>
            <w:tcW w:w="1200" w:type="dxa"/>
            <w:shd w:val="clear" w:color="auto" w:fill="C6EFCE"/>
            <w:hideMark/>
          </w:tcPr>
          <w:p w14:paraId="4A825D5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0643A64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6C4FADB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47C7315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3FBCF94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4FB3D96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320" w:type="dxa"/>
            <w:shd w:val="clear" w:color="auto" w:fill="C6EFCE"/>
          </w:tcPr>
          <w:p w14:paraId="41A74E1B"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State Chancellery </w:t>
            </w:r>
          </w:p>
        </w:tc>
        <w:tc>
          <w:tcPr>
            <w:tcW w:w="1320" w:type="dxa"/>
            <w:shd w:val="clear" w:color="auto" w:fill="C6EFCE"/>
          </w:tcPr>
          <w:p w14:paraId="4A6C42E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364FF46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34610F9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0AA0798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concept </w:t>
            </w:r>
            <w:r w:rsidRPr="00BA1475">
              <w:rPr>
                <w:rFonts w:ascii="Arial Narrow" w:eastAsia="Times New Roman" w:hAnsi="Arial Narrow" w:cs="Times New Roman"/>
                <w:noProof/>
                <w:kern w:val="0"/>
                <w:sz w:val="16"/>
                <w:szCs w:val="16"/>
                <w:lang w:val="en-GB" w:eastAsia="en-GB"/>
                <w14:ligatures w14:val="none"/>
              </w:rPr>
              <w:t>of the Single Service Centre</w:t>
            </w:r>
            <w:r w:rsidRPr="00BA1475">
              <w:rPr>
                <w:rFonts w:ascii="Arial Narrow" w:eastAsia="Calibri" w:hAnsi="Arial Narrow" w:cs="Calibri"/>
                <w:noProof/>
                <w:kern w:val="0"/>
                <w:sz w:val="16"/>
                <w:szCs w:val="16"/>
                <w:lang w:val="en-GB"/>
                <w14:ligatures w14:val="none"/>
              </w:rPr>
              <w:t xml:space="preserve"> report describing how the centralisation of public administration support functions will take place; </w:t>
            </w:r>
          </w:p>
          <w:p w14:paraId="4962660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a copy of the decision </w:t>
            </w:r>
            <w:bookmarkStart w:id="14" w:name="_Hlk85544914"/>
            <w:r w:rsidRPr="00BA1475">
              <w:rPr>
                <w:rFonts w:ascii="Arial Narrow" w:eastAsia="Calibri" w:hAnsi="Arial Narrow" w:cs="Calibri"/>
                <w:noProof/>
                <w:kern w:val="0"/>
                <w:sz w:val="16"/>
                <w:szCs w:val="16"/>
                <w:lang w:val="en-GB"/>
                <w14:ligatures w14:val="none"/>
              </w:rPr>
              <w:t xml:space="preserve">by the Cabinet of Ministers approving </w:t>
            </w:r>
            <w:bookmarkEnd w:id="14"/>
            <w:r w:rsidRPr="00BA1475">
              <w:rPr>
                <w:rFonts w:ascii="Arial Narrow" w:eastAsia="Times New Roman" w:hAnsi="Arial Narrow" w:cs="Times New Roman"/>
                <w:noProof/>
                <w:kern w:val="0"/>
                <w:sz w:val="16"/>
                <w:szCs w:val="16"/>
                <w:lang w:val="en-GB" w:eastAsia="en-GB"/>
                <w14:ligatures w14:val="none"/>
              </w:rPr>
              <w:t>the concept of the Single Service Centre.</w:t>
            </w:r>
          </w:p>
        </w:tc>
        <w:tc>
          <w:tcPr>
            <w:tcW w:w="1913" w:type="dxa"/>
            <w:shd w:val="clear" w:color="auto" w:fill="C6EFCE"/>
            <w:hideMark/>
          </w:tcPr>
          <w:p w14:paraId="5EF06F9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concept of the Single Service Centre has been developed and approved by the Cabinet of Ministers.  </w:t>
            </w:r>
          </w:p>
          <w:p w14:paraId="48F68A7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concept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describe how gradual centralisation of public administration support functions (at least accounting and personnel record keeping)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take place. </w:t>
            </w:r>
          </w:p>
        </w:tc>
      </w:tr>
      <w:tr w:rsidR="007802BD" w:rsidRPr="00BA1475" w14:paraId="7B0512B9" w14:textId="77777777" w:rsidTr="007802BD">
        <w:trPr>
          <w:trHeight w:val="937"/>
          <w:jc w:val="center"/>
        </w:trPr>
        <w:tc>
          <w:tcPr>
            <w:tcW w:w="500" w:type="dxa"/>
            <w:shd w:val="clear" w:color="auto" w:fill="C6EFCE"/>
            <w:hideMark/>
          </w:tcPr>
          <w:p w14:paraId="20596A37"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199</w:t>
            </w:r>
          </w:p>
        </w:tc>
        <w:tc>
          <w:tcPr>
            <w:tcW w:w="1197" w:type="dxa"/>
            <w:shd w:val="clear" w:color="auto" w:fill="C6EFCE"/>
            <w:hideMark/>
          </w:tcPr>
          <w:p w14:paraId="214C7ED9"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6.3.1.r. Modernisation of public administration</w:t>
            </w:r>
          </w:p>
        </w:tc>
        <w:tc>
          <w:tcPr>
            <w:tcW w:w="851" w:type="dxa"/>
            <w:shd w:val="clear" w:color="auto" w:fill="C6EFCE"/>
            <w:hideMark/>
          </w:tcPr>
          <w:p w14:paraId="0EAB0D8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5332741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Share of direct public administration human resources receiving accounting and human resource management services centrally.</w:t>
            </w:r>
          </w:p>
        </w:tc>
        <w:tc>
          <w:tcPr>
            <w:tcW w:w="1200" w:type="dxa"/>
            <w:shd w:val="clear" w:color="auto" w:fill="C6EFCE"/>
            <w:hideMark/>
          </w:tcPr>
          <w:p w14:paraId="519D83B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22D2844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of total number of employees employed in direct administration</w:t>
            </w:r>
          </w:p>
        </w:tc>
        <w:tc>
          <w:tcPr>
            <w:tcW w:w="840" w:type="dxa"/>
            <w:shd w:val="clear" w:color="auto" w:fill="C6EFCE"/>
            <w:hideMark/>
          </w:tcPr>
          <w:p w14:paraId="012A7E1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91" w:type="dxa"/>
            <w:shd w:val="clear" w:color="auto" w:fill="C6EFCE"/>
            <w:hideMark/>
          </w:tcPr>
          <w:p w14:paraId="5634762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15</w:t>
            </w:r>
          </w:p>
        </w:tc>
        <w:tc>
          <w:tcPr>
            <w:tcW w:w="480" w:type="dxa"/>
            <w:shd w:val="clear" w:color="auto" w:fill="C6EFCE"/>
            <w:hideMark/>
          </w:tcPr>
          <w:p w14:paraId="35A56D5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600" w:type="dxa"/>
            <w:shd w:val="clear" w:color="auto" w:fill="C6EFCE"/>
            <w:hideMark/>
          </w:tcPr>
          <w:p w14:paraId="265F95B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320" w:type="dxa"/>
            <w:shd w:val="clear" w:color="auto" w:fill="C6EFCE"/>
          </w:tcPr>
          <w:p w14:paraId="3C006148"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Chancellery</w:t>
            </w:r>
          </w:p>
        </w:tc>
        <w:tc>
          <w:tcPr>
            <w:tcW w:w="1320" w:type="dxa"/>
            <w:shd w:val="clear" w:color="auto" w:fill="C6EFCE"/>
          </w:tcPr>
          <w:p w14:paraId="75A0D70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3666198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05ED74B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an extract from the database of human resources showing at least 15% of </w:t>
            </w:r>
            <w:r w:rsidRPr="00BA1475">
              <w:rPr>
                <w:rFonts w:ascii="Arial Narrow" w:eastAsia="Times New Roman" w:hAnsi="Arial Narrow" w:cs="Times New Roman"/>
                <w:noProof/>
                <w:kern w:val="0"/>
                <w:sz w:val="16"/>
                <w:szCs w:val="16"/>
                <w:lang w:val="en-GB" w:eastAsia="en-GB"/>
                <w14:ligatures w14:val="none"/>
              </w:rPr>
              <w:t>employees in direct administration</w:t>
            </w:r>
            <w:r w:rsidRPr="00BA1475" w:rsidDel="00297B2B">
              <w:rPr>
                <w:rFonts w:ascii="Arial Narrow" w:eastAsia="Calibri" w:hAnsi="Arial Narrow" w:cs="Calibri"/>
                <w:noProof/>
                <w:kern w:val="0"/>
                <w:sz w:val="16"/>
                <w:szCs w:val="16"/>
                <w:lang w:val="en-GB"/>
                <w14:ligatures w14:val="none"/>
              </w:rPr>
              <w:t xml:space="preserve"> </w:t>
            </w:r>
            <w:r w:rsidRPr="00BA1475">
              <w:rPr>
                <w:rFonts w:ascii="Arial Narrow" w:eastAsia="Times New Roman" w:hAnsi="Arial Narrow" w:cs="Times New Roman"/>
                <w:noProof/>
                <w:kern w:val="0"/>
                <w:sz w:val="16"/>
                <w:szCs w:val="16"/>
                <w:lang w:val="en-GB" w:eastAsia="en-GB"/>
                <w14:ligatures w14:val="none"/>
              </w:rPr>
              <w:t>receiving centralised accounting and human resource management services from the single solution service provider.</w:t>
            </w:r>
            <w:r w:rsidRPr="00BA1475">
              <w:rPr>
                <w:rFonts w:ascii="Arial Narrow" w:eastAsia="Calibri" w:hAnsi="Arial Narrow" w:cs="Calibri"/>
                <w:noProof/>
                <w:kern w:val="0"/>
                <w:sz w:val="16"/>
                <w:szCs w:val="16"/>
                <w:lang w:val="en-GB"/>
                <w14:ligatures w14:val="none"/>
              </w:rPr>
              <w:t xml:space="preserve"> </w:t>
            </w:r>
          </w:p>
        </w:tc>
        <w:tc>
          <w:tcPr>
            <w:tcW w:w="1913" w:type="dxa"/>
            <w:shd w:val="clear" w:color="auto" w:fill="C6EFCE"/>
            <w:hideMark/>
          </w:tcPr>
          <w:p w14:paraId="01A30D7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entry into operation of a single solution and the gradual centralisation of the support functions such as accounting and human resource management of the public administration</w:t>
            </w:r>
            <w:r w:rsidRPr="00BA1475">
              <w:rPr>
                <w:rFonts w:ascii="Arial Narrow" w:eastAsia="Calibri" w:hAnsi="Arial Narrow" w:cs="Times New Roman"/>
                <w:noProof/>
                <w:kern w:val="0"/>
                <w:sz w:val="16"/>
                <w:szCs w:val="16"/>
                <w:lang w:val="en-GB"/>
                <w14:ligatures w14:val="none"/>
              </w:rPr>
              <w:t xml:space="preserve"> shall</w:t>
            </w:r>
            <w:r w:rsidRPr="00BA1475">
              <w:rPr>
                <w:rFonts w:ascii="Arial Narrow" w:eastAsia="Times New Roman" w:hAnsi="Arial Narrow" w:cs="Times New Roman"/>
                <w:noProof/>
                <w:kern w:val="0"/>
                <w:sz w:val="16"/>
                <w:szCs w:val="16"/>
                <w:lang w:val="en-GB" w:eastAsia="en-GB"/>
                <w14:ligatures w14:val="none"/>
              </w:rPr>
              <w:t xml:space="preserve"> start. </w:t>
            </w:r>
          </w:p>
          <w:p w14:paraId="67491DB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At least 15% of the total number of employees in direct administration shall receive centralised accounting and human resource management services from the single solution service provider.</w:t>
            </w:r>
          </w:p>
        </w:tc>
      </w:tr>
      <w:tr w:rsidR="007802BD" w:rsidRPr="00BA1475" w14:paraId="0C245318" w14:textId="77777777" w:rsidTr="007802BD">
        <w:trPr>
          <w:trHeight w:val="1200"/>
          <w:jc w:val="center"/>
        </w:trPr>
        <w:tc>
          <w:tcPr>
            <w:tcW w:w="500" w:type="dxa"/>
            <w:shd w:val="clear" w:color="auto" w:fill="C6EFCE"/>
            <w:hideMark/>
          </w:tcPr>
          <w:p w14:paraId="0CAC3F7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200</w:t>
            </w:r>
          </w:p>
        </w:tc>
        <w:tc>
          <w:tcPr>
            <w:tcW w:w="1197" w:type="dxa"/>
            <w:shd w:val="clear" w:color="auto" w:fill="C6EFCE"/>
            <w:hideMark/>
          </w:tcPr>
          <w:p w14:paraId="470A8BD2"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6.3.1.1.i. </w:t>
            </w:r>
          </w:p>
          <w:p w14:paraId="7AA2D2D9"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Open, transparent, fair and accountable public administration</w:t>
            </w:r>
          </w:p>
        </w:tc>
        <w:tc>
          <w:tcPr>
            <w:tcW w:w="851" w:type="dxa"/>
            <w:shd w:val="clear" w:color="auto" w:fill="C6EFCE"/>
            <w:hideMark/>
          </w:tcPr>
          <w:p w14:paraId="537FCDA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6902A058" w14:textId="77777777" w:rsidR="00BA1475" w:rsidRPr="00BA1475" w:rsidRDefault="00BA1475" w:rsidP="00BA1475">
            <w:pPr>
              <w:spacing w:after="24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Competence framework available</w:t>
            </w:r>
          </w:p>
        </w:tc>
        <w:tc>
          <w:tcPr>
            <w:tcW w:w="1200" w:type="dxa"/>
            <w:shd w:val="clear" w:color="auto" w:fill="C6EFCE"/>
            <w:hideMark/>
          </w:tcPr>
          <w:p w14:paraId="24CE2DC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Competence framework is available in the State Administration School Training Management system and approved by an internal regulatory act of the School of State Administration and the state budget law for 2024 has been passed.</w:t>
            </w:r>
          </w:p>
        </w:tc>
        <w:tc>
          <w:tcPr>
            <w:tcW w:w="840" w:type="dxa"/>
            <w:shd w:val="clear" w:color="auto" w:fill="C6EFCE"/>
            <w:hideMark/>
          </w:tcPr>
          <w:p w14:paraId="14BF150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01961F9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91" w:type="dxa"/>
            <w:shd w:val="clear" w:color="auto" w:fill="C6EFCE"/>
            <w:hideMark/>
          </w:tcPr>
          <w:p w14:paraId="77475F6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80" w:type="dxa"/>
            <w:shd w:val="clear" w:color="auto" w:fill="C6EFCE"/>
            <w:hideMark/>
          </w:tcPr>
          <w:p w14:paraId="0823504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4DCA933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2023</w:t>
            </w:r>
          </w:p>
        </w:tc>
        <w:tc>
          <w:tcPr>
            <w:tcW w:w="1320" w:type="dxa"/>
            <w:shd w:val="clear" w:color="auto" w:fill="C6EFCE"/>
          </w:tcPr>
          <w:p w14:paraId="6F7EC1BA"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State Chancellery </w:t>
            </w:r>
          </w:p>
        </w:tc>
        <w:tc>
          <w:tcPr>
            <w:tcW w:w="1320" w:type="dxa"/>
            <w:shd w:val="clear" w:color="auto" w:fill="C6EFCE"/>
          </w:tcPr>
          <w:p w14:paraId="6CDAFC7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28148A3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37066AB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0C38E46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internal document adopted by the State Administration School on the competence management system evidencing that the system has been set up and is made available in the </w:t>
            </w:r>
            <w:r w:rsidRPr="00BA1475">
              <w:rPr>
                <w:rFonts w:ascii="Arial Narrow" w:eastAsia="Times New Roman" w:hAnsi="Arial Narrow" w:cs="Times New Roman"/>
                <w:noProof/>
                <w:kern w:val="0"/>
                <w:sz w:val="16"/>
                <w:szCs w:val="16"/>
                <w:lang w:val="en-GB" w:eastAsia="en-GB"/>
                <w14:ligatures w14:val="none"/>
              </w:rPr>
              <w:t xml:space="preserve">State Administration School Training Management System; </w:t>
            </w:r>
          </w:p>
          <w:p w14:paraId="7D9FB2F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a copy of and a link to the publication in the Official Journal of the relevant parts of the State budget law evidencing that </w:t>
            </w:r>
            <w:r w:rsidRPr="00BA1475">
              <w:rPr>
                <w:rFonts w:ascii="Arial Narrow" w:eastAsia="Times New Roman" w:hAnsi="Arial Narrow" w:cs="Times New Roman"/>
                <w:noProof/>
                <w:kern w:val="0"/>
                <w:sz w:val="16"/>
                <w:szCs w:val="16"/>
                <w:lang w:val="en-GB" w:eastAsia="en-GB"/>
                <w14:ligatures w14:val="none"/>
              </w:rPr>
              <w:t xml:space="preserve">the State budget financing for the main public administration development training programmes has been ensured from 2024 onwards, </w:t>
            </w:r>
            <w:r w:rsidRPr="00BA1475">
              <w:rPr>
                <w:rFonts w:ascii="Arial Narrow" w:eastAsia="Calibri" w:hAnsi="Arial Narrow" w:cs="Calibri"/>
                <w:noProof/>
                <w:kern w:val="0"/>
                <w:sz w:val="16"/>
                <w:szCs w:val="16"/>
                <w:lang w:val="en-GB"/>
                <w14:ligatures w14:val="none"/>
              </w:rPr>
              <w:t>with an accompanying document referring to the parts relevant for the fulfilment of the milestone, including a reference to the provision indicating the entry into force.</w:t>
            </w:r>
          </w:p>
        </w:tc>
        <w:tc>
          <w:tcPr>
            <w:tcW w:w="1913" w:type="dxa"/>
            <w:shd w:val="clear" w:color="auto" w:fill="C6EFCE"/>
            <w:hideMark/>
          </w:tcPr>
          <w:p w14:paraId="72A17C4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A competence framework has been set up and made available in the areas of ethics, anti-corruption, prevention of fraud and conflict of interest. </w:t>
            </w:r>
          </w:p>
          <w:p w14:paraId="3828B13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State budget financing for the main public administration development training programmes has been ensured from 2024 onwards.</w:t>
            </w:r>
          </w:p>
        </w:tc>
      </w:tr>
      <w:tr w:rsidR="007802BD" w:rsidRPr="00BA1475" w14:paraId="0DA2B4FE" w14:textId="77777777" w:rsidTr="007802BD">
        <w:trPr>
          <w:trHeight w:val="1200"/>
          <w:jc w:val="center"/>
        </w:trPr>
        <w:tc>
          <w:tcPr>
            <w:tcW w:w="500" w:type="dxa"/>
            <w:shd w:val="clear" w:color="auto" w:fill="C6EFCE"/>
            <w:hideMark/>
          </w:tcPr>
          <w:p w14:paraId="689482B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201</w:t>
            </w:r>
          </w:p>
        </w:tc>
        <w:tc>
          <w:tcPr>
            <w:tcW w:w="1197" w:type="dxa"/>
            <w:shd w:val="clear" w:color="auto" w:fill="C6EFCE"/>
            <w:hideMark/>
          </w:tcPr>
          <w:p w14:paraId="24671C11"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6.3.1.1.i. </w:t>
            </w:r>
          </w:p>
          <w:p w14:paraId="22AC8880"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Open, transparent, fair and accountable public administration</w:t>
            </w:r>
          </w:p>
        </w:tc>
        <w:tc>
          <w:tcPr>
            <w:tcW w:w="851" w:type="dxa"/>
            <w:shd w:val="clear" w:color="auto" w:fill="C6EFCE"/>
            <w:hideMark/>
          </w:tcPr>
          <w:p w14:paraId="4FFD658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472D9DE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Trainings completed by public administration employees</w:t>
            </w:r>
          </w:p>
          <w:p w14:paraId="3C0F6BE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1200" w:type="dxa"/>
            <w:shd w:val="clear" w:color="auto" w:fill="C6EFCE"/>
            <w:hideMark/>
          </w:tcPr>
          <w:p w14:paraId="36AC481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0A56E19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Number </w:t>
            </w:r>
          </w:p>
        </w:tc>
        <w:tc>
          <w:tcPr>
            <w:tcW w:w="840" w:type="dxa"/>
            <w:shd w:val="clear" w:color="auto" w:fill="C6EFCE"/>
            <w:hideMark/>
          </w:tcPr>
          <w:p w14:paraId="4219370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91" w:type="dxa"/>
            <w:shd w:val="clear" w:color="auto" w:fill="C6EFCE"/>
            <w:hideMark/>
          </w:tcPr>
          <w:p w14:paraId="5C609A8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16 232</w:t>
            </w:r>
          </w:p>
        </w:tc>
        <w:tc>
          <w:tcPr>
            <w:tcW w:w="480" w:type="dxa"/>
            <w:shd w:val="clear" w:color="auto" w:fill="C6EFCE"/>
            <w:hideMark/>
          </w:tcPr>
          <w:p w14:paraId="0113F89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7635904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7FEBD2B2"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School of Public Administration</w:t>
            </w:r>
          </w:p>
        </w:tc>
        <w:tc>
          <w:tcPr>
            <w:tcW w:w="1320" w:type="dxa"/>
            <w:shd w:val="clear" w:color="auto" w:fill="C6EFCE"/>
          </w:tcPr>
          <w:p w14:paraId="14FEEE2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1304036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1C032BB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40B1904E" w14:textId="77777777" w:rsidR="00BA1475" w:rsidRPr="00BA1475" w:rsidRDefault="00BA1475" w:rsidP="00BA1475">
            <w:pPr>
              <w:spacing w:after="0" w:line="240" w:lineRule="auto"/>
              <w:ind w:left="24"/>
              <w:contextualSpacing/>
              <w:rPr>
                <w:rFonts w:ascii="Arial Narrow" w:eastAsia="Calibri" w:hAnsi="Arial Narrow" w:cs="Calibri"/>
                <w:noProof/>
                <w:kern w:val="0"/>
                <w:sz w:val="16"/>
                <w:szCs w:val="16"/>
                <w:lang w:val="en-US"/>
                <w14:ligatures w14:val="none"/>
              </w:rPr>
            </w:pPr>
            <w:r w:rsidRPr="00BA1475">
              <w:rPr>
                <w:rFonts w:ascii="Arial Narrow" w:eastAsia="Calibri" w:hAnsi="Arial Narrow" w:cs="Arial"/>
                <w:noProof/>
                <w:kern w:val="0"/>
                <w:sz w:val="16"/>
                <w:szCs w:val="16"/>
                <w:lang w:val="en-US"/>
                <w14:ligatures w14:val="none"/>
              </w:rPr>
              <w:t>a) list of public administration employees having completed the training programmes with references to their training certificates;</w:t>
            </w:r>
          </w:p>
          <w:p w14:paraId="76F9E556" w14:textId="77777777" w:rsidR="00BA1475" w:rsidRPr="00BA1475" w:rsidRDefault="00BA1475" w:rsidP="00BA1475">
            <w:pPr>
              <w:spacing w:after="0" w:line="240" w:lineRule="auto"/>
              <w:ind w:left="24"/>
              <w:contextualSpacing/>
              <w:rPr>
                <w:rFonts w:ascii="Arial Narrow" w:eastAsia="Calibri" w:hAnsi="Arial Narrow" w:cs="Arial"/>
                <w:noProof/>
                <w:kern w:val="0"/>
                <w:sz w:val="16"/>
                <w:lang w:val="en-GB"/>
                <w14:ligatures w14:val="none"/>
              </w:rPr>
            </w:pPr>
            <w:r w:rsidRPr="00BA1475">
              <w:rPr>
                <w:rFonts w:ascii="Arial Narrow" w:eastAsia="Calibri" w:hAnsi="Arial Narrow" w:cs="Calibri"/>
                <w:noProof/>
                <w:kern w:val="0"/>
                <w:sz w:val="16"/>
                <w:szCs w:val="16"/>
                <w:lang w:val="en-US"/>
                <w14:ligatures w14:val="none"/>
              </w:rPr>
              <w:t>b) list of training programmes organised, including a description of each programme, and training statistics.</w:t>
            </w:r>
            <w:r w:rsidRPr="00BA1475">
              <w:rPr>
                <w:rFonts w:ascii="Arial Narrow" w:eastAsia="Calibri" w:hAnsi="Arial Narrow" w:cs="Calibri"/>
                <w:noProof/>
                <w:kern w:val="0"/>
                <w:sz w:val="16"/>
                <w:szCs w:val="16"/>
                <w:lang w:val="en-GB"/>
                <w14:ligatures w14:val="none"/>
              </w:rPr>
              <w:t xml:space="preserve"> </w:t>
            </w:r>
          </w:p>
        </w:tc>
        <w:tc>
          <w:tcPr>
            <w:tcW w:w="1913" w:type="dxa"/>
            <w:shd w:val="clear" w:color="auto" w:fill="C6EFCE"/>
            <w:hideMark/>
          </w:tcPr>
          <w:p w14:paraId="6BE00EB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 of trainings in the areas of ethics, anti-corruption, prevention of fraud and conflict of interest completed by public administration employees.</w:t>
            </w:r>
          </w:p>
        </w:tc>
      </w:tr>
      <w:tr w:rsidR="007802BD" w:rsidRPr="00BA1475" w14:paraId="15D5B5E4" w14:textId="77777777" w:rsidTr="007802BD">
        <w:trPr>
          <w:trHeight w:val="356"/>
          <w:jc w:val="center"/>
        </w:trPr>
        <w:tc>
          <w:tcPr>
            <w:tcW w:w="500" w:type="dxa"/>
            <w:shd w:val="clear" w:color="auto" w:fill="C6EFCE"/>
            <w:hideMark/>
          </w:tcPr>
          <w:p w14:paraId="360634A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w:t>
            </w:r>
          </w:p>
        </w:tc>
        <w:tc>
          <w:tcPr>
            <w:tcW w:w="1197" w:type="dxa"/>
            <w:shd w:val="clear" w:color="auto" w:fill="C6EFCE"/>
            <w:hideMark/>
          </w:tcPr>
          <w:p w14:paraId="271E2C2E"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6.3.1.2.i. Professionalisation of public administration and administrative and capacity building</w:t>
            </w:r>
          </w:p>
        </w:tc>
        <w:tc>
          <w:tcPr>
            <w:tcW w:w="851" w:type="dxa"/>
            <w:shd w:val="clear" w:color="auto" w:fill="C6EFCE"/>
            <w:hideMark/>
          </w:tcPr>
          <w:p w14:paraId="4B91A7D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2DDFE53A" w14:textId="77777777" w:rsidR="00BA1475" w:rsidRPr="00BA1475" w:rsidRDefault="00BA1475" w:rsidP="00BA1475">
            <w:pPr>
              <w:spacing w:after="24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Competence framework available, including training programmes</w:t>
            </w:r>
          </w:p>
        </w:tc>
        <w:tc>
          <w:tcPr>
            <w:tcW w:w="1200" w:type="dxa"/>
            <w:shd w:val="clear" w:color="auto" w:fill="C6EFCE"/>
            <w:hideMark/>
          </w:tcPr>
          <w:p w14:paraId="0169B5E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Calibri" w:hAnsi="Arial Narrow" w:cs="Times New Roman"/>
                <w:noProof/>
                <w:kern w:val="0"/>
                <w:sz w:val="16"/>
                <w:szCs w:val="16"/>
                <w:lang w:val="en-GB"/>
                <w14:ligatures w14:val="none"/>
              </w:rPr>
              <w:t>Competence framework is available in the State Administration School Training Management System and approved by an internal regulatory act of the State Administration School and the state budget law for 2024 has been passed</w:t>
            </w:r>
          </w:p>
        </w:tc>
        <w:tc>
          <w:tcPr>
            <w:tcW w:w="840" w:type="dxa"/>
            <w:shd w:val="clear" w:color="auto" w:fill="C6EFCE"/>
            <w:hideMark/>
          </w:tcPr>
          <w:p w14:paraId="4F74B5A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4B6A049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91" w:type="dxa"/>
            <w:shd w:val="clear" w:color="auto" w:fill="C6EFCE"/>
            <w:hideMark/>
          </w:tcPr>
          <w:p w14:paraId="3D3DEA6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80" w:type="dxa"/>
            <w:shd w:val="clear" w:color="auto" w:fill="C6EFCE"/>
            <w:hideMark/>
          </w:tcPr>
          <w:p w14:paraId="0B55F59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7BBC687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2023</w:t>
            </w:r>
          </w:p>
        </w:tc>
        <w:tc>
          <w:tcPr>
            <w:tcW w:w="1320" w:type="dxa"/>
            <w:shd w:val="clear" w:color="auto" w:fill="C6EFCE"/>
          </w:tcPr>
          <w:p w14:paraId="060094AC"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State Chancellery </w:t>
            </w:r>
          </w:p>
        </w:tc>
        <w:tc>
          <w:tcPr>
            <w:tcW w:w="1320" w:type="dxa"/>
            <w:shd w:val="clear" w:color="auto" w:fill="C6EFCE"/>
          </w:tcPr>
          <w:p w14:paraId="5F542C4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3B33769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405832D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12A2B18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Arial"/>
                <w:noProof/>
                <w:kern w:val="0"/>
                <w:sz w:val="16"/>
                <w:lang w:val="en-GB"/>
                <w14:ligatures w14:val="none"/>
              </w:rPr>
              <w:t>a) a copy of the internal document adopted by the State Administration School on the competence management system evidencing that the system has been set up and is made available in the State Administration School Training Management System</w:t>
            </w:r>
            <w:r w:rsidRPr="00BA1475">
              <w:rPr>
                <w:rFonts w:ascii="Arial Narrow" w:eastAsia="Calibri" w:hAnsi="Arial Narrow" w:cs="Calibri"/>
                <w:noProof/>
                <w:kern w:val="0"/>
                <w:sz w:val="16"/>
                <w:szCs w:val="16"/>
                <w:lang w:val="en-GB"/>
                <w14:ligatures w14:val="none"/>
              </w:rPr>
              <w:t xml:space="preserve">; </w:t>
            </w:r>
          </w:p>
          <w:p w14:paraId="06825374" w14:textId="77777777" w:rsidR="00BA1475" w:rsidRPr="00BA1475" w:rsidRDefault="00BA1475" w:rsidP="00BA1475">
            <w:pPr>
              <w:spacing w:after="0" w:line="240" w:lineRule="auto"/>
              <w:rPr>
                <w:rFonts w:ascii="Arial Narrow" w:eastAsia="Calibri" w:hAnsi="Arial Narrow" w:cs="Arial"/>
                <w:noProof/>
                <w:kern w:val="0"/>
                <w:sz w:val="16"/>
                <w14:ligatures w14:val="none"/>
              </w:rPr>
            </w:pPr>
            <w:r w:rsidRPr="00BA1475">
              <w:rPr>
                <w:rFonts w:ascii="Arial Narrow" w:eastAsia="Calibri" w:hAnsi="Arial Narrow" w:cs="Calibri"/>
                <w:noProof/>
                <w:kern w:val="0"/>
                <w:sz w:val="16"/>
                <w:szCs w:val="16"/>
                <w:lang w:val="en-GB"/>
                <w14:ligatures w14:val="none"/>
              </w:rPr>
              <w:t xml:space="preserve">b) a copy of and a link to the publication in the Official Journal of the relevant parts of the State budget law evidencing that </w:t>
            </w:r>
            <w:r w:rsidRPr="00BA1475">
              <w:rPr>
                <w:rFonts w:ascii="Arial Narrow" w:eastAsia="Times New Roman" w:hAnsi="Arial Narrow" w:cs="Times New Roman"/>
                <w:noProof/>
                <w:kern w:val="0"/>
                <w:sz w:val="16"/>
                <w:szCs w:val="16"/>
                <w:lang w:val="en-GB" w:eastAsia="en-GB"/>
                <w14:ligatures w14:val="none"/>
              </w:rPr>
              <w:t xml:space="preserve">the State budget financing for the professionalisation of public administration development training programmes has been ensured from 2024 onwards, </w:t>
            </w:r>
            <w:r w:rsidRPr="00BA1475">
              <w:rPr>
                <w:rFonts w:ascii="Arial Narrow" w:eastAsia="Calibri" w:hAnsi="Arial Narrow" w:cs="Calibri"/>
                <w:noProof/>
                <w:kern w:val="0"/>
                <w:sz w:val="16"/>
                <w:szCs w:val="16"/>
                <w:lang w:val="en-GB"/>
                <w14:ligatures w14:val="none"/>
              </w:rPr>
              <w:t>with an accompanying document referring to the parts relevant for the fulfilment of the milestone, including a reference to the provision indicating the entry into force.</w:t>
            </w:r>
          </w:p>
        </w:tc>
        <w:tc>
          <w:tcPr>
            <w:tcW w:w="1913" w:type="dxa"/>
            <w:shd w:val="clear" w:color="auto" w:fill="C6EFCE"/>
            <w:hideMark/>
          </w:tcPr>
          <w:p w14:paraId="50C84BD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competence framework and training programmes are available in the following areas:</w:t>
            </w:r>
          </w:p>
          <w:p w14:paraId="2F11D0D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customer service, </w:t>
            </w:r>
          </w:p>
          <w:p w14:paraId="5984C2B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development of leadership, </w:t>
            </w:r>
          </w:p>
          <w:p w14:paraId="552F73D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basic competences of public administration,</w:t>
            </w:r>
          </w:p>
          <w:p w14:paraId="187C259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management of public procurement, </w:t>
            </w:r>
          </w:p>
          <w:p w14:paraId="6DBB294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human resources,</w:t>
            </w:r>
          </w:p>
          <w:p w14:paraId="402BB30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legal practice, </w:t>
            </w:r>
          </w:p>
          <w:p w14:paraId="678007C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policy-planning and implementation. </w:t>
            </w:r>
          </w:p>
          <w:p w14:paraId="35B66CC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3276E25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State budget financing for the professionalisation of public administration has been ensured from 2024 onwards.</w:t>
            </w:r>
          </w:p>
        </w:tc>
      </w:tr>
      <w:tr w:rsidR="007802BD" w:rsidRPr="00BA1475" w14:paraId="357DA3CC" w14:textId="77777777" w:rsidTr="007802BD">
        <w:trPr>
          <w:trHeight w:val="982"/>
          <w:jc w:val="center"/>
        </w:trPr>
        <w:tc>
          <w:tcPr>
            <w:tcW w:w="500" w:type="dxa"/>
            <w:shd w:val="clear" w:color="auto" w:fill="C6EFCE"/>
            <w:hideMark/>
          </w:tcPr>
          <w:p w14:paraId="42AFAB9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203</w:t>
            </w:r>
          </w:p>
        </w:tc>
        <w:tc>
          <w:tcPr>
            <w:tcW w:w="1197" w:type="dxa"/>
            <w:shd w:val="clear" w:color="auto" w:fill="C6EFCE"/>
            <w:hideMark/>
          </w:tcPr>
          <w:p w14:paraId="6856AFCC"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6.3.1.2.i. Professionalisation of public administration and administrative and capacity building</w:t>
            </w:r>
          </w:p>
        </w:tc>
        <w:tc>
          <w:tcPr>
            <w:tcW w:w="851" w:type="dxa"/>
            <w:shd w:val="clear" w:color="auto" w:fill="C6EFCE"/>
            <w:hideMark/>
          </w:tcPr>
          <w:p w14:paraId="60A30D2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6A3DA96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US" w:eastAsia="en-GB"/>
                <w14:ligatures w14:val="none"/>
              </w:rPr>
              <w:t>Trainings completed by public administration employees</w:t>
            </w:r>
            <w:r w:rsidRPr="00BA1475" w:rsidDel="00226466">
              <w:rPr>
                <w:rFonts w:ascii="Arial Narrow" w:eastAsia="Times New Roman" w:hAnsi="Arial Narrow" w:cs="Times New Roman"/>
                <w:noProof/>
                <w:kern w:val="0"/>
                <w:sz w:val="16"/>
                <w:szCs w:val="16"/>
                <w:lang w:val="en-GB" w:eastAsia="en-GB"/>
                <w14:ligatures w14:val="none"/>
              </w:rPr>
              <w:t xml:space="preserve"> </w:t>
            </w:r>
          </w:p>
        </w:tc>
        <w:tc>
          <w:tcPr>
            <w:tcW w:w="1200" w:type="dxa"/>
            <w:shd w:val="clear" w:color="auto" w:fill="C6EFCE"/>
            <w:hideMark/>
          </w:tcPr>
          <w:p w14:paraId="5A97B7E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097694E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Number </w:t>
            </w:r>
          </w:p>
        </w:tc>
        <w:tc>
          <w:tcPr>
            <w:tcW w:w="840" w:type="dxa"/>
            <w:shd w:val="clear" w:color="auto" w:fill="C6EFCE"/>
            <w:hideMark/>
          </w:tcPr>
          <w:p w14:paraId="253A103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91" w:type="dxa"/>
            <w:shd w:val="clear" w:color="auto" w:fill="C6EFCE"/>
            <w:hideMark/>
          </w:tcPr>
          <w:p w14:paraId="3F8C183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20 011</w:t>
            </w:r>
          </w:p>
        </w:tc>
        <w:tc>
          <w:tcPr>
            <w:tcW w:w="480" w:type="dxa"/>
            <w:shd w:val="clear" w:color="auto" w:fill="C6EFCE"/>
            <w:hideMark/>
          </w:tcPr>
          <w:p w14:paraId="7C88FB5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2E1E6BB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6017B0FC"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School of Public Administration</w:t>
            </w:r>
          </w:p>
        </w:tc>
        <w:tc>
          <w:tcPr>
            <w:tcW w:w="1320" w:type="dxa"/>
            <w:shd w:val="clear" w:color="auto" w:fill="C6EFCE"/>
          </w:tcPr>
          <w:p w14:paraId="07ED9B6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416F687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6A07002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299DEC74" w14:textId="77777777" w:rsidR="00BA1475" w:rsidRPr="00BA1475" w:rsidRDefault="00BA1475" w:rsidP="00BA1475">
            <w:pPr>
              <w:spacing w:after="0" w:line="240" w:lineRule="auto"/>
              <w:rPr>
                <w:rFonts w:ascii="Arial Narrow" w:eastAsia="Calibri" w:hAnsi="Arial Narrow" w:cs="Arial"/>
                <w:noProof/>
                <w:kern w:val="0"/>
                <w:sz w:val="16"/>
                <w:lang w:val="en-GB"/>
                <w14:ligatures w14:val="none"/>
              </w:rPr>
            </w:pPr>
            <w:r w:rsidRPr="00BA1475">
              <w:rPr>
                <w:rFonts w:ascii="Arial Narrow" w:eastAsia="Calibri" w:hAnsi="Arial Narrow" w:cs="Arial"/>
                <w:noProof/>
                <w:kern w:val="0"/>
                <w:sz w:val="16"/>
                <w:lang w:val="en-GB"/>
                <w14:ligatures w14:val="none"/>
              </w:rPr>
              <w:t xml:space="preserve">a) list of public administration employees having completed the training programmes with references to their training certificates; </w:t>
            </w:r>
          </w:p>
          <w:p w14:paraId="2A84E387" w14:textId="77777777" w:rsidR="00BA1475" w:rsidRPr="00BA1475" w:rsidRDefault="00BA1475" w:rsidP="00BA1475">
            <w:pPr>
              <w:spacing w:after="0" w:line="240" w:lineRule="auto"/>
              <w:contextualSpacing/>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US"/>
                <w14:ligatures w14:val="none"/>
              </w:rPr>
              <w:t>b) list of training programmes organised, including a description of each programme, and training statistics.</w:t>
            </w:r>
          </w:p>
        </w:tc>
        <w:tc>
          <w:tcPr>
            <w:tcW w:w="1913" w:type="dxa"/>
            <w:shd w:val="clear" w:color="auto" w:fill="C6EFCE"/>
            <w:hideMark/>
          </w:tcPr>
          <w:p w14:paraId="47196D2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Number of trainings in the areas of customer service, development of leadership, basic competences of public administration, management of public procurement, human resources, legal practice, policy planning and implementation completed by public administration employees. </w:t>
            </w:r>
          </w:p>
        </w:tc>
      </w:tr>
      <w:tr w:rsidR="007802BD" w:rsidRPr="00BA1475" w14:paraId="7903BBFB" w14:textId="77777777" w:rsidTr="007802BD">
        <w:trPr>
          <w:trHeight w:val="497"/>
          <w:jc w:val="center"/>
        </w:trPr>
        <w:tc>
          <w:tcPr>
            <w:tcW w:w="500" w:type="dxa"/>
            <w:shd w:val="clear" w:color="auto" w:fill="C6EFCE"/>
            <w:hideMark/>
          </w:tcPr>
          <w:p w14:paraId="3001A42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204</w:t>
            </w:r>
          </w:p>
        </w:tc>
        <w:tc>
          <w:tcPr>
            <w:tcW w:w="1197" w:type="dxa"/>
            <w:shd w:val="clear" w:color="auto" w:fill="C6EFCE"/>
            <w:hideMark/>
          </w:tcPr>
          <w:p w14:paraId="4A0313E1"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6.3.1.3.i. Development of the innovation ecosystem of public administration </w:t>
            </w:r>
          </w:p>
        </w:tc>
        <w:tc>
          <w:tcPr>
            <w:tcW w:w="851" w:type="dxa"/>
            <w:shd w:val="clear" w:color="auto" w:fill="C6EFCE"/>
            <w:hideMark/>
          </w:tcPr>
          <w:p w14:paraId="731E82E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7491459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the regulatory framework in relation to the innovation eco-system</w:t>
            </w:r>
          </w:p>
        </w:tc>
        <w:tc>
          <w:tcPr>
            <w:tcW w:w="1200" w:type="dxa"/>
            <w:shd w:val="clear" w:color="auto" w:fill="C6EFCE"/>
            <w:hideMark/>
          </w:tcPr>
          <w:p w14:paraId="042791F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Development and implementation of a common experimental framework for public sector innovation</w:t>
            </w:r>
          </w:p>
        </w:tc>
        <w:tc>
          <w:tcPr>
            <w:tcW w:w="840" w:type="dxa"/>
            <w:shd w:val="clear" w:color="auto" w:fill="C6EFCE"/>
            <w:hideMark/>
          </w:tcPr>
          <w:p w14:paraId="7D18728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2DEF445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4F1CC12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1D2AB3F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600" w:type="dxa"/>
            <w:shd w:val="clear" w:color="auto" w:fill="C6EFCE"/>
            <w:hideMark/>
          </w:tcPr>
          <w:p w14:paraId="0A46A01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52783CEA"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Chancellery</w:t>
            </w:r>
          </w:p>
        </w:tc>
        <w:tc>
          <w:tcPr>
            <w:tcW w:w="1320" w:type="dxa"/>
            <w:shd w:val="clear" w:color="auto" w:fill="C6EFCE"/>
          </w:tcPr>
          <w:p w14:paraId="69C5BD7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6201691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6B2AB8A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60F9E7A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copies of the legal acts and other documents relevant for establishment of the regulatory framework for the public sector innovation ecosystem and the establishment of the Innovation Lab, published in the official journal, including a reference to the provision indicating the entry into force; </w:t>
            </w:r>
          </w:p>
          <w:p w14:paraId="6E39ED5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documentary evidence confirming the entry into operation of the Innovation Lab.</w:t>
            </w:r>
          </w:p>
        </w:tc>
        <w:tc>
          <w:tcPr>
            <w:tcW w:w="1913" w:type="dxa"/>
            <w:shd w:val="clear" w:color="auto" w:fill="C6EFCE"/>
            <w:hideMark/>
          </w:tcPr>
          <w:p w14:paraId="3F5297A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A regulatory framework (guidelines, regulations, recommendations, etc.) to support the development of the public sector innovation ecosystem </w:t>
            </w:r>
            <w:r w:rsidRPr="00BA1475">
              <w:rPr>
                <w:rFonts w:ascii="Arial Narrow" w:eastAsia="Calibri" w:hAnsi="Arial Narrow" w:cs="Times New Roman"/>
                <w:noProof/>
                <w:kern w:val="0"/>
                <w:sz w:val="16"/>
                <w:szCs w:val="16"/>
                <w:lang w:val="en-GB"/>
                <w14:ligatures w14:val="none"/>
              </w:rPr>
              <w:t>shall</w:t>
            </w:r>
            <w:r w:rsidRPr="00BA1475">
              <w:rPr>
                <w:rFonts w:ascii="Arial Narrow" w:eastAsia="Times New Roman" w:hAnsi="Arial Narrow" w:cs="Times New Roman"/>
                <w:noProof/>
                <w:kern w:val="0"/>
                <w:sz w:val="16"/>
                <w:szCs w:val="16"/>
                <w:lang w:val="en-GB" w:eastAsia="en-GB"/>
                <w14:ligatures w14:val="none"/>
              </w:rPr>
              <w:t xml:space="preserve"> enter into force. </w:t>
            </w:r>
          </w:p>
          <w:p w14:paraId="5E91412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framework </w:t>
            </w:r>
            <w:r w:rsidRPr="00BA1475">
              <w:rPr>
                <w:rFonts w:ascii="Arial Narrow" w:eastAsia="Calibri" w:hAnsi="Arial Narrow" w:cs="Times New Roman"/>
                <w:noProof/>
                <w:kern w:val="0"/>
                <w:sz w:val="16"/>
                <w:szCs w:val="16"/>
                <w:lang w:val="en-GB"/>
                <w14:ligatures w14:val="none"/>
              </w:rPr>
              <w:t xml:space="preserve"> shall</w:t>
            </w:r>
            <w:r w:rsidRPr="00BA1475">
              <w:rPr>
                <w:rFonts w:ascii="Arial Narrow" w:eastAsia="Times New Roman" w:hAnsi="Arial Narrow" w:cs="Times New Roman"/>
                <w:noProof/>
                <w:kern w:val="0"/>
                <w:sz w:val="16"/>
                <w:szCs w:val="16"/>
                <w:lang w:val="en-GB" w:eastAsia="en-GB"/>
                <w14:ligatures w14:val="none"/>
              </w:rPr>
              <w:t>, inter alia, address the following challenges:</w:t>
            </w:r>
          </w:p>
          <w:p w14:paraId="057E552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Reduce the fragmentation of the Latvian innovation ecosystem and its governance;</w:t>
            </w:r>
          </w:p>
          <w:p w14:paraId="5A96ACE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Improve cooperation among institutions in the implementation of innovation policy;</w:t>
            </w:r>
          </w:p>
          <w:p w14:paraId="61735ED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develop a common framework for experimentation.</w:t>
            </w:r>
          </w:p>
          <w:p w14:paraId="220B8C1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300B457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Innovation lab is set-up and operating. Main functions of the Innovation Lab are:</w:t>
            </w:r>
          </w:p>
          <w:p w14:paraId="3B740B7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 development of a case studies of public innovation;</w:t>
            </w:r>
          </w:p>
          <w:p w14:paraId="6DE9BBE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 creation of innovative solutions to public administration challenges;</w:t>
            </w:r>
          </w:p>
          <w:p w14:paraId="3AD9C88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3) Testing of a prototype solutions;</w:t>
            </w:r>
          </w:p>
          <w:p w14:paraId="4FEE035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4) Communication to the public on innovation in public administration.</w:t>
            </w:r>
          </w:p>
        </w:tc>
      </w:tr>
      <w:tr w:rsidR="007802BD" w:rsidRPr="00BA1475" w14:paraId="2FBE55BB" w14:textId="77777777" w:rsidTr="007802BD">
        <w:trPr>
          <w:trHeight w:val="1200"/>
          <w:jc w:val="center"/>
        </w:trPr>
        <w:tc>
          <w:tcPr>
            <w:tcW w:w="500" w:type="dxa"/>
            <w:shd w:val="clear" w:color="auto" w:fill="C6EFCE"/>
            <w:hideMark/>
          </w:tcPr>
          <w:p w14:paraId="1F4F8B0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205</w:t>
            </w:r>
          </w:p>
        </w:tc>
        <w:tc>
          <w:tcPr>
            <w:tcW w:w="1197" w:type="dxa"/>
            <w:shd w:val="clear" w:color="auto" w:fill="C6EFCE"/>
            <w:hideMark/>
          </w:tcPr>
          <w:p w14:paraId="4995C60A"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6.3.1.3.i. Development of the innovation ecosystem of public administration </w:t>
            </w:r>
          </w:p>
        </w:tc>
        <w:tc>
          <w:tcPr>
            <w:tcW w:w="851" w:type="dxa"/>
            <w:shd w:val="clear" w:color="auto" w:fill="C6EFCE"/>
            <w:hideMark/>
          </w:tcPr>
          <w:p w14:paraId="11DB4B7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24EA17C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Ensuring the financial sustainability of the Innovation Lab</w:t>
            </w:r>
          </w:p>
        </w:tc>
        <w:tc>
          <w:tcPr>
            <w:tcW w:w="1200" w:type="dxa"/>
            <w:shd w:val="clear" w:color="auto" w:fill="C6EFCE"/>
            <w:hideMark/>
          </w:tcPr>
          <w:p w14:paraId="439EEC1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state budget law for 2026</w:t>
            </w:r>
          </w:p>
        </w:tc>
        <w:tc>
          <w:tcPr>
            <w:tcW w:w="840" w:type="dxa"/>
            <w:shd w:val="clear" w:color="auto" w:fill="C6EFCE"/>
            <w:hideMark/>
          </w:tcPr>
          <w:p w14:paraId="42D3C3B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5107EE0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91" w:type="dxa"/>
            <w:shd w:val="clear" w:color="auto" w:fill="C6EFCE"/>
            <w:hideMark/>
          </w:tcPr>
          <w:p w14:paraId="3843D61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80" w:type="dxa"/>
            <w:shd w:val="clear" w:color="auto" w:fill="C6EFCE"/>
            <w:hideMark/>
          </w:tcPr>
          <w:p w14:paraId="1D781B4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600" w:type="dxa"/>
            <w:shd w:val="clear" w:color="auto" w:fill="C6EFCE"/>
            <w:hideMark/>
          </w:tcPr>
          <w:p w14:paraId="23BA2E4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320" w:type="dxa"/>
            <w:shd w:val="clear" w:color="auto" w:fill="C6EFCE"/>
          </w:tcPr>
          <w:p w14:paraId="388D62CF"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State Chancellery collects the data and is responsible for reporting.</w:t>
            </w:r>
          </w:p>
        </w:tc>
        <w:tc>
          <w:tcPr>
            <w:tcW w:w="1320" w:type="dxa"/>
            <w:shd w:val="clear" w:color="auto" w:fill="C6EFCE"/>
          </w:tcPr>
          <w:p w14:paraId="231467F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60E4E3C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4803A8A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a copy of and a link to the publication of the relevant parts of the State budget law </w:t>
            </w:r>
            <w:r w:rsidRPr="00BA1475">
              <w:rPr>
                <w:rFonts w:ascii="Arial Narrow" w:eastAsia="Times New Roman" w:hAnsi="Arial Narrow" w:cs="Times New Roman"/>
                <w:noProof/>
                <w:kern w:val="0"/>
                <w:sz w:val="16"/>
                <w:szCs w:val="16"/>
                <w:lang w:val="en-GB" w:eastAsia="en-GB"/>
                <w14:ligatures w14:val="none"/>
              </w:rPr>
              <w:t xml:space="preserve">ensuring state budget financing for the operation of the innovation lab starting from 2026 </w:t>
            </w:r>
            <w:r w:rsidRPr="00BA1475">
              <w:rPr>
                <w:rFonts w:ascii="Arial Narrow" w:eastAsia="Calibri" w:hAnsi="Arial Narrow" w:cs="Calibri"/>
                <w:noProof/>
                <w:kern w:val="0"/>
                <w:sz w:val="16"/>
                <w:szCs w:val="16"/>
                <w:lang w:val="en-GB"/>
                <w14:ligatures w14:val="none"/>
              </w:rPr>
              <w:t>with an accompanying document referring to the parts relevant for the fulfilment of the milestone in the Official Journal, including a reference to the provision indicating the entry into force.</w:t>
            </w:r>
          </w:p>
        </w:tc>
        <w:tc>
          <w:tcPr>
            <w:tcW w:w="1913" w:type="dxa"/>
            <w:shd w:val="clear" w:color="auto" w:fill="C6EFCE"/>
            <w:hideMark/>
          </w:tcPr>
          <w:p w14:paraId="4F69FA9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State budget financing for the operation of the innovation lab shall be ensured starting from 2026.</w:t>
            </w:r>
          </w:p>
        </w:tc>
      </w:tr>
      <w:tr w:rsidR="007802BD" w:rsidRPr="00BA1475" w14:paraId="0FC316AE" w14:textId="77777777" w:rsidTr="007802BD">
        <w:trPr>
          <w:trHeight w:val="1200"/>
          <w:jc w:val="center"/>
        </w:trPr>
        <w:tc>
          <w:tcPr>
            <w:tcW w:w="500" w:type="dxa"/>
            <w:shd w:val="clear" w:color="auto" w:fill="C6EFCE"/>
            <w:hideMark/>
          </w:tcPr>
          <w:p w14:paraId="33EBC49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206</w:t>
            </w:r>
          </w:p>
        </w:tc>
        <w:tc>
          <w:tcPr>
            <w:tcW w:w="1197" w:type="dxa"/>
            <w:shd w:val="clear" w:color="auto" w:fill="C6EFCE"/>
            <w:hideMark/>
          </w:tcPr>
          <w:p w14:paraId="76E1D701"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6.3.1.4.i. </w:t>
            </w:r>
          </w:p>
          <w:p w14:paraId="51022EC2"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Growth of non-governmental organisations to strengthen social security representation and monitor public interests</w:t>
            </w:r>
          </w:p>
        </w:tc>
        <w:tc>
          <w:tcPr>
            <w:tcW w:w="851" w:type="dxa"/>
            <w:shd w:val="clear" w:color="auto" w:fill="C6EFCE"/>
            <w:hideMark/>
          </w:tcPr>
          <w:p w14:paraId="5BC8A9C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3C27422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Publication of the framework for the support of non-governmental organisations in areas of:</w:t>
            </w:r>
          </w:p>
          <w:p w14:paraId="4922288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-social resilience</w:t>
            </w:r>
          </w:p>
          <w:p w14:paraId="3E7A037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-advocacy of public interest</w:t>
            </w:r>
          </w:p>
        </w:tc>
        <w:tc>
          <w:tcPr>
            <w:tcW w:w="1200" w:type="dxa"/>
            <w:shd w:val="clear" w:color="auto" w:fill="C6EFCE"/>
            <w:hideMark/>
          </w:tcPr>
          <w:p w14:paraId="69E38AB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publication of the rules for the support programme</w:t>
            </w:r>
          </w:p>
        </w:tc>
        <w:tc>
          <w:tcPr>
            <w:tcW w:w="840" w:type="dxa"/>
            <w:shd w:val="clear" w:color="auto" w:fill="C6EFCE"/>
            <w:hideMark/>
          </w:tcPr>
          <w:p w14:paraId="594DD8A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1A7CC19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91" w:type="dxa"/>
            <w:shd w:val="clear" w:color="auto" w:fill="C6EFCE"/>
            <w:hideMark/>
          </w:tcPr>
          <w:p w14:paraId="3F1C095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80" w:type="dxa"/>
            <w:shd w:val="clear" w:color="auto" w:fill="C6EFCE"/>
            <w:hideMark/>
          </w:tcPr>
          <w:p w14:paraId="319FF52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608C8DC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320" w:type="dxa"/>
            <w:shd w:val="clear" w:color="auto" w:fill="C6EFCE"/>
          </w:tcPr>
          <w:p w14:paraId="0B2785AD"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Chancellery, Society Integration Foundation</w:t>
            </w:r>
          </w:p>
        </w:tc>
        <w:tc>
          <w:tcPr>
            <w:tcW w:w="1320" w:type="dxa"/>
            <w:shd w:val="clear" w:color="auto" w:fill="C6EFCE"/>
          </w:tcPr>
          <w:p w14:paraId="063FFFC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604495D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423622F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a copy of and a link to the published call for project proposals, </w:t>
            </w:r>
            <w:r w:rsidRPr="00BA1475">
              <w:rPr>
                <w:rFonts w:ascii="Arial Narrow" w:eastAsia="Times New Roman" w:hAnsi="Arial Narrow" w:cs="Times New Roman"/>
                <w:noProof/>
                <w:kern w:val="0"/>
                <w:sz w:val="16"/>
                <w:szCs w:val="16"/>
                <w:lang w:val="en-GB" w:eastAsia="en-GB"/>
                <w14:ligatures w14:val="none"/>
              </w:rPr>
              <w:t>including conditions and criteria for NGO participation in the support programme, a reporting mechanism and indicators and targets to be achieved within the programme.</w:t>
            </w:r>
          </w:p>
        </w:tc>
        <w:tc>
          <w:tcPr>
            <w:tcW w:w="1913" w:type="dxa"/>
            <w:shd w:val="clear" w:color="auto" w:fill="C6EFCE"/>
            <w:hideMark/>
          </w:tcPr>
          <w:p w14:paraId="31E7415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an open call for funding for strengthening the work of non-governmental organisations in two areas – (a) fostering social resilience and (b) advocacy for public interest has been published The call shall include conditions and criteria for NGO participation in the support programme, a reporting mechanism and indicators and targets to be achieved within the programme.</w:t>
            </w:r>
          </w:p>
        </w:tc>
      </w:tr>
      <w:tr w:rsidR="007802BD" w:rsidRPr="00BA1475" w14:paraId="6219C3AA" w14:textId="77777777" w:rsidTr="007802BD">
        <w:trPr>
          <w:trHeight w:val="214"/>
          <w:jc w:val="center"/>
        </w:trPr>
        <w:tc>
          <w:tcPr>
            <w:tcW w:w="500" w:type="dxa"/>
            <w:shd w:val="clear" w:color="auto" w:fill="C6EFCE"/>
            <w:hideMark/>
          </w:tcPr>
          <w:p w14:paraId="4A49C3C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207</w:t>
            </w:r>
          </w:p>
        </w:tc>
        <w:tc>
          <w:tcPr>
            <w:tcW w:w="1197" w:type="dxa"/>
            <w:shd w:val="clear" w:color="auto" w:fill="C6EFCE"/>
            <w:hideMark/>
          </w:tcPr>
          <w:p w14:paraId="0AE8E72A"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6.3.1.4.i. </w:t>
            </w:r>
          </w:p>
          <w:p w14:paraId="23F8F460"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Growth of non-governmental organisations to strengthen social security representation and monitor public interests</w:t>
            </w:r>
          </w:p>
        </w:tc>
        <w:tc>
          <w:tcPr>
            <w:tcW w:w="851" w:type="dxa"/>
            <w:shd w:val="clear" w:color="auto" w:fill="C6EFCE"/>
            <w:hideMark/>
          </w:tcPr>
          <w:p w14:paraId="20C3D09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385" w:type="dxa"/>
            <w:shd w:val="clear" w:color="auto" w:fill="C6EFCE"/>
            <w:hideMark/>
          </w:tcPr>
          <w:p w14:paraId="132699F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Beneficiaries of the support programme </w:t>
            </w:r>
          </w:p>
        </w:tc>
        <w:tc>
          <w:tcPr>
            <w:tcW w:w="1200" w:type="dxa"/>
            <w:shd w:val="clear" w:color="auto" w:fill="C6EFCE"/>
            <w:hideMark/>
          </w:tcPr>
          <w:p w14:paraId="4AED291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Grant contracts signed</w:t>
            </w:r>
          </w:p>
        </w:tc>
        <w:tc>
          <w:tcPr>
            <w:tcW w:w="840" w:type="dxa"/>
            <w:shd w:val="clear" w:color="auto" w:fill="C6EFCE"/>
            <w:hideMark/>
          </w:tcPr>
          <w:p w14:paraId="074D3B9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Number of beneficiaries (including partners) of the support programme</w:t>
            </w:r>
          </w:p>
        </w:tc>
        <w:tc>
          <w:tcPr>
            <w:tcW w:w="840" w:type="dxa"/>
            <w:shd w:val="clear" w:color="auto" w:fill="C6EFCE"/>
            <w:hideMark/>
          </w:tcPr>
          <w:p w14:paraId="38F384C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91" w:type="dxa"/>
            <w:shd w:val="clear" w:color="auto" w:fill="C6EFCE"/>
            <w:hideMark/>
          </w:tcPr>
          <w:p w14:paraId="7139318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30</w:t>
            </w:r>
          </w:p>
        </w:tc>
        <w:tc>
          <w:tcPr>
            <w:tcW w:w="480" w:type="dxa"/>
            <w:shd w:val="clear" w:color="auto" w:fill="C6EFCE"/>
            <w:hideMark/>
          </w:tcPr>
          <w:p w14:paraId="3A2E48E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600" w:type="dxa"/>
            <w:shd w:val="clear" w:color="auto" w:fill="C6EFCE"/>
            <w:hideMark/>
          </w:tcPr>
          <w:p w14:paraId="1CAFDB1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320" w:type="dxa"/>
            <w:shd w:val="clear" w:color="auto" w:fill="C6EFCE"/>
          </w:tcPr>
          <w:p w14:paraId="217540B9"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State Chancellery, Society Integration Foundation</w:t>
            </w:r>
          </w:p>
        </w:tc>
        <w:tc>
          <w:tcPr>
            <w:tcW w:w="1320" w:type="dxa"/>
            <w:shd w:val="clear" w:color="auto" w:fill="C6EFCE"/>
          </w:tcPr>
          <w:p w14:paraId="2A40CF9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13690AF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target (including all the constitutive elements) was satisfactorily fulfilled, with appropriate links to the underlying evidence.</w:t>
            </w:r>
          </w:p>
          <w:p w14:paraId="3FD7165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3980518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Calibri" w:hAnsi="Arial Narrow" w:cs="Calibri"/>
                <w:noProof/>
                <w:kern w:val="0"/>
                <w:sz w:val="16"/>
                <w:szCs w:val="16"/>
                <w:lang w:val="en-GB"/>
                <w14:ligatures w14:val="none"/>
              </w:rPr>
              <w:t xml:space="preserve">a) a list of beneficiaries (at least </w:t>
            </w:r>
            <w:r w:rsidRPr="00BA1475">
              <w:rPr>
                <w:rFonts w:ascii="Arial Narrow" w:eastAsia="Times New Roman" w:hAnsi="Arial Narrow" w:cs="Times New Roman"/>
                <w:noProof/>
                <w:kern w:val="0"/>
                <w:sz w:val="16"/>
                <w:szCs w:val="16"/>
                <w:lang w:val="en-GB" w:eastAsia="en-GB"/>
                <w14:ligatures w14:val="none"/>
              </w:rPr>
              <w:t>15 organisations in social resilience programme and 15 organisations in advocacy of public interest programme</w:t>
            </w:r>
            <w:r w:rsidRPr="00BA1475">
              <w:rPr>
                <w:rFonts w:ascii="Arial Narrow" w:eastAsia="Calibri" w:hAnsi="Arial Narrow" w:cs="Calibri"/>
                <w:noProof/>
                <w:kern w:val="0"/>
                <w:sz w:val="16"/>
                <w:szCs w:val="16"/>
                <w:lang w:val="en-GB"/>
                <w14:ligatures w14:val="none"/>
              </w:rPr>
              <w:t>) with links to their project reports and achieved results;</w:t>
            </w:r>
          </w:p>
          <w:p w14:paraId="0AC3BC8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copies of grant contracts between the Society integration foundation and the beneficiary non-governmental organisations for the execution of the project.</w:t>
            </w:r>
          </w:p>
        </w:tc>
        <w:tc>
          <w:tcPr>
            <w:tcW w:w="1913" w:type="dxa"/>
            <w:shd w:val="clear" w:color="auto" w:fill="C6EFCE"/>
            <w:hideMark/>
          </w:tcPr>
          <w:p w14:paraId="1224216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funding for project implementation shall benefit at least:</w:t>
            </w:r>
          </w:p>
          <w:p w14:paraId="0F22DD51" w14:textId="77777777" w:rsidR="00BA1475" w:rsidRPr="00BA1475" w:rsidRDefault="00BA1475" w:rsidP="00BA1475">
            <w:pPr>
              <w:spacing w:before="120" w:after="0" w:line="240" w:lineRule="auto"/>
              <w:jc w:val="both"/>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-15 organisations in social resilience programme</w:t>
            </w:r>
          </w:p>
          <w:p w14:paraId="47911EED" w14:textId="77777777" w:rsidR="00BA1475" w:rsidRPr="00BA1475" w:rsidRDefault="00BA1475" w:rsidP="00BA1475">
            <w:pPr>
              <w:spacing w:before="120" w:after="0" w:line="240" w:lineRule="auto"/>
              <w:jc w:val="both"/>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-15 organisations in advocacy of public interest programme</w:t>
            </w:r>
          </w:p>
          <w:p w14:paraId="255C5446" w14:textId="77777777" w:rsidR="00BA1475" w:rsidRPr="00BA1475" w:rsidRDefault="00BA1475" w:rsidP="00BA1475">
            <w:pPr>
              <w:spacing w:before="120"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target indicator is deemed to have been fulfilled when a contract has been concluded between non-governmental organisation and Society Integration Foundation for the execution of the project.</w:t>
            </w:r>
          </w:p>
        </w:tc>
      </w:tr>
      <w:tr w:rsidR="007802BD" w:rsidRPr="00BA1475" w14:paraId="6E798696" w14:textId="77777777" w:rsidTr="007802BD">
        <w:trPr>
          <w:trHeight w:val="1200"/>
          <w:jc w:val="center"/>
        </w:trPr>
        <w:tc>
          <w:tcPr>
            <w:tcW w:w="500" w:type="dxa"/>
            <w:shd w:val="clear" w:color="auto" w:fill="C6EFCE"/>
            <w:hideMark/>
          </w:tcPr>
          <w:p w14:paraId="1174407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208</w:t>
            </w:r>
          </w:p>
        </w:tc>
        <w:tc>
          <w:tcPr>
            <w:tcW w:w="1197" w:type="dxa"/>
            <w:shd w:val="clear" w:color="auto" w:fill="C6EFCE"/>
            <w:hideMark/>
          </w:tcPr>
          <w:p w14:paraId="33DA5B7E"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6.4.1.r. </w:t>
            </w:r>
          </w:p>
          <w:p w14:paraId="5AF4BC13"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Creation of a register of public procurement contracts</w:t>
            </w:r>
          </w:p>
        </w:tc>
        <w:tc>
          <w:tcPr>
            <w:tcW w:w="851" w:type="dxa"/>
            <w:shd w:val="clear" w:color="auto" w:fill="C6EFCE"/>
            <w:hideMark/>
          </w:tcPr>
          <w:p w14:paraId="79E013C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24644C5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A register of public procurement contracts made available.  </w:t>
            </w:r>
          </w:p>
        </w:tc>
        <w:tc>
          <w:tcPr>
            <w:tcW w:w="1200" w:type="dxa"/>
            <w:shd w:val="clear" w:color="auto" w:fill="C6EFCE"/>
            <w:hideMark/>
          </w:tcPr>
          <w:p w14:paraId="36D2116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Amendments to public procurement legislation and technical solution developed and available for production</w:t>
            </w:r>
          </w:p>
        </w:tc>
        <w:tc>
          <w:tcPr>
            <w:tcW w:w="840" w:type="dxa"/>
            <w:shd w:val="clear" w:color="auto" w:fill="C6EFCE"/>
            <w:hideMark/>
          </w:tcPr>
          <w:p w14:paraId="33F28E2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7B448A6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91" w:type="dxa"/>
            <w:shd w:val="clear" w:color="auto" w:fill="C6EFCE"/>
            <w:hideMark/>
          </w:tcPr>
          <w:p w14:paraId="0F7E13D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80" w:type="dxa"/>
            <w:shd w:val="clear" w:color="auto" w:fill="C6EFCE"/>
            <w:hideMark/>
          </w:tcPr>
          <w:p w14:paraId="72CB0B9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7287C74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320" w:type="dxa"/>
            <w:shd w:val="clear" w:color="auto" w:fill="C6EFCE"/>
          </w:tcPr>
          <w:p w14:paraId="5DF54769"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Procurement Monitoring Bureau/</w:t>
            </w:r>
          </w:p>
          <w:p w14:paraId="25C165C8"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Finance</w:t>
            </w:r>
          </w:p>
          <w:p w14:paraId="076A6CF2"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p>
        </w:tc>
        <w:tc>
          <w:tcPr>
            <w:tcW w:w="1320" w:type="dxa"/>
            <w:shd w:val="clear" w:color="auto" w:fill="C6EFCE"/>
          </w:tcPr>
          <w:p w14:paraId="18E237B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39810D8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26EFB80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5574885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and a link to publication of the amended law on public procurement in the Official Journal, including a reference to the provision indicating the entry into force; </w:t>
            </w:r>
          </w:p>
          <w:p w14:paraId="729E4AB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 copy of the certificate of completion issued in line with national legislation confirming the implementation of the updated online register of public procurement contracts.</w:t>
            </w:r>
          </w:p>
        </w:tc>
        <w:tc>
          <w:tcPr>
            <w:tcW w:w="1913" w:type="dxa"/>
            <w:shd w:val="clear" w:color="auto" w:fill="C6EFCE"/>
            <w:hideMark/>
          </w:tcPr>
          <w:p w14:paraId="3DA6212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Amendments to the legislation governing public procurement have entered into force, providing for a register of contracts containing structured information on procurement contracts concluded and their actual performance (including actual costs and deadlines or the reason for termination).</w:t>
            </w:r>
          </w:p>
          <w:p w14:paraId="2952D5F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69E76E2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technical solution for the register of public procurement contracts has been developed and made available online.</w:t>
            </w:r>
          </w:p>
        </w:tc>
      </w:tr>
      <w:tr w:rsidR="007802BD" w:rsidRPr="00BA1475" w14:paraId="756BF53E" w14:textId="77777777" w:rsidTr="007802BD">
        <w:trPr>
          <w:trHeight w:val="214"/>
          <w:jc w:val="center"/>
        </w:trPr>
        <w:tc>
          <w:tcPr>
            <w:tcW w:w="500" w:type="dxa"/>
            <w:shd w:val="clear" w:color="auto" w:fill="C6EFCE"/>
            <w:hideMark/>
          </w:tcPr>
          <w:p w14:paraId="472D201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209</w:t>
            </w:r>
          </w:p>
        </w:tc>
        <w:tc>
          <w:tcPr>
            <w:tcW w:w="1197" w:type="dxa"/>
            <w:shd w:val="clear" w:color="auto" w:fill="C6EFCE"/>
            <w:hideMark/>
          </w:tcPr>
          <w:p w14:paraId="29347536"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6.4.2.r. Improvement of the Competition Environment</w:t>
            </w:r>
          </w:p>
        </w:tc>
        <w:tc>
          <w:tcPr>
            <w:tcW w:w="851" w:type="dxa"/>
            <w:shd w:val="clear" w:color="auto" w:fill="C6EFCE"/>
            <w:hideMark/>
          </w:tcPr>
          <w:p w14:paraId="5C81593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69480FC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regulatory framework for improving the competition environment and reducing corruption risks in public procurement.</w:t>
            </w:r>
          </w:p>
        </w:tc>
        <w:tc>
          <w:tcPr>
            <w:tcW w:w="1200" w:type="dxa"/>
            <w:shd w:val="clear" w:color="auto" w:fill="C6EFCE"/>
            <w:hideMark/>
          </w:tcPr>
          <w:p w14:paraId="0C91669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41194B8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02744FD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91" w:type="dxa"/>
            <w:shd w:val="clear" w:color="auto" w:fill="C6EFCE"/>
            <w:hideMark/>
          </w:tcPr>
          <w:p w14:paraId="4328C3D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80" w:type="dxa"/>
            <w:shd w:val="clear" w:color="auto" w:fill="C6EFCE"/>
            <w:hideMark/>
          </w:tcPr>
          <w:p w14:paraId="0DEE51A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0ABE1FE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2021</w:t>
            </w:r>
          </w:p>
        </w:tc>
        <w:tc>
          <w:tcPr>
            <w:tcW w:w="1320" w:type="dxa"/>
            <w:shd w:val="clear" w:color="auto" w:fill="C6EFCE"/>
          </w:tcPr>
          <w:p w14:paraId="3ADB6E70"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Finance</w:t>
            </w:r>
          </w:p>
        </w:tc>
        <w:tc>
          <w:tcPr>
            <w:tcW w:w="1320" w:type="dxa"/>
            <w:shd w:val="clear" w:color="auto" w:fill="C6EFCE"/>
          </w:tcPr>
          <w:p w14:paraId="0F28800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1FC44F0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Calibri" w:hAnsi="Arial Narrow" w:cs="Calibri"/>
                <w:noProof/>
                <w:kern w:val="0"/>
                <w:sz w:val="16"/>
                <w:szCs w:val="16"/>
                <w:lang w:val="en-GB"/>
                <w14:ligatures w14:val="none"/>
              </w:rPr>
              <w:t xml:space="preserve">A copy of the publication of the </w:t>
            </w:r>
            <w:r w:rsidRPr="00BA1475">
              <w:rPr>
                <w:rFonts w:ascii="Arial Narrow" w:eastAsia="Times New Roman" w:hAnsi="Arial Narrow" w:cs="Times New Roman"/>
                <w:noProof/>
                <w:kern w:val="0"/>
                <w:sz w:val="16"/>
                <w:szCs w:val="16"/>
                <w:lang w:val="en-GB" w:eastAsia="en-GB"/>
                <w14:ligatures w14:val="none"/>
              </w:rPr>
              <w:t>amendments to</w:t>
            </w:r>
            <w:r w:rsidRPr="00BA1475">
              <w:rPr>
                <w:rFonts w:ascii="Arial Narrow" w:eastAsia="Calibri" w:hAnsi="Arial Narrow" w:cs="Calibri"/>
                <w:noProof/>
                <w:kern w:val="0"/>
                <w:sz w:val="16"/>
                <w:szCs w:val="16"/>
                <w:lang w:val="en-GB"/>
                <w14:ligatures w14:val="none"/>
              </w:rPr>
              <w:t xml:space="preserve"> the public procurement law </w:t>
            </w:r>
            <w:r w:rsidRPr="00BA1475">
              <w:rPr>
                <w:rFonts w:ascii="Arial Narrow" w:eastAsia="Times New Roman" w:hAnsi="Arial Narrow" w:cs="Times New Roman"/>
                <w:noProof/>
                <w:kern w:val="0"/>
                <w:sz w:val="16"/>
                <w:szCs w:val="16"/>
                <w:lang w:val="en-GB" w:eastAsia="en-GB"/>
                <w14:ligatures w14:val="none"/>
              </w:rPr>
              <w:t>including, inter alia, the following changes:</w:t>
            </w:r>
          </w:p>
          <w:p w14:paraId="4917B79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 The procurement commission shall be established for each procurement separately or for a specified period of time;</w:t>
            </w:r>
          </w:p>
          <w:p w14:paraId="2DEC3BE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 the secretary of the procurement commission shall sign a declaration of absence of conflict of interest;</w:t>
            </w:r>
          </w:p>
          <w:p w14:paraId="5AC40C4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3) broadened cases where a supplier may be excluded from tender;</w:t>
            </w:r>
          </w:p>
          <w:p w14:paraId="2E16D79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4) the evaluation criteria identify specific areas where life-cycle costs and quality criteria are to be assessed in addition to the purchase price; </w:t>
            </w:r>
          </w:p>
          <w:p w14:paraId="3D592AE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5) stricter requirements for cases with only a single bid; </w:t>
            </w:r>
          </w:p>
          <w:p w14:paraId="20D077A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Times New Roman" w:hAnsi="Arial Narrow" w:cs="Times New Roman"/>
                <w:noProof/>
                <w:kern w:val="0"/>
                <w:sz w:val="16"/>
                <w:szCs w:val="16"/>
                <w:lang w:val="en-GB" w:eastAsia="en-GB"/>
                <w14:ligatures w14:val="none"/>
              </w:rPr>
              <w:t>6) requirement for a market consultation in order to avoid restrictive technical specifications</w:t>
            </w:r>
            <w:r w:rsidRPr="00BA1475">
              <w:rPr>
                <w:rFonts w:ascii="Arial Narrow" w:eastAsia="Calibri" w:hAnsi="Arial Narrow" w:cs="Calibri"/>
                <w:noProof/>
                <w:kern w:val="0"/>
                <w:sz w:val="16"/>
                <w:szCs w:val="16"/>
                <w:lang w:val="en-GB"/>
                <w14:ligatures w14:val="none"/>
              </w:rPr>
              <w:t xml:space="preserve"> and a link in the Official Journal, including a reference to the provision indicating the entry into force. </w:t>
            </w:r>
          </w:p>
          <w:p w14:paraId="788A116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is to be accompanied by a summary document duly justifying how the milestone (including all the constitutive elements) was satisfactorily fulfilled, with appropriate links to the underlying evidence.</w:t>
            </w:r>
            <w:r w:rsidRPr="00BA1475">
              <w:rPr>
                <w:rFonts w:ascii="Arial Narrow" w:eastAsia="Calibri" w:hAnsi="Arial Narrow" w:cs="Calibri"/>
                <w:b/>
                <w:bCs/>
                <w:noProof/>
                <w:kern w:val="0"/>
                <w:sz w:val="16"/>
                <w:szCs w:val="16"/>
                <w:lang w:val="en-GB"/>
                <w14:ligatures w14:val="none"/>
              </w:rPr>
              <w:t xml:space="preserve"> </w:t>
            </w:r>
          </w:p>
        </w:tc>
        <w:tc>
          <w:tcPr>
            <w:tcW w:w="1913" w:type="dxa"/>
            <w:shd w:val="clear" w:color="auto" w:fill="C6EFCE"/>
            <w:hideMark/>
          </w:tcPr>
          <w:p w14:paraId="63CBC72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amendments to the public procurement law, including, inter alia, the following changes:</w:t>
            </w:r>
          </w:p>
          <w:p w14:paraId="1BA34E4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 The procurement commission shall be established for each procurement separately or for a specified period of time</w:t>
            </w:r>
          </w:p>
          <w:p w14:paraId="62FEB4F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 the secretary of the procurement commission shall sign a declaration of absence of conflict of interest;</w:t>
            </w:r>
          </w:p>
          <w:p w14:paraId="6072146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3) broadened cases where a supplier may be excluded from tender</w:t>
            </w:r>
          </w:p>
          <w:p w14:paraId="138623C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4) the evaluation criteria identify specific areas where life-cycle costs and quality criteria are to be assessed in addition to the purchase price; </w:t>
            </w:r>
          </w:p>
          <w:p w14:paraId="1C17CAD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5) stricter requirements for cases with only a single bid </w:t>
            </w:r>
          </w:p>
          <w:p w14:paraId="57CD2E0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6) requirement for a market consultation in order to avoid restrictive technical specifications.</w:t>
            </w:r>
          </w:p>
        </w:tc>
      </w:tr>
      <w:tr w:rsidR="007802BD" w:rsidRPr="00BA1475" w14:paraId="0BFA6754" w14:textId="77777777" w:rsidTr="007802BD">
        <w:trPr>
          <w:trHeight w:val="1200"/>
          <w:jc w:val="center"/>
        </w:trPr>
        <w:tc>
          <w:tcPr>
            <w:tcW w:w="500" w:type="dxa"/>
            <w:shd w:val="clear" w:color="auto" w:fill="C6EFCE"/>
            <w:hideMark/>
          </w:tcPr>
          <w:p w14:paraId="49AC53E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210</w:t>
            </w:r>
          </w:p>
        </w:tc>
        <w:tc>
          <w:tcPr>
            <w:tcW w:w="1197" w:type="dxa"/>
            <w:shd w:val="clear" w:color="auto" w:fill="C6EFCE"/>
            <w:hideMark/>
          </w:tcPr>
          <w:p w14:paraId="731B4225"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6.4.3.r. Development and implementation of a professionalisation strategy </w:t>
            </w:r>
          </w:p>
        </w:tc>
        <w:tc>
          <w:tcPr>
            <w:tcW w:w="851" w:type="dxa"/>
            <w:shd w:val="clear" w:color="auto" w:fill="C6EFCE"/>
            <w:hideMark/>
          </w:tcPr>
          <w:p w14:paraId="77C569F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6B802C7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Adoption of a strategy for the professionalization of procurers</w:t>
            </w:r>
          </w:p>
        </w:tc>
        <w:tc>
          <w:tcPr>
            <w:tcW w:w="1200" w:type="dxa"/>
            <w:shd w:val="clear" w:color="auto" w:fill="C6EFCE"/>
            <w:hideMark/>
          </w:tcPr>
          <w:p w14:paraId="2F376A9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strategy has been adopted.</w:t>
            </w:r>
          </w:p>
        </w:tc>
        <w:tc>
          <w:tcPr>
            <w:tcW w:w="840" w:type="dxa"/>
            <w:shd w:val="clear" w:color="auto" w:fill="C6EFCE"/>
            <w:hideMark/>
          </w:tcPr>
          <w:p w14:paraId="7C00D8B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4787486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2BF1D34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7742997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Q1</w:t>
            </w:r>
          </w:p>
        </w:tc>
        <w:tc>
          <w:tcPr>
            <w:tcW w:w="600" w:type="dxa"/>
            <w:shd w:val="clear" w:color="auto" w:fill="C6EFCE"/>
            <w:hideMark/>
          </w:tcPr>
          <w:p w14:paraId="51073CA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320" w:type="dxa"/>
            <w:shd w:val="clear" w:color="auto" w:fill="C6EFCE"/>
          </w:tcPr>
          <w:p w14:paraId="1DAFCB2F"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Ministry of Finance/ </w:t>
            </w:r>
            <w:r w:rsidRPr="00BA1475">
              <w:rPr>
                <w:rFonts w:ascii="Arial Narrow" w:eastAsia="Calibri" w:hAnsi="Arial Narrow" w:cs="Arial"/>
                <w:noProof/>
                <w:kern w:val="0"/>
                <w:sz w:val="16"/>
                <w:lang w:val="en-GB"/>
                <w14:ligatures w14:val="none"/>
              </w:rPr>
              <w:t>Procurement Monitoring Bureau</w:t>
            </w:r>
            <w:r w:rsidRPr="00BA1475">
              <w:rPr>
                <w:rFonts w:ascii="Arial Narrow" w:eastAsia="Calibri" w:hAnsi="Arial Narrow" w:cs="Calibri"/>
                <w:noProof/>
                <w:kern w:val="0"/>
                <w:sz w:val="16"/>
                <w:szCs w:val="16"/>
                <w:lang w:val="en-GB"/>
                <w14:ligatures w14:val="none"/>
              </w:rPr>
              <w:t xml:space="preserve"> </w:t>
            </w:r>
          </w:p>
        </w:tc>
        <w:tc>
          <w:tcPr>
            <w:tcW w:w="1320" w:type="dxa"/>
            <w:shd w:val="clear" w:color="auto" w:fill="C6EFCE"/>
          </w:tcPr>
          <w:p w14:paraId="7C129A1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Calibri" w:hAnsi="Arial Narrow" w:cs="Segoe UI"/>
                <w:noProof/>
                <w:kern w:val="0"/>
                <w:sz w:val="16"/>
                <w:szCs w:val="16"/>
                <w:shd w:val="clear" w:color="auto" w:fill="C6EFCE"/>
                <w:lang w:val="en-GB"/>
                <w14:ligatures w14:val="none"/>
              </w:rPr>
              <w:t xml:space="preserve">Centralisation of procurement will be covered in the decision of the Cabinet of Ministers. </w:t>
            </w:r>
          </w:p>
        </w:tc>
        <w:tc>
          <w:tcPr>
            <w:tcW w:w="2640" w:type="dxa"/>
            <w:shd w:val="clear" w:color="auto" w:fill="C6EFCE"/>
          </w:tcPr>
          <w:p w14:paraId="70AE8A9E"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r w:rsidRPr="00BA1475">
              <w:rPr>
                <w:rFonts w:ascii="Arial Narrow" w:eastAsia="Calibri" w:hAnsi="Arial Narrow" w:cs="Arial"/>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7308D1FF"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r w:rsidRPr="00BA1475">
              <w:rPr>
                <w:rFonts w:ascii="Arial Narrow" w:eastAsia="Calibri" w:hAnsi="Arial Narrow" w:cs="Arial"/>
                <w:noProof/>
                <w:kern w:val="0"/>
                <w:sz w:val="16"/>
                <w:szCs w:val="16"/>
                <w:lang w:val="en-GB"/>
                <w14:ligatures w14:val="none"/>
              </w:rPr>
              <w:t xml:space="preserve">This document shall include as an annex the following documentary evidence: </w:t>
            </w:r>
          </w:p>
          <w:p w14:paraId="346D148E"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r w:rsidRPr="00BA1475">
              <w:rPr>
                <w:rFonts w:ascii="Arial Narrow" w:eastAsia="Calibri" w:hAnsi="Arial Narrow" w:cs="Arial"/>
                <w:noProof/>
                <w:kern w:val="0"/>
                <w:sz w:val="16"/>
                <w:szCs w:val="16"/>
                <w:lang w:val="en-GB"/>
                <w14:ligatures w14:val="none"/>
              </w:rPr>
              <w:t xml:space="preserve">a) a copy of the adopted professionalisation strategy; </w:t>
            </w:r>
          </w:p>
          <w:p w14:paraId="57BA5B3C" w14:textId="77777777" w:rsidR="00BA1475" w:rsidRPr="00BA1475" w:rsidRDefault="00BA1475" w:rsidP="00BA1475">
            <w:pPr>
              <w:spacing w:after="0" w:line="240" w:lineRule="auto"/>
              <w:rPr>
                <w:rFonts w:ascii="Arial Narrow" w:eastAsia="Calibri" w:hAnsi="Arial Narrow" w:cs="Arial"/>
                <w:noProof/>
                <w:kern w:val="0"/>
                <w:sz w:val="16"/>
                <w:szCs w:val="16"/>
                <w:lang w:val="en-GB"/>
                <w14:ligatures w14:val="none"/>
              </w:rPr>
            </w:pPr>
            <w:r w:rsidRPr="00BA1475">
              <w:rPr>
                <w:rFonts w:ascii="Arial Narrow" w:eastAsia="Calibri" w:hAnsi="Arial Narrow" w:cs="Arial"/>
                <w:noProof/>
                <w:kern w:val="0"/>
                <w:sz w:val="16"/>
                <w:szCs w:val="16"/>
                <w:lang w:val="en-GB"/>
                <w14:ligatures w14:val="none"/>
              </w:rPr>
              <w:t>b) a copy of the decision of the Cabinet of Ministers on the directions of action for conducting centralised procurements.</w:t>
            </w:r>
          </w:p>
        </w:tc>
        <w:tc>
          <w:tcPr>
            <w:tcW w:w="1913" w:type="dxa"/>
            <w:shd w:val="clear" w:color="auto" w:fill="C6EFCE"/>
            <w:hideMark/>
          </w:tcPr>
          <w:p w14:paraId="234AE9D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Adoption of a professionalisation strategy that includes specific directions of action for the competence of procurers and for conducting centralised procurements.</w:t>
            </w:r>
          </w:p>
        </w:tc>
      </w:tr>
      <w:tr w:rsidR="007802BD" w:rsidRPr="00BA1475" w14:paraId="326A71DC" w14:textId="77777777" w:rsidTr="007802BD">
        <w:trPr>
          <w:trHeight w:val="1200"/>
          <w:jc w:val="center"/>
        </w:trPr>
        <w:tc>
          <w:tcPr>
            <w:tcW w:w="500" w:type="dxa"/>
            <w:shd w:val="clear" w:color="auto" w:fill="C6EFCE"/>
            <w:hideMark/>
          </w:tcPr>
          <w:p w14:paraId="205AC32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211</w:t>
            </w:r>
          </w:p>
        </w:tc>
        <w:tc>
          <w:tcPr>
            <w:tcW w:w="1197" w:type="dxa"/>
            <w:shd w:val="clear" w:color="auto" w:fill="C6EFCE"/>
            <w:hideMark/>
          </w:tcPr>
          <w:p w14:paraId="54FD8D80"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6.4.3.r. Development and implementation of a professionalisation strategy </w:t>
            </w:r>
          </w:p>
        </w:tc>
        <w:tc>
          <w:tcPr>
            <w:tcW w:w="851" w:type="dxa"/>
            <w:shd w:val="clear" w:color="auto" w:fill="C6EFCE"/>
            <w:hideMark/>
          </w:tcPr>
          <w:p w14:paraId="1E2A5BA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5A0A6AE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Amendments to the relevant legal acts, regulation and internal procedures</w:t>
            </w:r>
          </w:p>
        </w:tc>
        <w:tc>
          <w:tcPr>
            <w:tcW w:w="1200" w:type="dxa"/>
            <w:shd w:val="clear" w:color="auto" w:fill="C6EFCE"/>
            <w:hideMark/>
          </w:tcPr>
          <w:p w14:paraId="5CB344C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amendments to relevant legal acts, regulations or internal procedures</w:t>
            </w:r>
          </w:p>
        </w:tc>
        <w:tc>
          <w:tcPr>
            <w:tcW w:w="840" w:type="dxa"/>
            <w:shd w:val="clear" w:color="auto" w:fill="C6EFCE"/>
            <w:hideMark/>
          </w:tcPr>
          <w:p w14:paraId="6463717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5604F23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16CE12B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7AB08FF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628F7A8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2022</w:t>
            </w:r>
          </w:p>
        </w:tc>
        <w:tc>
          <w:tcPr>
            <w:tcW w:w="1320" w:type="dxa"/>
            <w:shd w:val="clear" w:color="auto" w:fill="C6EFCE"/>
          </w:tcPr>
          <w:p w14:paraId="355D5741"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bookmarkStart w:id="15" w:name="_Hlk89673884"/>
            <w:r w:rsidRPr="00BA1475">
              <w:rPr>
                <w:rFonts w:ascii="Arial Narrow" w:eastAsia="Calibri" w:hAnsi="Arial Narrow" w:cs="Calibri"/>
                <w:noProof/>
                <w:kern w:val="0"/>
                <w:sz w:val="16"/>
                <w:szCs w:val="16"/>
                <w:lang w:val="en-GB"/>
                <w14:ligatures w14:val="none"/>
              </w:rPr>
              <w:t xml:space="preserve">Procurement Monitoring Bureau </w:t>
            </w:r>
            <w:bookmarkEnd w:id="15"/>
            <w:r w:rsidRPr="00BA1475">
              <w:rPr>
                <w:rFonts w:ascii="Arial Narrow" w:eastAsia="Calibri" w:hAnsi="Arial Narrow" w:cs="Calibri"/>
                <w:noProof/>
                <w:kern w:val="0"/>
                <w:sz w:val="16"/>
                <w:szCs w:val="16"/>
                <w:lang w:val="en-GB"/>
                <w14:ligatures w14:val="none"/>
              </w:rPr>
              <w:t xml:space="preserve">, School of Public Administration </w:t>
            </w:r>
            <w:r w:rsidRPr="00BA1475">
              <w:rPr>
                <w:rFonts w:ascii="Calibri" w:eastAsia="Calibri" w:hAnsi="Calibri" w:cs="Arial"/>
                <w:noProof/>
                <w:kern w:val="0"/>
                <w:lang w:val="en-GB"/>
                <w14:ligatures w14:val="none"/>
              </w:rPr>
              <w:t xml:space="preserve"> </w:t>
            </w:r>
            <w:r w:rsidRPr="00BA1475">
              <w:rPr>
                <w:rFonts w:ascii="Arial Narrow" w:eastAsia="Calibri" w:hAnsi="Arial Narrow" w:cs="Calibri"/>
                <w:noProof/>
                <w:kern w:val="0"/>
                <w:sz w:val="16"/>
                <w:szCs w:val="16"/>
                <w:lang w:val="en-GB"/>
                <w14:ligatures w14:val="none"/>
              </w:rPr>
              <w:t>State Chancellery</w:t>
            </w:r>
            <w:r w:rsidRPr="00BA1475" w:rsidDel="00A95FB5">
              <w:rPr>
                <w:rFonts w:ascii="Arial Narrow" w:eastAsia="Calibri" w:hAnsi="Arial Narrow" w:cs="Calibri"/>
                <w:noProof/>
                <w:kern w:val="0"/>
                <w:sz w:val="16"/>
                <w:szCs w:val="16"/>
                <w:lang w:val="en-GB"/>
                <w14:ligatures w14:val="none"/>
              </w:rPr>
              <w:t xml:space="preserve"> </w:t>
            </w:r>
            <w:r w:rsidRPr="00BA1475">
              <w:rPr>
                <w:rFonts w:ascii="Arial Narrow" w:eastAsia="Calibri" w:hAnsi="Arial Narrow" w:cs="Calibri"/>
                <w:noProof/>
                <w:kern w:val="0"/>
                <w:sz w:val="16"/>
                <w:szCs w:val="16"/>
                <w:lang w:val="en-GB"/>
                <w14:ligatures w14:val="none"/>
              </w:rPr>
              <w:t>, Ministry of Economics</w:t>
            </w:r>
          </w:p>
        </w:tc>
        <w:tc>
          <w:tcPr>
            <w:tcW w:w="1320" w:type="dxa"/>
            <w:shd w:val="clear" w:color="auto" w:fill="C6EFCE"/>
          </w:tcPr>
          <w:p w14:paraId="58E91EE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02531F9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49EED87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w:t>
            </w:r>
            <w:bookmarkStart w:id="16" w:name="_Hlk85527710"/>
            <w:r w:rsidRPr="00BA1475">
              <w:rPr>
                <w:rFonts w:ascii="Arial Narrow" w:eastAsia="Calibri" w:hAnsi="Arial Narrow" w:cs="Calibri"/>
                <w:noProof/>
                <w:kern w:val="0"/>
                <w:sz w:val="16"/>
                <w:szCs w:val="16"/>
                <w:lang w:val="en-GB"/>
                <w14:ligatures w14:val="none"/>
              </w:rPr>
              <w:t xml:space="preserve">following documentary evidence: </w:t>
            </w:r>
          </w:p>
          <w:p w14:paraId="6AF412F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Calibri" w:hAnsi="Arial Narrow" w:cs="Calibri"/>
                <w:noProof/>
                <w:kern w:val="0"/>
                <w:sz w:val="16"/>
                <w:szCs w:val="16"/>
                <w:lang w:val="en-GB"/>
                <w14:ligatures w14:val="none"/>
              </w:rPr>
              <w:t>a)</w:t>
            </w:r>
            <w:r w:rsidRPr="00BA1475">
              <w:rPr>
                <w:rFonts w:ascii="Arial Narrow" w:eastAsia="Times New Roman" w:hAnsi="Arial Narrow" w:cs="Times New Roman"/>
                <w:noProof/>
                <w:kern w:val="0"/>
                <w:sz w:val="16"/>
                <w:szCs w:val="16"/>
                <w:lang w:val="en-GB" w:eastAsia="en-GB"/>
                <w14:ligatures w14:val="none"/>
              </w:rPr>
              <w:t xml:space="preserve"> a copy of (and a link to) the publication of standardised qualification requirements by sector in iub.gov.lv </w:t>
            </w:r>
          </w:p>
          <w:p w14:paraId="3087AF1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b) </w:t>
            </w:r>
            <w:r w:rsidRPr="00BA1475">
              <w:rPr>
                <w:rFonts w:ascii="Arial Narrow" w:eastAsia="Calibri" w:hAnsi="Arial Narrow" w:cs="Calibri"/>
                <w:noProof/>
                <w:kern w:val="0"/>
                <w:sz w:val="16"/>
                <w:szCs w:val="16"/>
                <w:lang w:val="en-GB"/>
                <w14:ligatures w14:val="none"/>
              </w:rPr>
              <w:t xml:space="preserve">a copy of (and a link to) the publication in the Official Journal of the Cabinet of Ministers regulation of </w:t>
            </w:r>
            <w:r w:rsidRPr="00BA1475">
              <w:rPr>
                <w:rFonts w:ascii="Arial Narrow" w:eastAsia="Times New Roman" w:hAnsi="Arial Narrow" w:cs="Times New Roman"/>
                <w:noProof/>
                <w:kern w:val="0"/>
                <w:sz w:val="16"/>
                <w:szCs w:val="16"/>
                <w:lang w:val="en-GB" w:eastAsia="en-GB"/>
                <w14:ligatures w14:val="none"/>
              </w:rPr>
              <w:t>Standardised acceptance-transfer documents in works procurements,</w:t>
            </w:r>
          </w:p>
          <w:p w14:paraId="60551C2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 a publicly accessible link to methodological materials in iub.gov.lv.;</w:t>
            </w:r>
          </w:p>
          <w:p w14:paraId="3C27299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d) a copy of the single training programme to ensure that procurers’ competence has been developed and implemented on </w:t>
            </w:r>
            <w:r w:rsidRPr="00BA1475">
              <w:rPr>
                <w:rFonts w:ascii="Arial Narrow" w:eastAsia="Calibri" w:hAnsi="Arial Narrow" w:cs="Calibri"/>
                <w:noProof/>
                <w:kern w:val="0"/>
                <w:sz w:val="16"/>
                <w:szCs w:val="16"/>
                <w:lang w:val="en-GB"/>
                <w14:ligatures w14:val="none"/>
              </w:rPr>
              <w:t>State administration school</w:t>
            </w:r>
            <w:r w:rsidRPr="00BA1475">
              <w:rPr>
                <w:rFonts w:ascii="Arial Narrow" w:eastAsia="Times New Roman" w:hAnsi="Arial Narrow" w:cs="Times New Roman"/>
                <w:noProof/>
                <w:kern w:val="0"/>
                <w:sz w:val="16"/>
                <w:szCs w:val="16"/>
                <w:lang w:val="en-GB" w:eastAsia="en-GB"/>
                <w14:ligatures w14:val="none"/>
              </w:rPr>
              <w:t xml:space="preserve">; </w:t>
            </w:r>
          </w:p>
          <w:p w14:paraId="4572682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e) a copy of (and a link to) relevant guidelines or legal act to increase </w:t>
            </w:r>
            <w:bookmarkEnd w:id="16"/>
            <w:r w:rsidRPr="00BA1475">
              <w:rPr>
                <w:rFonts w:ascii="Arial Narrow" w:eastAsia="Times New Roman" w:hAnsi="Arial Narrow" w:cs="Times New Roman"/>
                <w:noProof/>
                <w:kern w:val="0"/>
                <w:sz w:val="16"/>
                <w:szCs w:val="16"/>
                <w:lang w:val="en-GB" w:eastAsia="en-GB"/>
                <w14:ligatures w14:val="none"/>
              </w:rPr>
              <w:t xml:space="preserve">requirements for procurement commission competence in procurements reaching a certain threshold of contract prices; </w:t>
            </w:r>
          </w:p>
          <w:p w14:paraId="5111ACA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Times New Roman" w:hAnsi="Arial Narrow" w:cs="Times New Roman"/>
                <w:noProof/>
                <w:kern w:val="0"/>
                <w:sz w:val="16"/>
                <w:szCs w:val="16"/>
                <w:lang w:val="en-GB" w:eastAsia="en-GB"/>
                <w14:ligatures w14:val="none"/>
              </w:rPr>
              <w:t xml:space="preserve"> (f) a copy of (and a link to) relevant internal rules of procedure or legal act to ensure that the procurement commission advertises the appropriate quality of tenders (risk based supervision of procurements).</w:t>
            </w:r>
          </w:p>
        </w:tc>
        <w:tc>
          <w:tcPr>
            <w:tcW w:w="1913" w:type="dxa"/>
            <w:shd w:val="clear" w:color="auto" w:fill="C6EFCE"/>
            <w:hideMark/>
          </w:tcPr>
          <w:p w14:paraId="2E1872E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adoption of the following has been completed: </w:t>
            </w:r>
          </w:p>
          <w:p w14:paraId="7AFC0C2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(1) Standardised qualification requirements by sector (information and communication technologies, construction, road transport, mobile and fixed communication services), (2) Standardised acceptance-transfer documents in works procurements, (3) public access to methodological materials, (4) a single training programme to ensure that procurers’ competence has been developed and implemented, (5) increased requirements for procurement commission competence in procurements reaching a certain threshold of contract prices, e.g. certification to the Chair of the Procurement Commission, (6) pre-verification of procurements ensure that the procurement commission advertises the appropriate quality of tenders. </w:t>
            </w:r>
          </w:p>
        </w:tc>
      </w:tr>
      <w:tr w:rsidR="007802BD" w:rsidRPr="00BA1475" w14:paraId="20BCEDA9" w14:textId="77777777" w:rsidTr="007802BD">
        <w:trPr>
          <w:trHeight w:val="1200"/>
          <w:jc w:val="center"/>
        </w:trPr>
        <w:tc>
          <w:tcPr>
            <w:tcW w:w="500" w:type="dxa"/>
            <w:shd w:val="clear" w:color="auto" w:fill="C6EFCE"/>
            <w:hideMark/>
          </w:tcPr>
          <w:p w14:paraId="389EC1F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212</w:t>
            </w:r>
          </w:p>
        </w:tc>
        <w:tc>
          <w:tcPr>
            <w:tcW w:w="1197" w:type="dxa"/>
            <w:shd w:val="clear" w:color="auto" w:fill="C6EFCE"/>
            <w:hideMark/>
          </w:tcPr>
          <w:p w14:paraId="3D84E22C"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6.4.3.r. Development and implementation of a professionalisation strategy </w:t>
            </w:r>
          </w:p>
        </w:tc>
        <w:tc>
          <w:tcPr>
            <w:tcW w:w="851" w:type="dxa"/>
            <w:shd w:val="clear" w:color="auto" w:fill="C6EFCE"/>
            <w:hideMark/>
          </w:tcPr>
          <w:p w14:paraId="2DE594F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5B909F8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Entry into force of legal acts implementing centralization of procurement </w:t>
            </w:r>
          </w:p>
        </w:tc>
        <w:tc>
          <w:tcPr>
            <w:tcW w:w="1200" w:type="dxa"/>
            <w:shd w:val="clear" w:color="auto" w:fill="C6EFCE"/>
            <w:hideMark/>
          </w:tcPr>
          <w:p w14:paraId="5645933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relevant legal acts</w:t>
            </w:r>
          </w:p>
        </w:tc>
        <w:tc>
          <w:tcPr>
            <w:tcW w:w="840" w:type="dxa"/>
            <w:shd w:val="clear" w:color="auto" w:fill="C6EFCE"/>
            <w:hideMark/>
          </w:tcPr>
          <w:p w14:paraId="462D077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4883FDF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0AB33DE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195BB2B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Q3</w:t>
            </w:r>
          </w:p>
        </w:tc>
        <w:tc>
          <w:tcPr>
            <w:tcW w:w="600" w:type="dxa"/>
            <w:shd w:val="clear" w:color="auto" w:fill="C6EFCE"/>
            <w:hideMark/>
          </w:tcPr>
          <w:p w14:paraId="6DE32B5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320" w:type="dxa"/>
            <w:shd w:val="clear" w:color="auto" w:fill="C6EFCE"/>
          </w:tcPr>
          <w:p w14:paraId="3F023F76"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Ministry of Finance</w:t>
            </w:r>
          </w:p>
        </w:tc>
        <w:tc>
          <w:tcPr>
            <w:tcW w:w="1320" w:type="dxa"/>
            <w:shd w:val="clear" w:color="auto" w:fill="C6EFCE"/>
          </w:tcPr>
          <w:p w14:paraId="544954C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1C46380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notably the link between the decision and the preceding feasibility study) was satisfactorily fulfilled, with appropriate links to the underlying evidence.</w:t>
            </w:r>
          </w:p>
          <w:p w14:paraId="4CDF2C7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28B8E01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a copy of and a link to publication in the Official Journal of the decision by the Cabinet of Ministers on centralising certain parts of public procurement</w:t>
            </w:r>
            <w:r w:rsidRPr="00BA1475">
              <w:rPr>
                <w:rFonts w:ascii="Arial Narrow" w:eastAsia="Times New Roman" w:hAnsi="Arial Narrow" w:cs="Times New Roman"/>
                <w:noProof/>
                <w:kern w:val="0"/>
                <w:sz w:val="16"/>
                <w:szCs w:val="16"/>
                <w:lang w:val="en-GB" w:eastAsia="en-GB"/>
                <w14:ligatures w14:val="none"/>
              </w:rPr>
              <w:t xml:space="preserve">, </w:t>
            </w:r>
            <w:r w:rsidRPr="00BA1475">
              <w:rPr>
                <w:rFonts w:ascii="Arial Narrow" w:eastAsia="Calibri" w:hAnsi="Arial Narrow" w:cs="Calibri"/>
                <w:noProof/>
                <w:kern w:val="0"/>
                <w:sz w:val="16"/>
                <w:szCs w:val="16"/>
                <w:lang w:val="en-GB"/>
                <w14:ligatures w14:val="none"/>
              </w:rPr>
              <w:t xml:space="preserve">including a reference to the provision indicating the entry into force; </w:t>
            </w:r>
          </w:p>
          <w:p w14:paraId="5779A18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b) a copy of the feasibility study decision was based.</w:t>
            </w:r>
          </w:p>
        </w:tc>
        <w:tc>
          <w:tcPr>
            <w:tcW w:w="1913" w:type="dxa"/>
            <w:shd w:val="clear" w:color="auto" w:fill="C6EFCE"/>
            <w:hideMark/>
          </w:tcPr>
          <w:p w14:paraId="70379E3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entry into force of a decision by the Cabinet of Ministers on the execution of centralised procurements in certain areas that</w:t>
            </w:r>
            <w:r w:rsidRPr="00BA1475">
              <w:rPr>
                <w:rFonts w:ascii="Arial Narrow" w:eastAsia="Calibri" w:hAnsi="Arial Narrow" w:cs="Times New Roman"/>
                <w:noProof/>
                <w:kern w:val="0"/>
                <w:sz w:val="16"/>
                <w:szCs w:val="16"/>
                <w:lang w:val="en-GB"/>
                <w14:ligatures w14:val="none"/>
              </w:rPr>
              <w:t xml:space="preserve"> shall</w:t>
            </w:r>
            <w:r w:rsidRPr="00BA1475">
              <w:rPr>
                <w:rFonts w:ascii="Arial Narrow" w:eastAsia="Times New Roman" w:hAnsi="Arial Narrow" w:cs="Times New Roman"/>
                <w:noProof/>
                <w:kern w:val="0"/>
                <w:sz w:val="16"/>
                <w:szCs w:val="16"/>
                <w:lang w:val="en-GB" w:eastAsia="en-GB"/>
                <w14:ligatures w14:val="none"/>
              </w:rPr>
              <w:t xml:space="preserve"> be identified in a preceding feasibility study.</w:t>
            </w:r>
          </w:p>
        </w:tc>
      </w:tr>
      <w:tr w:rsidR="007802BD" w:rsidRPr="00BA1475" w14:paraId="1A713836" w14:textId="77777777" w:rsidTr="007802BD">
        <w:trPr>
          <w:trHeight w:val="1200"/>
          <w:jc w:val="center"/>
        </w:trPr>
        <w:tc>
          <w:tcPr>
            <w:tcW w:w="500" w:type="dxa"/>
            <w:shd w:val="clear" w:color="auto" w:fill="C6EFCE"/>
            <w:hideMark/>
          </w:tcPr>
          <w:p w14:paraId="0AF62BD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213</w:t>
            </w:r>
          </w:p>
        </w:tc>
        <w:tc>
          <w:tcPr>
            <w:tcW w:w="1197" w:type="dxa"/>
            <w:shd w:val="clear" w:color="auto" w:fill="C6EFCE"/>
            <w:hideMark/>
          </w:tcPr>
          <w:p w14:paraId="20FD6AFE"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6.4.4.r. </w:t>
            </w:r>
          </w:p>
          <w:p w14:paraId="34FE6479"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IUB IT and analytical capacity building</w:t>
            </w:r>
          </w:p>
        </w:tc>
        <w:tc>
          <w:tcPr>
            <w:tcW w:w="851" w:type="dxa"/>
            <w:shd w:val="clear" w:color="auto" w:fill="C6EFCE"/>
            <w:hideMark/>
          </w:tcPr>
          <w:p w14:paraId="1E61336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11FDA7C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Adoption of criteria for identifying risky market sectors, customers and purchases</w:t>
            </w:r>
          </w:p>
        </w:tc>
        <w:tc>
          <w:tcPr>
            <w:tcW w:w="1200" w:type="dxa"/>
            <w:shd w:val="clear" w:color="auto" w:fill="C6EFCE"/>
            <w:hideMark/>
          </w:tcPr>
          <w:p w14:paraId="4B1B0B7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40" w:type="dxa"/>
            <w:shd w:val="clear" w:color="auto" w:fill="C6EFCE"/>
            <w:hideMark/>
          </w:tcPr>
          <w:p w14:paraId="67946DB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4442AF6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4D4F975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016D18A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5156AB4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2021</w:t>
            </w:r>
          </w:p>
        </w:tc>
        <w:tc>
          <w:tcPr>
            <w:tcW w:w="1320" w:type="dxa"/>
            <w:shd w:val="clear" w:color="auto" w:fill="C6EFCE"/>
          </w:tcPr>
          <w:p w14:paraId="04F5DE59"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Procurement Monitoring Bureau </w:t>
            </w:r>
          </w:p>
        </w:tc>
        <w:tc>
          <w:tcPr>
            <w:tcW w:w="1320" w:type="dxa"/>
            <w:shd w:val="clear" w:color="auto" w:fill="C6EFCE"/>
          </w:tcPr>
          <w:p w14:paraId="675FBE9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5F1EB06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3761E5D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a copy of the document defining the criteria for identification of risky market sectors, customers and procurement procedures which have been approved. </w:t>
            </w:r>
            <w:r w:rsidRPr="00BA1475">
              <w:rPr>
                <w:rFonts w:ascii="Arial Narrow" w:eastAsia="Times New Roman" w:hAnsi="Arial Narrow" w:cs="Times New Roman"/>
                <w:noProof/>
                <w:kern w:val="0"/>
                <w:sz w:val="16"/>
                <w:szCs w:val="16"/>
                <w:lang w:val="en-GB" w:eastAsia="en-GB"/>
                <w14:ligatures w14:val="none"/>
              </w:rPr>
              <w:t>The criteria set are based on procurement publication indicators and EC procurement indicators, as well as on good practices from other countries, such as the Index tool.</w:t>
            </w:r>
          </w:p>
        </w:tc>
        <w:tc>
          <w:tcPr>
            <w:tcW w:w="1913" w:type="dxa"/>
            <w:shd w:val="clear" w:color="auto" w:fill="C6EFCE"/>
            <w:hideMark/>
          </w:tcPr>
          <w:p w14:paraId="41BC1A9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Criteria for identification of risky market sectors, customers and procurement procedures have been approved. </w:t>
            </w:r>
          </w:p>
          <w:p w14:paraId="6854DB6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criteria set are based on procurement publication indicators and EC procurement indicators, as well as on good practices from other countries, such as the Index tool.</w:t>
            </w:r>
          </w:p>
        </w:tc>
      </w:tr>
      <w:tr w:rsidR="007802BD" w:rsidRPr="00BA1475" w14:paraId="7ED83386" w14:textId="77777777" w:rsidTr="007802BD">
        <w:trPr>
          <w:trHeight w:val="356"/>
          <w:jc w:val="center"/>
        </w:trPr>
        <w:tc>
          <w:tcPr>
            <w:tcW w:w="500" w:type="dxa"/>
            <w:shd w:val="clear" w:color="auto" w:fill="C6EFCE"/>
            <w:hideMark/>
          </w:tcPr>
          <w:p w14:paraId="048641E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214</w:t>
            </w:r>
          </w:p>
        </w:tc>
        <w:tc>
          <w:tcPr>
            <w:tcW w:w="1197" w:type="dxa"/>
            <w:shd w:val="clear" w:color="auto" w:fill="C6EFCE"/>
            <w:hideMark/>
          </w:tcPr>
          <w:p w14:paraId="2D9A8C3D"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6.4.4.r. </w:t>
            </w:r>
          </w:p>
          <w:p w14:paraId="1D02D3C8"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IUB IT and analytical capacity building</w:t>
            </w:r>
          </w:p>
        </w:tc>
        <w:tc>
          <w:tcPr>
            <w:tcW w:w="851" w:type="dxa"/>
            <w:shd w:val="clear" w:color="auto" w:fill="C6EFCE"/>
            <w:hideMark/>
          </w:tcPr>
          <w:p w14:paraId="10836E6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385" w:type="dxa"/>
            <w:shd w:val="clear" w:color="auto" w:fill="C6EFCE"/>
            <w:hideMark/>
          </w:tcPr>
          <w:p w14:paraId="1D2F61F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Upgrade of publications management system completed</w:t>
            </w:r>
          </w:p>
        </w:tc>
        <w:tc>
          <w:tcPr>
            <w:tcW w:w="1200" w:type="dxa"/>
            <w:shd w:val="clear" w:color="auto" w:fill="C6EFCE"/>
            <w:hideMark/>
          </w:tcPr>
          <w:p w14:paraId="3DCD7CC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Upgrade of publications management system completed</w:t>
            </w:r>
          </w:p>
        </w:tc>
        <w:tc>
          <w:tcPr>
            <w:tcW w:w="840" w:type="dxa"/>
            <w:shd w:val="clear" w:color="auto" w:fill="C6EFCE"/>
            <w:hideMark/>
          </w:tcPr>
          <w:p w14:paraId="0F38751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40" w:type="dxa"/>
            <w:shd w:val="clear" w:color="auto" w:fill="C6EFCE"/>
            <w:hideMark/>
          </w:tcPr>
          <w:p w14:paraId="03F015C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91" w:type="dxa"/>
            <w:shd w:val="clear" w:color="auto" w:fill="C6EFCE"/>
            <w:hideMark/>
          </w:tcPr>
          <w:p w14:paraId="2C80056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80" w:type="dxa"/>
            <w:shd w:val="clear" w:color="auto" w:fill="C6EFCE"/>
            <w:hideMark/>
          </w:tcPr>
          <w:p w14:paraId="465CFEC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600" w:type="dxa"/>
            <w:shd w:val="clear" w:color="auto" w:fill="C6EFCE"/>
            <w:hideMark/>
          </w:tcPr>
          <w:p w14:paraId="78A75D3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320" w:type="dxa"/>
            <w:shd w:val="clear" w:color="auto" w:fill="C6EFCE"/>
          </w:tcPr>
          <w:p w14:paraId="47AF7B37"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Procurement Monitoring Bureau </w:t>
            </w:r>
          </w:p>
        </w:tc>
        <w:tc>
          <w:tcPr>
            <w:tcW w:w="1320" w:type="dxa"/>
            <w:shd w:val="clear" w:color="auto" w:fill="C6EFCE"/>
          </w:tcPr>
          <w:p w14:paraId="3216D96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640" w:type="dxa"/>
            <w:shd w:val="clear" w:color="auto" w:fill="C6EFCE"/>
          </w:tcPr>
          <w:p w14:paraId="319F17E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Summary document duly justifying how the milestone (including all the constitutive elements) was satisfactorily fulfilled, with appropriate links to the underlying evidence.</w:t>
            </w:r>
          </w:p>
          <w:p w14:paraId="3F6446A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This document shall include as an annex the following documentary evidence: </w:t>
            </w:r>
          </w:p>
          <w:p w14:paraId="04F6DFF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a copy of the certificate of completion issued in line with national legislation confirming that the upgrade of the publications management system has been completed and is available; </w:t>
            </w:r>
          </w:p>
          <w:p w14:paraId="0DFBC1A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b) a link to the publicly available parts of the system; </w:t>
            </w:r>
          </w:p>
          <w:p w14:paraId="0E410E3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c) extracts of the internal system demonstrating its functionality as foreseen in the description of the milestone.</w:t>
            </w:r>
          </w:p>
        </w:tc>
        <w:tc>
          <w:tcPr>
            <w:tcW w:w="1913" w:type="dxa"/>
            <w:shd w:val="clear" w:color="auto" w:fill="C6EFCE"/>
            <w:hideMark/>
          </w:tcPr>
          <w:p w14:paraId="70CB390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publications management system is available, ensuring:</w:t>
            </w:r>
          </w:p>
          <w:p w14:paraId="3F58CF9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online access,</w:t>
            </w:r>
          </w:p>
          <w:p w14:paraId="4D1F9C5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-publication of e-forms, </w:t>
            </w:r>
          </w:p>
          <w:p w14:paraId="50BE2F1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overview of procurement statistics,</w:t>
            </w:r>
          </w:p>
          <w:p w14:paraId="2B22667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availability of client profiles, </w:t>
            </w:r>
          </w:p>
          <w:p w14:paraId="61C2CC6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module for procurement complaints process,</w:t>
            </w:r>
          </w:p>
          <w:p w14:paraId="0927B8E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-module for carrying out pre-checks, </w:t>
            </w:r>
          </w:p>
          <w:p w14:paraId="53EE101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-module for administrative infringement process cases,</w:t>
            </w:r>
          </w:p>
          <w:p w14:paraId="6EEC6B2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verification of convicted persons before their inclusion in the procurement commission.</w:t>
            </w:r>
          </w:p>
        </w:tc>
      </w:tr>
    </w:tbl>
    <w:p w14:paraId="473D92E4" w14:textId="77777777" w:rsidR="00BA1475" w:rsidRPr="00BA1475" w:rsidRDefault="00BA1475" w:rsidP="00BA1475">
      <w:pPr>
        <w:spacing w:before="120" w:after="120" w:line="240" w:lineRule="auto"/>
        <w:ind w:left="709"/>
        <w:jc w:val="both"/>
        <w:rPr>
          <w:rFonts w:ascii="Arial Narrow" w:eastAsia="Calibri" w:hAnsi="Arial Narrow" w:cs="Times New Roman"/>
          <w:noProof/>
          <w:kern w:val="0"/>
          <w:sz w:val="24"/>
          <w:szCs w:val="24"/>
          <w:lang w:val="en-GB"/>
          <w14:ligatures w14:val="none"/>
        </w:rPr>
      </w:pPr>
    </w:p>
    <w:p w14:paraId="7280BA08" w14:textId="77777777" w:rsidR="00BA1475" w:rsidRDefault="00BA1475" w:rsidP="00BA1475">
      <w:pPr>
        <w:spacing w:after="200" w:line="276" w:lineRule="auto"/>
        <w:rPr>
          <w:rFonts w:ascii="Arial Narrow" w:eastAsia="Calibri" w:hAnsi="Arial Narrow" w:cs="Times New Roman"/>
          <w:noProof/>
          <w:kern w:val="0"/>
          <w:sz w:val="24"/>
          <w:szCs w:val="24"/>
          <w:lang w:val="en-GB"/>
          <w14:ligatures w14:val="none"/>
        </w:rPr>
        <w:sectPr w:rsidR="00BA1475" w:rsidSect="00BA1475">
          <w:headerReference w:type="even" r:id="rId56"/>
          <w:headerReference w:type="default" r:id="rId57"/>
          <w:footerReference w:type="even" r:id="rId58"/>
          <w:footerReference w:type="default" r:id="rId59"/>
          <w:headerReference w:type="first" r:id="rId60"/>
          <w:footerReference w:type="first" r:id="rId61"/>
          <w:pgSz w:w="16838" w:h="11906" w:orient="landscape"/>
          <w:pgMar w:top="1440" w:right="1440" w:bottom="1440" w:left="1440" w:header="708" w:footer="708" w:gutter="0"/>
          <w:cols w:space="720"/>
          <w:docGrid w:linePitch="360"/>
        </w:sectPr>
      </w:pPr>
    </w:p>
    <w:p w14:paraId="47E9084F" w14:textId="77777777" w:rsidR="00BA1475" w:rsidRPr="00BA1475" w:rsidRDefault="00BA1475" w:rsidP="00BA1475">
      <w:pPr>
        <w:keepNext/>
        <w:keepLines/>
        <w:spacing w:before="40" w:after="120"/>
        <w:ind w:left="850"/>
        <w:outlineLvl w:val="1"/>
        <w:rPr>
          <w:rFonts w:ascii="Arial Narrow" w:eastAsia="MS Mincho" w:hAnsi="Arial Narrow" w:cs="Times New Roman"/>
          <w:b/>
          <w:bCs/>
          <w:noProof/>
          <w:kern w:val="0"/>
          <w:sz w:val="24"/>
          <w:szCs w:val="26"/>
          <w:lang w:val="en-GB"/>
          <w14:ligatures w14:val="none"/>
        </w:rPr>
      </w:pPr>
      <w:r w:rsidRPr="00BA1475">
        <w:rPr>
          <w:rFonts w:ascii="Arial Narrow" w:eastAsia="Calibri" w:hAnsi="Arial Narrow" w:cs="Times New Roman"/>
          <w:b/>
          <w:bCs/>
          <w:noProof/>
          <w:kern w:val="0"/>
          <w:sz w:val="24"/>
          <w:szCs w:val="24"/>
          <w:lang w:val="en-GB"/>
          <w14:ligatures w14:val="none"/>
        </w:rPr>
        <w:t>G. COMPONENT 7: REPOWEREU</w:t>
      </w:r>
    </w:p>
    <w:tbl>
      <w:tblPr>
        <w:tblW w:w="16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1294"/>
        <w:gridCol w:w="838"/>
        <w:gridCol w:w="1232"/>
        <w:gridCol w:w="1263"/>
        <w:gridCol w:w="910"/>
        <w:gridCol w:w="825"/>
        <w:gridCol w:w="621"/>
        <w:gridCol w:w="416"/>
        <w:gridCol w:w="591"/>
        <w:gridCol w:w="1231"/>
        <w:gridCol w:w="1134"/>
        <w:gridCol w:w="2932"/>
        <w:gridCol w:w="2323"/>
      </w:tblGrid>
      <w:tr w:rsidR="00BA1475" w:rsidRPr="00BA1475" w14:paraId="5A9BBAED" w14:textId="77777777" w:rsidTr="00610215">
        <w:trPr>
          <w:trHeight w:val="607"/>
          <w:tblHeader/>
          <w:jc w:val="center"/>
        </w:trPr>
        <w:tc>
          <w:tcPr>
            <w:tcW w:w="554" w:type="dxa"/>
            <w:vMerge w:val="restart"/>
            <w:shd w:val="clear" w:color="auto" w:fill="BDD7EE"/>
            <w:vAlign w:val="center"/>
            <w:hideMark/>
          </w:tcPr>
          <w:p w14:paraId="51F0A892" w14:textId="77777777" w:rsidR="00BA1475" w:rsidRPr="00BA1475" w:rsidRDefault="00BA1475" w:rsidP="00BA1475">
            <w:pPr>
              <w:spacing w:after="0" w:line="240" w:lineRule="auto"/>
              <w:jc w:val="center"/>
              <w:rPr>
                <w:rFonts w:ascii="Arial Narrow" w:eastAsia="Times New Roman" w:hAnsi="Arial Narrow" w:cs="Times New Roman"/>
                <w:b/>
                <w:noProof/>
                <w:kern w:val="0"/>
                <w:sz w:val="16"/>
                <w:szCs w:val="16"/>
                <w:lang w:val="en-GB" w:eastAsia="en-GB"/>
                <w14:ligatures w14:val="none"/>
              </w:rPr>
            </w:pPr>
            <w:r w:rsidRPr="00BA1475">
              <w:rPr>
                <w:rFonts w:ascii="Arial Narrow" w:eastAsia="Times New Roman" w:hAnsi="Arial Narrow" w:cs="Times New Roman"/>
                <w:b/>
                <w:noProof/>
                <w:kern w:val="0"/>
                <w:sz w:val="16"/>
                <w:szCs w:val="16"/>
                <w:lang w:val="en-GB" w:eastAsia="en-GB"/>
                <w14:ligatures w14:val="none"/>
              </w:rPr>
              <w:t>#</w:t>
            </w:r>
          </w:p>
        </w:tc>
        <w:tc>
          <w:tcPr>
            <w:tcW w:w="1294" w:type="dxa"/>
            <w:vMerge w:val="restart"/>
            <w:shd w:val="clear" w:color="auto" w:fill="BDD7EE"/>
            <w:vAlign w:val="center"/>
            <w:hideMark/>
          </w:tcPr>
          <w:p w14:paraId="187FDC22"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Related measure (reform or investment)</w:t>
            </w:r>
          </w:p>
        </w:tc>
        <w:tc>
          <w:tcPr>
            <w:tcW w:w="838" w:type="dxa"/>
            <w:vMerge w:val="restart"/>
            <w:shd w:val="clear" w:color="auto" w:fill="BDD7EE"/>
            <w:vAlign w:val="center"/>
            <w:hideMark/>
          </w:tcPr>
          <w:p w14:paraId="7C2CB7D3"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M/T</w:t>
            </w:r>
          </w:p>
        </w:tc>
        <w:tc>
          <w:tcPr>
            <w:tcW w:w="1232" w:type="dxa"/>
            <w:vMerge w:val="restart"/>
            <w:shd w:val="clear" w:color="auto" w:fill="BDD7EE"/>
            <w:vAlign w:val="center"/>
            <w:hideMark/>
          </w:tcPr>
          <w:p w14:paraId="5A9511B0"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Name</w:t>
            </w:r>
          </w:p>
        </w:tc>
        <w:tc>
          <w:tcPr>
            <w:tcW w:w="1263" w:type="dxa"/>
            <w:vMerge w:val="restart"/>
            <w:shd w:val="clear" w:color="auto" w:fill="BDD7EE"/>
            <w:vAlign w:val="center"/>
            <w:hideMark/>
          </w:tcPr>
          <w:p w14:paraId="23D4667B"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Qualitative indicators</w:t>
            </w:r>
            <w:r w:rsidRPr="00BA1475">
              <w:rPr>
                <w:rFonts w:ascii="Arial Narrow" w:eastAsia="Times New Roman" w:hAnsi="Arial Narrow" w:cs="Times New Roman"/>
                <w:b/>
                <w:bCs/>
                <w:noProof/>
                <w:kern w:val="0"/>
                <w:sz w:val="16"/>
                <w:szCs w:val="16"/>
                <w:lang w:val="en-GB" w:eastAsia="en-GB"/>
                <w14:ligatures w14:val="none"/>
              </w:rPr>
              <w:br/>
              <w:t xml:space="preserve"> (for milestones)</w:t>
            </w:r>
          </w:p>
        </w:tc>
        <w:tc>
          <w:tcPr>
            <w:tcW w:w="2356" w:type="dxa"/>
            <w:gridSpan w:val="3"/>
            <w:shd w:val="clear" w:color="auto" w:fill="BDD7EE"/>
            <w:vAlign w:val="center"/>
            <w:hideMark/>
          </w:tcPr>
          <w:p w14:paraId="266C327C"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Quantitative indicators</w:t>
            </w:r>
            <w:r w:rsidRPr="00BA1475">
              <w:rPr>
                <w:rFonts w:ascii="Arial Narrow" w:eastAsia="Times New Roman" w:hAnsi="Arial Narrow" w:cs="Times New Roman"/>
                <w:b/>
                <w:bCs/>
                <w:noProof/>
                <w:kern w:val="0"/>
                <w:sz w:val="16"/>
                <w:szCs w:val="16"/>
                <w:lang w:val="en-GB" w:eastAsia="en-GB"/>
                <w14:ligatures w14:val="none"/>
              </w:rPr>
              <w:br/>
              <w:t xml:space="preserve"> (for targets)</w:t>
            </w:r>
          </w:p>
        </w:tc>
        <w:tc>
          <w:tcPr>
            <w:tcW w:w="1007" w:type="dxa"/>
            <w:gridSpan w:val="2"/>
            <w:shd w:val="clear" w:color="auto" w:fill="BDD7EE"/>
            <w:vAlign w:val="center"/>
            <w:hideMark/>
          </w:tcPr>
          <w:p w14:paraId="1FD9828F"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Indicative timeline for completion</w:t>
            </w:r>
          </w:p>
        </w:tc>
        <w:tc>
          <w:tcPr>
            <w:tcW w:w="1231" w:type="dxa"/>
            <w:vMerge w:val="restart"/>
            <w:shd w:val="clear" w:color="auto" w:fill="BDD7EE"/>
            <w:vAlign w:val="center"/>
          </w:tcPr>
          <w:p w14:paraId="767274AC"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Calibri" w:hAnsi="Arial Narrow" w:cs="Calibri"/>
                <w:b/>
                <w:noProof/>
                <w:kern w:val="0"/>
                <w:sz w:val="16"/>
                <w:szCs w:val="16"/>
                <w:lang w:val="en-GB"/>
                <w14:ligatures w14:val="none"/>
              </w:rPr>
              <w:t>Responsibility for reporting and implementation</w:t>
            </w:r>
          </w:p>
        </w:tc>
        <w:tc>
          <w:tcPr>
            <w:tcW w:w="1134" w:type="dxa"/>
            <w:vMerge w:val="restart"/>
            <w:shd w:val="clear" w:color="auto" w:fill="BDD7EE"/>
            <w:vAlign w:val="center"/>
          </w:tcPr>
          <w:p w14:paraId="1FF2EAB0" w14:textId="77777777" w:rsidR="00BA1475" w:rsidRPr="00BA1475" w:rsidRDefault="00BA1475" w:rsidP="00BA1475">
            <w:pPr>
              <w:spacing w:after="0" w:line="240" w:lineRule="auto"/>
              <w:jc w:val="center"/>
              <w:rPr>
                <w:rFonts w:ascii="Arial Narrow" w:eastAsia="Calibri" w:hAnsi="Arial Narrow" w:cs="Calibri"/>
                <w:b/>
                <w:noProof/>
                <w:kern w:val="0"/>
                <w:sz w:val="16"/>
                <w:szCs w:val="16"/>
                <w:lang w:val="en-GB"/>
                <w14:ligatures w14:val="none"/>
              </w:rPr>
            </w:pPr>
            <w:r w:rsidRPr="00BA1475">
              <w:rPr>
                <w:rFonts w:ascii="Arial Narrow" w:eastAsia="Calibri" w:hAnsi="Arial Narrow" w:cs="Calibri"/>
                <w:b/>
                <w:noProof/>
                <w:kern w:val="0"/>
                <w:sz w:val="16"/>
                <w:szCs w:val="16"/>
                <w:lang w:val="en-GB"/>
                <w14:ligatures w14:val="none"/>
              </w:rPr>
              <w:t>Further specification (if necessary)</w:t>
            </w:r>
          </w:p>
        </w:tc>
        <w:tc>
          <w:tcPr>
            <w:tcW w:w="2932" w:type="dxa"/>
            <w:vMerge w:val="restart"/>
            <w:shd w:val="clear" w:color="auto" w:fill="BDD7EE"/>
            <w:vAlign w:val="center"/>
          </w:tcPr>
          <w:p w14:paraId="452233AF" w14:textId="77777777" w:rsidR="00BA1475" w:rsidRPr="00BA1475" w:rsidRDefault="00BA1475" w:rsidP="00BA1475">
            <w:pPr>
              <w:spacing w:after="0" w:line="240" w:lineRule="auto"/>
              <w:jc w:val="center"/>
              <w:rPr>
                <w:rFonts w:ascii="Arial Narrow" w:eastAsia="Calibri" w:hAnsi="Arial Narrow" w:cs="Calibri"/>
                <w:b/>
                <w:noProof/>
                <w:kern w:val="0"/>
                <w:sz w:val="16"/>
                <w:szCs w:val="16"/>
                <w:lang w:val="en-GB"/>
                <w14:ligatures w14:val="none"/>
              </w:rPr>
            </w:pPr>
            <w:r w:rsidRPr="00BA1475">
              <w:rPr>
                <w:rFonts w:ascii="Arial Narrow" w:eastAsia="Calibri" w:hAnsi="Arial Narrow" w:cs="Calibri"/>
                <w:b/>
                <w:noProof/>
                <w:kern w:val="0"/>
                <w:sz w:val="16"/>
                <w:szCs w:val="16"/>
                <w:lang w:val="en-GB"/>
                <w14:ligatures w14:val="none"/>
              </w:rPr>
              <w:t>Verification mechanism</w:t>
            </w:r>
          </w:p>
        </w:tc>
        <w:tc>
          <w:tcPr>
            <w:tcW w:w="2323" w:type="dxa"/>
            <w:vMerge w:val="restart"/>
            <w:shd w:val="clear" w:color="auto" w:fill="BDD7EE"/>
            <w:vAlign w:val="center"/>
            <w:hideMark/>
          </w:tcPr>
          <w:p w14:paraId="4C25A0EE" w14:textId="77777777" w:rsidR="00BA1475" w:rsidRPr="00BA1475" w:rsidRDefault="00BA1475" w:rsidP="00BA1475">
            <w:pPr>
              <w:spacing w:after="0" w:line="240" w:lineRule="auto"/>
              <w:jc w:val="center"/>
              <w:rPr>
                <w:rFonts w:ascii="Arial Narrow" w:eastAsia="Calibri" w:hAnsi="Arial Narrow" w:cs="Calibri"/>
                <w:b/>
                <w:noProof/>
                <w:kern w:val="0"/>
                <w:sz w:val="16"/>
                <w:szCs w:val="16"/>
                <w:lang w:val="en-GB"/>
                <w14:ligatures w14:val="none"/>
              </w:rPr>
            </w:pPr>
            <w:r w:rsidRPr="00BA1475">
              <w:rPr>
                <w:rFonts w:ascii="Arial Narrow" w:eastAsia="Calibri" w:hAnsi="Arial Narrow" w:cs="Calibri"/>
                <w:b/>
                <w:noProof/>
                <w:kern w:val="0"/>
                <w:sz w:val="16"/>
                <w:szCs w:val="16"/>
                <w:lang w:val="en-GB"/>
                <w14:ligatures w14:val="none"/>
              </w:rPr>
              <w:t>Milestone and target description</w:t>
            </w:r>
          </w:p>
        </w:tc>
      </w:tr>
      <w:tr w:rsidR="00BA1475" w:rsidRPr="00BA1475" w14:paraId="601BC23B" w14:textId="77777777" w:rsidTr="00610215">
        <w:trPr>
          <w:trHeight w:val="559"/>
          <w:tblHeader/>
          <w:jc w:val="center"/>
        </w:trPr>
        <w:tc>
          <w:tcPr>
            <w:tcW w:w="554" w:type="dxa"/>
            <w:vMerge/>
            <w:vAlign w:val="center"/>
            <w:hideMark/>
          </w:tcPr>
          <w:p w14:paraId="235F0897"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1294" w:type="dxa"/>
            <w:vMerge/>
            <w:vAlign w:val="center"/>
            <w:hideMark/>
          </w:tcPr>
          <w:p w14:paraId="0FD95150"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838" w:type="dxa"/>
            <w:vMerge/>
            <w:vAlign w:val="center"/>
            <w:hideMark/>
          </w:tcPr>
          <w:p w14:paraId="1F113658"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1232" w:type="dxa"/>
            <w:vMerge/>
            <w:vAlign w:val="center"/>
            <w:hideMark/>
          </w:tcPr>
          <w:p w14:paraId="725E7DFF"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1263" w:type="dxa"/>
            <w:vMerge/>
            <w:vAlign w:val="center"/>
            <w:hideMark/>
          </w:tcPr>
          <w:p w14:paraId="2E148A09"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910" w:type="dxa"/>
            <w:shd w:val="clear" w:color="auto" w:fill="BDD7EE"/>
            <w:vAlign w:val="center"/>
            <w:hideMark/>
          </w:tcPr>
          <w:p w14:paraId="65005269"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Unit</w:t>
            </w:r>
          </w:p>
        </w:tc>
        <w:tc>
          <w:tcPr>
            <w:tcW w:w="825" w:type="dxa"/>
            <w:shd w:val="clear" w:color="auto" w:fill="BDD7EE"/>
            <w:vAlign w:val="center"/>
            <w:hideMark/>
          </w:tcPr>
          <w:p w14:paraId="58666980"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Baseline</w:t>
            </w:r>
          </w:p>
        </w:tc>
        <w:tc>
          <w:tcPr>
            <w:tcW w:w="621" w:type="dxa"/>
            <w:shd w:val="clear" w:color="auto" w:fill="BDD7EE"/>
            <w:vAlign w:val="center"/>
            <w:hideMark/>
          </w:tcPr>
          <w:p w14:paraId="6BEA27CB"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Goal</w:t>
            </w:r>
          </w:p>
        </w:tc>
        <w:tc>
          <w:tcPr>
            <w:tcW w:w="416" w:type="dxa"/>
            <w:shd w:val="clear" w:color="auto" w:fill="BDD7EE"/>
            <w:vAlign w:val="center"/>
            <w:hideMark/>
          </w:tcPr>
          <w:p w14:paraId="11057DDA"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Q</w:t>
            </w:r>
          </w:p>
        </w:tc>
        <w:tc>
          <w:tcPr>
            <w:tcW w:w="591" w:type="dxa"/>
            <w:shd w:val="clear" w:color="auto" w:fill="BDD7EE"/>
            <w:vAlign w:val="center"/>
            <w:hideMark/>
          </w:tcPr>
          <w:p w14:paraId="1AB9C547"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Year</w:t>
            </w:r>
          </w:p>
        </w:tc>
        <w:tc>
          <w:tcPr>
            <w:tcW w:w="1231" w:type="dxa"/>
            <w:vMerge/>
          </w:tcPr>
          <w:p w14:paraId="63D1E74B"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1134" w:type="dxa"/>
            <w:vMerge/>
          </w:tcPr>
          <w:p w14:paraId="06A3126C"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c>
          <w:tcPr>
            <w:tcW w:w="2932" w:type="dxa"/>
            <w:vMerge/>
          </w:tcPr>
          <w:p w14:paraId="39067B79" w14:textId="77777777" w:rsidR="00BA1475" w:rsidRPr="00BA1475" w:rsidRDefault="00BA1475" w:rsidP="00BA1475">
            <w:pPr>
              <w:spacing w:after="0" w:line="240" w:lineRule="auto"/>
              <w:jc w:val="center"/>
              <w:rPr>
                <w:rFonts w:ascii="Arial Narrow" w:eastAsia="Times New Roman" w:hAnsi="Arial Narrow" w:cs="Times New Roman"/>
                <w:b/>
                <w:bCs/>
                <w:noProof/>
                <w:color w:val="4F6228"/>
                <w:kern w:val="0"/>
                <w:sz w:val="16"/>
                <w:szCs w:val="16"/>
                <w:lang w:val="en-GB" w:eastAsia="en-GB"/>
                <w14:ligatures w14:val="none"/>
              </w:rPr>
            </w:pPr>
          </w:p>
        </w:tc>
        <w:tc>
          <w:tcPr>
            <w:tcW w:w="2323" w:type="dxa"/>
            <w:vMerge/>
            <w:vAlign w:val="center"/>
            <w:hideMark/>
          </w:tcPr>
          <w:p w14:paraId="48BB9A50" w14:textId="77777777" w:rsidR="00BA1475" w:rsidRPr="00BA1475" w:rsidRDefault="00BA1475" w:rsidP="00BA1475">
            <w:pPr>
              <w:spacing w:after="0" w:line="240" w:lineRule="auto"/>
              <w:jc w:val="center"/>
              <w:rPr>
                <w:rFonts w:ascii="Arial Narrow" w:eastAsia="Times New Roman" w:hAnsi="Arial Narrow" w:cs="Times New Roman"/>
                <w:b/>
                <w:bCs/>
                <w:noProof/>
                <w:kern w:val="0"/>
                <w:sz w:val="16"/>
                <w:szCs w:val="16"/>
                <w:lang w:val="en-GB" w:eastAsia="en-GB"/>
                <w14:ligatures w14:val="none"/>
              </w:rPr>
            </w:pPr>
          </w:p>
        </w:tc>
      </w:tr>
      <w:tr w:rsidR="00BA1475" w:rsidRPr="00BA1475" w14:paraId="25973DFC" w14:textId="77777777" w:rsidTr="00610215">
        <w:trPr>
          <w:trHeight w:val="1200"/>
          <w:jc w:val="center"/>
        </w:trPr>
        <w:tc>
          <w:tcPr>
            <w:tcW w:w="554" w:type="dxa"/>
            <w:shd w:val="clear" w:color="auto" w:fill="C6EFCE"/>
          </w:tcPr>
          <w:p w14:paraId="23F7431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215</w:t>
            </w:r>
          </w:p>
        </w:tc>
        <w:tc>
          <w:tcPr>
            <w:tcW w:w="1294" w:type="dxa"/>
            <w:shd w:val="clear" w:color="auto" w:fill="C6EFCE"/>
          </w:tcPr>
          <w:p w14:paraId="5FD604F9" w14:textId="77777777" w:rsidR="00BA1475" w:rsidRPr="0061021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610215">
              <w:rPr>
                <w:rFonts w:ascii="Arial Narrow" w:eastAsia="Times New Roman" w:hAnsi="Arial Narrow" w:cs="Times New Roman"/>
                <w:b/>
                <w:bCs/>
                <w:noProof/>
                <w:kern w:val="0"/>
                <w:sz w:val="16"/>
                <w:szCs w:val="16"/>
                <w:lang w:val="en-GB" w:eastAsia="en-GB"/>
                <w14:ligatures w14:val="none"/>
              </w:rPr>
              <w:t>7.1.r. Transforming the national energy sector</w:t>
            </w:r>
          </w:p>
        </w:tc>
        <w:tc>
          <w:tcPr>
            <w:tcW w:w="838" w:type="dxa"/>
            <w:shd w:val="clear" w:color="auto" w:fill="C6EFCE"/>
          </w:tcPr>
          <w:p w14:paraId="3089BE1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2F4D647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Regulations establishing a framework for registering and operating energy communities</w:t>
            </w:r>
          </w:p>
        </w:tc>
        <w:tc>
          <w:tcPr>
            <w:tcW w:w="1263" w:type="dxa"/>
            <w:shd w:val="clear" w:color="auto" w:fill="C6EFCE"/>
          </w:tcPr>
          <w:p w14:paraId="4713543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Legal provisions indicating the entry into force of the regulations </w:t>
            </w:r>
          </w:p>
        </w:tc>
        <w:tc>
          <w:tcPr>
            <w:tcW w:w="910" w:type="dxa"/>
            <w:shd w:val="clear" w:color="auto" w:fill="C6EFCE"/>
          </w:tcPr>
          <w:p w14:paraId="4B91890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2943D33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2A0A21B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61BB7F2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91" w:type="dxa"/>
            <w:shd w:val="clear" w:color="auto" w:fill="C6EFCE"/>
          </w:tcPr>
          <w:p w14:paraId="710A050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231" w:type="dxa"/>
            <w:shd w:val="clear" w:color="auto" w:fill="C6EFCE"/>
          </w:tcPr>
          <w:p w14:paraId="28700C81" w14:textId="77777777" w:rsidR="00BA1475" w:rsidRPr="00BA1475" w:rsidRDefault="00BA1475" w:rsidP="00BA1475">
            <w:pPr>
              <w:spacing w:after="200" w:line="276" w:lineRule="auto"/>
              <w:rPr>
                <w:rFonts w:ascii="Arial Narrow" w:eastAsia="Arial Narrow" w:hAnsi="Arial Narrow" w:cs="Arial Narrow"/>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6D9C696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2485A67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Copy of the publication in the Official Journal, accompanied by a summary document duly justifying how the milestone has been satisfactorily fulfilled. This summary document shall include a reference to the relevant provisions indicating the entry into force and the provisions which fulfil the consitutive elements of the milestone, as listed in the description of the milestone and of the corresponding measure in the CID Annex.  </w:t>
            </w:r>
          </w:p>
        </w:tc>
        <w:tc>
          <w:tcPr>
            <w:tcW w:w="2323" w:type="dxa"/>
            <w:shd w:val="clear" w:color="auto" w:fill="C6EFCE"/>
          </w:tcPr>
          <w:p w14:paraId="3650B0E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Entry into force of the regulations of the Cabinet of Ministers, which shall: </w:t>
            </w:r>
          </w:p>
          <w:p w14:paraId="509F36D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set the conditions and procedures for registering and operating energy communities; </w:t>
            </w:r>
          </w:p>
          <w:p w14:paraId="0707439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introduce the obligation for local and regional authorities to direct a part of the amount of electricity produced in the energy community, or the economic benefit obtained from it, to vulnerable groups of society; </w:t>
            </w:r>
          </w:p>
          <w:p w14:paraId="3CB92397" w14:textId="77777777" w:rsidR="00BA1475" w:rsidRPr="00BA1475" w:rsidRDefault="00BA1475" w:rsidP="00BA1475">
            <w:pPr>
              <w:spacing w:after="0" w:line="240" w:lineRule="auto"/>
              <w:rPr>
                <w:rFonts w:ascii="Arial Narrow" w:eastAsia="Calibri" w:hAnsi="Arial Narrow" w:cs="Arial"/>
                <w:noProof/>
                <w:kern w:val="0"/>
                <w:sz w:val="16"/>
                <w:lang w:val="en-GB"/>
                <w14:ligatures w14:val="none"/>
              </w:rPr>
            </w:pPr>
            <w:r w:rsidRPr="00BA1475">
              <w:rPr>
                <w:rFonts w:ascii="Arial Narrow" w:eastAsia="Calibri" w:hAnsi="Arial Narrow" w:cs="Arial"/>
                <w:noProof/>
                <w:kern w:val="0"/>
                <w:sz w:val="16"/>
                <w:lang w:val="en-GB"/>
                <w14:ligatures w14:val="none"/>
              </w:rPr>
              <w:t>- introduce the obligation for electricity traders to offer at least one product for the purchase of electricity from energy communities.</w:t>
            </w:r>
          </w:p>
        </w:tc>
      </w:tr>
      <w:tr w:rsidR="00BA1475" w:rsidRPr="00BA1475" w14:paraId="4E619211" w14:textId="77777777" w:rsidTr="00610215">
        <w:trPr>
          <w:trHeight w:val="639"/>
          <w:jc w:val="center"/>
        </w:trPr>
        <w:tc>
          <w:tcPr>
            <w:tcW w:w="554" w:type="dxa"/>
            <w:shd w:val="clear" w:color="auto" w:fill="C6EFCE"/>
          </w:tcPr>
          <w:p w14:paraId="3631B62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216</w:t>
            </w:r>
          </w:p>
        </w:tc>
        <w:tc>
          <w:tcPr>
            <w:tcW w:w="1294" w:type="dxa"/>
            <w:shd w:val="clear" w:color="auto" w:fill="C6EFCE"/>
          </w:tcPr>
          <w:p w14:paraId="2C24D1B4" w14:textId="77777777" w:rsidR="00BA1475" w:rsidRPr="0061021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610215">
              <w:rPr>
                <w:rFonts w:ascii="Arial Narrow" w:eastAsia="Times New Roman" w:hAnsi="Arial Narrow" w:cs="Times New Roman"/>
                <w:b/>
                <w:bCs/>
                <w:noProof/>
                <w:kern w:val="0"/>
                <w:sz w:val="16"/>
                <w:szCs w:val="16"/>
                <w:lang w:val="en-GB" w:eastAsia="en-GB"/>
                <w14:ligatures w14:val="none"/>
              </w:rPr>
              <w:t>7.1.r. Transforming the national energy sector</w:t>
            </w:r>
          </w:p>
        </w:tc>
        <w:tc>
          <w:tcPr>
            <w:tcW w:w="838" w:type="dxa"/>
            <w:shd w:val="clear" w:color="auto" w:fill="C6EFCE"/>
          </w:tcPr>
          <w:p w14:paraId="1B8DA55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240C778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Legislation amending norms on electricity trade and consumption</w:t>
            </w:r>
          </w:p>
        </w:tc>
        <w:tc>
          <w:tcPr>
            <w:tcW w:w="1263" w:type="dxa"/>
            <w:shd w:val="clear" w:color="auto" w:fill="C6EFCE"/>
          </w:tcPr>
          <w:p w14:paraId="0D528B7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Legal provisions indicating the entry into force of the legislation amending the norms on electricity trade and consumption </w:t>
            </w:r>
          </w:p>
        </w:tc>
        <w:tc>
          <w:tcPr>
            <w:tcW w:w="910" w:type="dxa"/>
            <w:shd w:val="clear" w:color="auto" w:fill="C6EFCE"/>
          </w:tcPr>
          <w:p w14:paraId="32BC9BF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08B7F66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14746C3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5168468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Q1</w:t>
            </w:r>
          </w:p>
        </w:tc>
        <w:tc>
          <w:tcPr>
            <w:tcW w:w="591" w:type="dxa"/>
            <w:shd w:val="clear" w:color="auto" w:fill="C6EFCE"/>
          </w:tcPr>
          <w:p w14:paraId="2867A7D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231" w:type="dxa"/>
            <w:shd w:val="clear" w:color="auto" w:fill="C6EFCE"/>
          </w:tcPr>
          <w:p w14:paraId="2B9F301C"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15057AD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0E4552D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Copy of the publication in the Official Journal, accompanied by a summary document duly justifying how the milestone has been satisfactorily fulfilled. This summary document shall include a reference to the relevant provisions indicating the entry into force and the provisions which fulfil the consitutive elements of the milestone, as listed in the description of the milestone and of the corresponding measure in the CID Annex.  </w:t>
            </w:r>
          </w:p>
        </w:tc>
        <w:tc>
          <w:tcPr>
            <w:tcW w:w="2323" w:type="dxa"/>
            <w:shd w:val="clear" w:color="auto" w:fill="C6EFCE"/>
          </w:tcPr>
          <w:p w14:paraId="148783F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Entry into force of amendments to the norms on electricity trade and consumption, which shall introduce: </w:t>
            </w:r>
          </w:p>
          <w:p w14:paraId="2DDEFC6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w:t>
            </w:r>
            <w:bookmarkStart w:id="17" w:name="_Hlk147500692"/>
            <w:r w:rsidRPr="00BA1475">
              <w:rPr>
                <w:rFonts w:ascii="Arial Narrow" w:eastAsia="Times New Roman" w:hAnsi="Arial Narrow" w:cs="Times New Roman"/>
                <w:noProof/>
                <w:kern w:val="0"/>
                <w:sz w:val="16"/>
                <w:szCs w:val="16"/>
                <w:lang w:val="en-GB" w:eastAsia="en-GB"/>
                <w14:ligatures w14:val="none"/>
              </w:rPr>
              <w:t xml:space="preserve">the condition that energy sharing be possible beyond the multi-apartment building without the need to create an energy community;  </w:t>
            </w:r>
            <w:bookmarkEnd w:id="17"/>
          </w:p>
          <w:p w14:paraId="5E864C3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the possibility to use the amount of electricity produced in the facility of one electricity user to cover the consumption needs of another facility of the same user, regardless of the location of the facilities. The only limitations are that the facilities shall be i) located in the territory of the Republic of Latvia and ii) switched on for the existing electricity transmission and distribution system in the Republic of Latvia. </w:t>
            </w:r>
          </w:p>
          <w:p w14:paraId="6127C947" w14:textId="77777777" w:rsidR="00BA1475" w:rsidRPr="00BA1475" w:rsidRDefault="00BA1475" w:rsidP="00BA1475">
            <w:pPr>
              <w:spacing w:after="0" w:line="240" w:lineRule="auto"/>
              <w:rPr>
                <w:rFonts w:ascii="Arial Narrow" w:eastAsia="Calibri" w:hAnsi="Arial Narrow" w:cs="Arial"/>
                <w:noProof/>
                <w:kern w:val="0"/>
                <w:sz w:val="16"/>
                <w:lang w:val="en-GB"/>
                <w14:ligatures w14:val="none"/>
              </w:rPr>
            </w:pPr>
            <w:r w:rsidRPr="00BA1475">
              <w:rPr>
                <w:rFonts w:ascii="Arial Narrow" w:eastAsia="Calibri" w:hAnsi="Arial Narrow" w:cs="Arial"/>
                <w:noProof/>
                <w:kern w:val="0"/>
                <w:sz w:val="16"/>
                <w:lang w:val="en-GB"/>
                <w14:ligatures w14:val="none"/>
              </w:rPr>
              <w:t>- the obligation for electricity traders to introduce at least one product for the purchase of electricity from self-consumers operating a micro-generator facility.</w:t>
            </w:r>
          </w:p>
        </w:tc>
      </w:tr>
      <w:tr w:rsidR="00BA1475" w:rsidRPr="00BA1475" w14:paraId="6325B926" w14:textId="77777777" w:rsidTr="00610215">
        <w:trPr>
          <w:trHeight w:val="1200"/>
          <w:jc w:val="center"/>
        </w:trPr>
        <w:tc>
          <w:tcPr>
            <w:tcW w:w="554" w:type="dxa"/>
            <w:shd w:val="clear" w:color="auto" w:fill="C6EFCE"/>
          </w:tcPr>
          <w:p w14:paraId="102D77E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217</w:t>
            </w:r>
          </w:p>
        </w:tc>
        <w:tc>
          <w:tcPr>
            <w:tcW w:w="1294" w:type="dxa"/>
            <w:shd w:val="clear" w:color="auto" w:fill="C6EFCE"/>
          </w:tcPr>
          <w:p w14:paraId="3B5CED8C" w14:textId="77777777" w:rsidR="00BA1475" w:rsidRPr="0061021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610215">
              <w:rPr>
                <w:rFonts w:ascii="Arial Narrow" w:eastAsia="Times New Roman" w:hAnsi="Arial Narrow" w:cs="Times New Roman"/>
                <w:b/>
                <w:bCs/>
                <w:noProof/>
                <w:kern w:val="0"/>
                <w:sz w:val="16"/>
                <w:szCs w:val="16"/>
                <w:lang w:val="en-GB" w:eastAsia="en-GB"/>
                <w14:ligatures w14:val="none"/>
              </w:rPr>
              <w:t>7.1.r. Transforming the national energy sector</w:t>
            </w:r>
          </w:p>
        </w:tc>
        <w:tc>
          <w:tcPr>
            <w:tcW w:w="838" w:type="dxa"/>
            <w:shd w:val="clear" w:color="auto" w:fill="C6EFCE"/>
          </w:tcPr>
          <w:p w14:paraId="7711E28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042C70F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Regulation on electricity network optimisation</w:t>
            </w:r>
          </w:p>
        </w:tc>
        <w:tc>
          <w:tcPr>
            <w:tcW w:w="1263" w:type="dxa"/>
            <w:shd w:val="clear" w:color="auto" w:fill="C6EFCE"/>
          </w:tcPr>
          <w:p w14:paraId="37F6B3C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Legal provisions indicating the entry into force of the Regulation </w:t>
            </w:r>
          </w:p>
        </w:tc>
        <w:tc>
          <w:tcPr>
            <w:tcW w:w="910" w:type="dxa"/>
            <w:shd w:val="clear" w:color="auto" w:fill="C6EFCE"/>
          </w:tcPr>
          <w:p w14:paraId="0E5BE9C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772372B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25F5D6D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6340AF3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91" w:type="dxa"/>
            <w:shd w:val="clear" w:color="auto" w:fill="C6EFCE"/>
          </w:tcPr>
          <w:p w14:paraId="438F473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231" w:type="dxa"/>
            <w:shd w:val="clear" w:color="auto" w:fill="C6EFCE"/>
          </w:tcPr>
          <w:p w14:paraId="6AAB1E0E"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41ACF79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23A278E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Copy of the publication in the Official Journal, accompanied by a summary document duly justifying how the milestone has been satisfactorily fulfilled. This summary document shall include a reference to the relevant provisions indicating the entry into force and the provisions which fulfil the consitutive elements of the milestone, as listed in the description of the milestone and of the corresponding measure in the CID Annex.  </w:t>
            </w:r>
          </w:p>
        </w:tc>
        <w:tc>
          <w:tcPr>
            <w:tcW w:w="2323" w:type="dxa"/>
            <w:shd w:val="clear" w:color="auto" w:fill="C6EFCE"/>
          </w:tcPr>
          <w:p w14:paraId="2B04053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regulation of the Cabinet of Ministers:</w:t>
            </w:r>
          </w:p>
          <w:p w14:paraId="5449C32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14:ligatures w14:val="none"/>
              </w:rPr>
            </w:pPr>
            <w:r w:rsidRPr="00BA1475">
              <w:rPr>
                <w:rFonts w:ascii="Arial Narrow" w:eastAsia="Times New Roman" w:hAnsi="Arial Narrow" w:cs="Times New Roman"/>
                <w:noProof/>
                <w:kern w:val="0"/>
                <w:sz w:val="16"/>
                <w:szCs w:val="16"/>
                <w:lang w:val="en-GB"/>
                <w14:ligatures w14:val="none"/>
              </w:rPr>
              <w:t>- allowing access to a grid connection point for power plants that might use different generation technologies and whose combined generating capacity exceeds the capacity of the grid connection point;</w:t>
            </w:r>
          </w:p>
          <w:p w14:paraId="2CD0D91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14:ligatures w14:val="none"/>
              </w:rPr>
              <w:t>- providing conditions for the operation of such combined generating capacities and for turning on and off certain generation facilities.</w:t>
            </w:r>
          </w:p>
        </w:tc>
      </w:tr>
      <w:tr w:rsidR="00BA1475" w:rsidRPr="00BA1475" w14:paraId="00748BE6" w14:textId="77777777" w:rsidTr="00610215">
        <w:trPr>
          <w:trHeight w:val="1200"/>
          <w:jc w:val="center"/>
        </w:trPr>
        <w:tc>
          <w:tcPr>
            <w:tcW w:w="554" w:type="dxa"/>
            <w:shd w:val="clear" w:color="auto" w:fill="C6EFCE"/>
          </w:tcPr>
          <w:p w14:paraId="393CC69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218</w:t>
            </w:r>
          </w:p>
        </w:tc>
        <w:tc>
          <w:tcPr>
            <w:tcW w:w="1294" w:type="dxa"/>
            <w:shd w:val="clear" w:color="auto" w:fill="C6EFCE"/>
          </w:tcPr>
          <w:p w14:paraId="6B9A6165" w14:textId="77777777" w:rsidR="00BA1475" w:rsidRPr="0061021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610215">
              <w:rPr>
                <w:rFonts w:ascii="Arial Narrow" w:eastAsia="Times New Roman" w:hAnsi="Arial Narrow" w:cs="Times New Roman"/>
                <w:b/>
                <w:bCs/>
                <w:noProof/>
                <w:kern w:val="0"/>
                <w:sz w:val="16"/>
                <w:szCs w:val="16"/>
                <w:lang w:val="en-GB" w:eastAsia="en-GB"/>
                <w14:ligatures w14:val="none"/>
              </w:rPr>
              <w:t>7.1.r. Transforming the national energy sector</w:t>
            </w:r>
          </w:p>
        </w:tc>
        <w:tc>
          <w:tcPr>
            <w:tcW w:w="838" w:type="dxa"/>
            <w:shd w:val="clear" w:color="auto" w:fill="C6EFCE"/>
          </w:tcPr>
          <w:p w14:paraId="1C974CC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7369A6D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Regulations on biomethane transported outside the natural gas transmission and distribution systems</w:t>
            </w:r>
          </w:p>
        </w:tc>
        <w:tc>
          <w:tcPr>
            <w:tcW w:w="1263" w:type="dxa"/>
            <w:shd w:val="clear" w:color="auto" w:fill="C6EFCE"/>
          </w:tcPr>
          <w:p w14:paraId="37326E8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Legal provisions indicating the entry into force of the Regulations </w:t>
            </w:r>
          </w:p>
        </w:tc>
        <w:tc>
          <w:tcPr>
            <w:tcW w:w="910" w:type="dxa"/>
            <w:shd w:val="clear" w:color="auto" w:fill="C6EFCE"/>
          </w:tcPr>
          <w:p w14:paraId="24C81F8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2C6DF44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114216A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2F6BAEA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Q4 </w:t>
            </w:r>
          </w:p>
        </w:tc>
        <w:tc>
          <w:tcPr>
            <w:tcW w:w="591" w:type="dxa"/>
            <w:shd w:val="clear" w:color="auto" w:fill="C6EFCE"/>
          </w:tcPr>
          <w:p w14:paraId="5117258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231" w:type="dxa"/>
            <w:shd w:val="clear" w:color="auto" w:fill="C6EFCE"/>
          </w:tcPr>
          <w:p w14:paraId="0007EAD1"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4AC7F29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73B1B00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Copy of the publication in the Official Journal, accompanied by a summary document duly justifying how the milestone has been satisfactorily fulfilled. This summary document shall include a reference to the relevant provisions indicating the entry into force and the provisions which fulfil the consitutive elements of the milestone, as listed in the description of the milestone and of the corresponding measure in the CID Annex.  </w:t>
            </w:r>
          </w:p>
        </w:tc>
        <w:tc>
          <w:tcPr>
            <w:tcW w:w="2323" w:type="dxa"/>
            <w:shd w:val="clear" w:color="auto" w:fill="C6EFCE"/>
          </w:tcPr>
          <w:p w14:paraId="02BB77C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Entry into force of the regulations of the Cabinet of Ministers, which shall: </w:t>
            </w:r>
          </w:p>
          <w:p w14:paraId="6CEEE8C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2465122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w:t>
            </w:r>
            <w:r w:rsidRPr="00BA1475" w:rsidDel="00084717">
              <w:rPr>
                <w:rFonts w:ascii="Arial Narrow" w:eastAsia="Times New Roman" w:hAnsi="Arial Narrow" w:cs="Times New Roman"/>
                <w:noProof/>
                <w:kern w:val="0"/>
                <w:sz w:val="16"/>
                <w:szCs w:val="16"/>
                <w:lang w:val="en-GB" w:eastAsia="en-GB"/>
                <w14:ligatures w14:val="none"/>
              </w:rPr>
              <w:t xml:space="preserve"> </w:t>
            </w:r>
            <w:r w:rsidRPr="00BA1475">
              <w:rPr>
                <w:rFonts w:ascii="Arial Narrow" w:eastAsia="Times New Roman" w:hAnsi="Arial Narrow" w:cs="Times New Roman"/>
                <w:noProof/>
                <w:kern w:val="0"/>
                <w:sz w:val="16"/>
                <w:szCs w:val="16"/>
                <w:lang w:val="en-GB" w:eastAsia="en-GB"/>
                <w14:ligatures w14:val="none"/>
              </w:rPr>
              <w:t xml:space="preserve">lay down the conditions for the injection of sustainable biomethane transported outside the natural gas transmission and distribution system into the common natural gas supply system; </w:t>
            </w:r>
          </w:p>
          <w:p w14:paraId="5477513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enable small biomethane producers to inject their produced sustainable biomethane into the common natural gas supply system.</w:t>
            </w:r>
          </w:p>
        </w:tc>
      </w:tr>
      <w:tr w:rsidR="00BA1475" w:rsidRPr="00BA1475" w14:paraId="37F28662" w14:textId="77777777" w:rsidTr="00610215">
        <w:trPr>
          <w:trHeight w:val="1200"/>
          <w:jc w:val="center"/>
        </w:trPr>
        <w:tc>
          <w:tcPr>
            <w:tcW w:w="554" w:type="dxa"/>
            <w:shd w:val="clear" w:color="auto" w:fill="C6EFCE"/>
          </w:tcPr>
          <w:p w14:paraId="122797E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219</w:t>
            </w:r>
          </w:p>
        </w:tc>
        <w:tc>
          <w:tcPr>
            <w:tcW w:w="1294" w:type="dxa"/>
            <w:shd w:val="clear" w:color="auto" w:fill="C6EFCE"/>
          </w:tcPr>
          <w:p w14:paraId="13FB25E1"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7.2.i. Security and stability of energy supply, and synchronisation with the Union grid</w:t>
            </w:r>
          </w:p>
        </w:tc>
        <w:tc>
          <w:tcPr>
            <w:tcW w:w="838" w:type="dxa"/>
            <w:shd w:val="clear" w:color="auto" w:fill="C6EFCE"/>
          </w:tcPr>
          <w:p w14:paraId="24E8E71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15F738D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Regulation governing the installation of a Battery Energy Storage System</w:t>
            </w:r>
          </w:p>
        </w:tc>
        <w:tc>
          <w:tcPr>
            <w:tcW w:w="1263" w:type="dxa"/>
            <w:shd w:val="clear" w:color="auto" w:fill="C6EFCE"/>
          </w:tcPr>
          <w:p w14:paraId="484C3E2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Legal provisions indicating the entry into force of the Regulation </w:t>
            </w:r>
          </w:p>
        </w:tc>
        <w:tc>
          <w:tcPr>
            <w:tcW w:w="910" w:type="dxa"/>
            <w:shd w:val="clear" w:color="auto" w:fill="C6EFCE"/>
          </w:tcPr>
          <w:p w14:paraId="2FF9162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01D4A0C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5527CEE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73383B2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91" w:type="dxa"/>
            <w:shd w:val="clear" w:color="auto" w:fill="C6EFCE"/>
          </w:tcPr>
          <w:p w14:paraId="4F41EE2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231" w:type="dxa"/>
            <w:shd w:val="clear" w:color="auto" w:fill="C6EFCE"/>
          </w:tcPr>
          <w:p w14:paraId="2F595336"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10DA15B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197EB6F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Copy of the publication in the Official Journal, accompanied by a summary document duly justifying how the milestone has been satisfactorily fulfilled. This summary document shall include a reference to the relevant provisions indicating the entry into force and the provisions which fulfil the consitutive elements of the milestone, as listed in the description of the milestone and of the corresponding measure in the CID Annex.  </w:t>
            </w:r>
          </w:p>
        </w:tc>
        <w:tc>
          <w:tcPr>
            <w:tcW w:w="2323" w:type="dxa"/>
            <w:shd w:val="clear" w:color="auto" w:fill="C6EFCE"/>
          </w:tcPr>
          <w:p w14:paraId="2D3DD3C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the regulation of the Cabinet of Ministers on the legal framework for the investment in the installation of a Battery Energy Storage System in Rēzekne.</w:t>
            </w:r>
          </w:p>
        </w:tc>
      </w:tr>
      <w:tr w:rsidR="00BA1475" w:rsidRPr="00BA1475" w14:paraId="2F360E02" w14:textId="77777777" w:rsidTr="00610215">
        <w:trPr>
          <w:trHeight w:val="1200"/>
          <w:jc w:val="center"/>
        </w:trPr>
        <w:tc>
          <w:tcPr>
            <w:tcW w:w="554" w:type="dxa"/>
            <w:shd w:val="clear" w:color="auto" w:fill="C6EFCE"/>
          </w:tcPr>
          <w:p w14:paraId="6E1A389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220</w:t>
            </w:r>
          </w:p>
        </w:tc>
        <w:tc>
          <w:tcPr>
            <w:tcW w:w="1294" w:type="dxa"/>
            <w:shd w:val="clear" w:color="auto" w:fill="C6EFCE"/>
          </w:tcPr>
          <w:p w14:paraId="7EF8D9C7"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610215">
              <w:rPr>
                <w:rFonts w:ascii="Arial Narrow" w:eastAsia="Times New Roman" w:hAnsi="Arial Narrow" w:cs="Times New Roman"/>
                <w:b/>
                <w:bCs/>
                <w:noProof/>
                <w:kern w:val="0"/>
                <w:sz w:val="14"/>
                <w:szCs w:val="14"/>
                <w:lang w:val="en-GB" w:eastAsia="en-GB"/>
                <w14:ligatures w14:val="none"/>
              </w:rPr>
              <w:t>7.2.i. Security and stability of energy supply, and synchronisation with the Union grid</w:t>
            </w:r>
          </w:p>
        </w:tc>
        <w:tc>
          <w:tcPr>
            <w:tcW w:w="838" w:type="dxa"/>
            <w:shd w:val="clear" w:color="auto" w:fill="C6EFCE"/>
          </w:tcPr>
          <w:p w14:paraId="2BC7B60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279F2BC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Contracts for the installation of a 60 MW Battery Energy Storage System and an IT solution for transmission network management</w:t>
            </w:r>
          </w:p>
        </w:tc>
        <w:tc>
          <w:tcPr>
            <w:tcW w:w="1263" w:type="dxa"/>
            <w:shd w:val="clear" w:color="auto" w:fill="C6EFCE"/>
          </w:tcPr>
          <w:p w14:paraId="205FF14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Contracts awarded</w:t>
            </w:r>
          </w:p>
        </w:tc>
        <w:tc>
          <w:tcPr>
            <w:tcW w:w="910" w:type="dxa"/>
            <w:shd w:val="clear" w:color="auto" w:fill="C6EFCE"/>
          </w:tcPr>
          <w:p w14:paraId="1BB6EA4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5347AC2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7FA4D4C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7184748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591" w:type="dxa"/>
            <w:shd w:val="clear" w:color="auto" w:fill="C6EFCE"/>
          </w:tcPr>
          <w:p w14:paraId="0176E71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231" w:type="dxa"/>
            <w:shd w:val="clear" w:color="auto" w:fill="C6EFCE"/>
          </w:tcPr>
          <w:p w14:paraId="498B1512"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77B43F9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58F83FF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milestone (including all the constitutive elements,</w:t>
            </w:r>
            <w:r w:rsidRPr="00BA1475">
              <w:rPr>
                <w:rFonts w:ascii="Calibri" w:eastAsia="Calibri" w:hAnsi="Calibri" w:cs="Arial"/>
                <w:noProof/>
                <w:kern w:val="0"/>
                <w:lang w:val="en-GB"/>
                <w14:ligatures w14:val="none"/>
              </w:rPr>
              <w:t xml:space="preserve"> </w:t>
            </w:r>
            <w:r w:rsidRPr="00BA1475">
              <w:rPr>
                <w:rFonts w:ascii="Arial Narrow" w:eastAsia="Calibri" w:hAnsi="Arial Narrow" w:cs="Calibri"/>
                <w:noProof/>
                <w:kern w:val="0"/>
                <w:sz w:val="16"/>
                <w:szCs w:val="16"/>
                <w:lang w:val="en-GB"/>
                <w14:ligatures w14:val="none"/>
              </w:rPr>
              <w:t xml:space="preserve">as listed in the description of the milestone and of the corresponding measure in the CID annex) was satisfactorily fulfilled, with appropriate links to the underlying evidence. </w:t>
            </w:r>
          </w:p>
          <w:p w14:paraId="46BA1AD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6CA410C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a copy of the awarded contracts.</w:t>
            </w:r>
          </w:p>
        </w:tc>
        <w:tc>
          <w:tcPr>
            <w:tcW w:w="2323" w:type="dxa"/>
            <w:shd w:val="clear" w:color="auto" w:fill="C6EFCE"/>
          </w:tcPr>
          <w:p w14:paraId="6D24935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Awarded contracts for the installation of a 60 MW Battery Energy Storage System in Rēzekne and an IT solution for transmission network management</w:t>
            </w:r>
          </w:p>
        </w:tc>
      </w:tr>
      <w:tr w:rsidR="00BA1475" w:rsidRPr="00BA1475" w14:paraId="491F5A99" w14:textId="77777777" w:rsidTr="00610215">
        <w:trPr>
          <w:trHeight w:val="1200"/>
          <w:jc w:val="center"/>
        </w:trPr>
        <w:tc>
          <w:tcPr>
            <w:tcW w:w="554" w:type="dxa"/>
            <w:shd w:val="clear" w:color="auto" w:fill="C6EFCE"/>
          </w:tcPr>
          <w:p w14:paraId="47C4379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221</w:t>
            </w:r>
          </w:p>
        </w:tc>
        <w:tc>
          <w:tcPr>
            <w:tcW w:w="1294" w:type="dxa"/>
            <w:shd w:val="clear" w:color="auto" w:fill="C6EFCE"/>
          </w:tcPr>
          <w:p w14:paraId="4D96A0E2"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 xml:space="preserve">7.2.i. </w:t>
            </w:r>
            <w:r w:rsidRPr="00610215">
              <w:rPr>
                <w:rFonts w:ascii="Arial Narrow" w:eastAsia="Times New Roman" w:hAnsi="Arial Narrow" w:cs="Times New Roman"/>
                <w:b/>
                <w:bCs/>
                <w:noProof/>
                <w:kern w:val="0"/>
                <w:sz w:val="14"/>
                <w:szCs w:val="14"/>
                <w:lang w:val="en-GB" w:eastAsia="en-GB"/>
                <w14:ligatures w14:val="none"/>
              </w:rPr>
              <w:t>Security and stability of energy supply, and synchronisation with the Union grid</w:t>
            </w:r>
          </w:p>
        </w:tc>
        <w:tc>
          <w:tcPr>
            <w:tcW w:w="838" w:type="dxa"/>
            <w:shd w:val="clear" w:color="auto" w:fill="C6EFCE"/>
          </w:tcPr>
          <w:p w14:paraId="26A6DAF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232" w:type="dxa"/>
            <w:shd w:val="clear" w:color="auto" w:fill="C6EFCE"/>
          </w:tcPr>
          <w:p w14:paraId="6A2A050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Battery Energy Storage System (BESS)</w:t>
            </w:r>
          </w:p>
        </w:tc>
        <w:tc>
          <w:tcPr>
            <w:tcW w:w="1263" w:type="dxa"/>
            <w:shd w:val="clear" w:color="auto" w:fill="C6EFCE"/>
          </w:tcPr>
          <w:p w14:paraId="691091B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910" w:type="dxa"/>
            <w:shd w:val="clear" w:color="auto" w:fill="C6EFCE"/>
          </w:tcPr>
          <w:p w14:paraId="3BB3436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MW</w:t>
            </w:r>
          </w:p>
        </w:tc>
        <w:tc>
          <w:tcPr>
            <w:tcW w:w="825" w:type="dxa"/>
            <w:shd w:val="clear" w:color="auto" w:fill="C6EFCE"/>
          </w:tcPr>
          <w:p w14:paraId="672E383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21" w:type="dxa"/>
            <w:shd w:val="clear" w:color="auto" w:fill="C6EFCE"/>
          </w:tcPr>
          <w:p w14:paraId="732F4F5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60</w:t>
            </w:r>
          </w:p>
        </w:tc>
        <w:tc>
          <w:tcPr>
            <w:tcW w:w="416" w:type="dxa"/>
            <w:shd w:val="clear" w:color="auto" w:fill="C6EFCE"/>
          </w:tcPr>
          <w:p w14:paraId="7904F4F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91" w:type="dxa"/>
            <w:shd w:val="clear" w:color="auto" w:fill="C6EFCE"/>
          </w:tcPr>
          <w:p w14:paraId="4E36482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231" w:type="dxa"/>
            <w:shd w:val="clear" w:color="auto" w:fill="C6EFCE"/>
          </w:tcPr>
          <w:p w14:paraId="137BB2DA"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0B891A2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25BC420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(including all the constitutive elements, as listed in the description of the target and of the corresponding measure in the CID annex) was satisfactorily fulfilled, with appropriate links to the underlying evidence. </w:t>
            </w:r>
          </w:p>
          <w:p w14:paraId="423DB87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54D9C63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41959C1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2392317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the certificate(s) of completion signed by the contractor(s) and the contracting authority(ies) confirming that the works on the Battery Energy Storage System (BESS) installation have been completed and that the electricity storage capacity is 60 MW.</w:t>
            </w:r>
          </w:p>
        </w:tc>
        <w:tc>
          <w:tcPr>
            <w:tcW w:w="2323" w:type="dxa"/>
            <w:shd w:val="clear" w:color="auto" w:fill="C6EFCE"/>
          </w:tcPr>
          <w:p w14:paraId="3A7F850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60 MW Battery Energy Storage System (BESS) has been installed in Rēzekne.</w:t>
            </w:r>
          </w:p>
        </w:tc>
      </w:tr>
      <w:tr w:rsidR="00BA1475" w:rsidRPr="00BA1475" w14:paraId="438F6C52" w14:textId="77777777" w:rsidTr="00610215">
        <w:trPr>
          <w:trHeight w:val="1200"/>
          <w:jc w:val="center"/>
        </w:trPr>
        <w:tc>
          <w:tcPr>
            <w:tcW w:w="554" w:type="dxa"/>
            <w:shd w:val="clear" w:color="auto" w:fill="C6EFCE"/>
          </w:tcPr>
          <w:p w14:paraId="52E37F7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222</w:t>
            </w:r>
          </w:p>
        </w:tc>
        <w:tc>
          <w:tcPr>
            <w:tcW w:w="1294" w:type="dxa"/>
            <w:shd w:val="clear" w:color="auto" w:fill="C6EFCE"/>
          </w:tcPr>
          <w:p w14:paraId="7C9ECB6D"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7.2.i. Security and stability of energy supply, and synchronisation with the Union grid</w:t>
            </w:r>
          </w:p>
        </w:tc>
        <w:tc>
          <w:tcPr>
            <w:tcW w:w="838" w:type="dxa"/>
            <w:shd w:val="clear" w:color="auto" w:fill="C6EFCE"/>
          </w:tcPr>
          <w:p w14:paraId="72EF1FD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5AA45B4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IT solution for power transmission network management</w:t>
            </w:r>
          </w:p>
        </w:tc>
        <w:tc>
          <w:tcPr>
            <w:tcW w:w="1263" w:type="dxa"/>
            <w:shd w:val="clear" w:color="auto" w:fill="C6EFCE"/>
          </w:tcPr>
          <w:p w14:paraId="6E4EC89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IT solution for power transmission network management implemented</w:t>
            </w:r>
          </w:p>
        </w:tc>
        <w:tc>
          <w:tcPr>
            <w:tcW w:w="910" w:type="dxa"/>
            <w:shd w:val="clear" w:color="auto" w:fill="C6EFCE"/>
          </w:tcPr>
          <w:p w14:paraId="5F718D1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223D7AC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2B9AECB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717827E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91" w:type="dxa"/>
            <w:shd w:val="clear" w:color="auto" w:fill="C6EFCE"/>
          </w:tcPr>
          <w:p w14:paraId="29A0D48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231" w:type="dxa"/>
            <w:shd w:val="clear" w:color="auto" w:fill="C6EFCE"/>
          </w:tcPr>
          <w:p w14:paraId="1A068E5F"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08909CF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2EE384E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milestone (including all the constitutive elements,</w:t>
            </w:r>
            <w:r w:rsidRPr="00BA1475">
              <w:rPr>
                <w:rFonts w:ascii="Calibri" w:eastAsia="Calibri" w:hAnsi="Calibri" w:cs="Arial"/>
                <w:noProof/>
                <w:kern w:val="0"/>
                <w:lang w:val="en-GB"/>
                <w14:ligatures w14:val="none"/>
              </w:rPr>
              <w:t xml:space="preserve"> </w:t>
            </w:r>
            <w:r w:rsidRPr="00BA1475">
              <w:rPr>
                <w:rFonts w:ascii="Arial Narrow" w:eastAsia="Calibri" w:hAnsi="Arial Narrow" w:cs="Calibri"/>
                <w:noProof/>
                <w:kern w:val="0"/>
                <w:sz w:val="16"/>
                <w:szCs w:val="16"/>
                <w:lang w:val="en-GB"/>
                <w14:ligatures w14:val="none"/>
              </w:rPr>
              <w:t xml:space="preserve">as listed in the description of the milestone and of the corresponding measure in the CID annex) was satisfactorily fulfilled, with appropriate links to the underlying evidence. </w:t>
            </w:r>
          </w:p>
          <w:p w14:paraId="696D85F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29B8AFC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following documentary evidence:</w:t>
            </w:r>
          </w:p>
          <w:p w14:paraId="2D3CC38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0F26088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the certificate(s) of completion signed by the contractor(s) and the contracting authority(ies) confirming that the IT solution has been completed and implemented including all the requirements  covered by the milestone description.</w:t>
            </w:r>
          </w:p>
        </w:tc>
        <w:tc>
          <w:tcPr>
            <w:tcW w:w="2323" w:type="dxa"/>
            <w:shd w:val="clear" w:color="auto" w:fill="C6EFCE"/>
          </w:tcPr>
          <w:p w14:paraId="41211D5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An IT solution for power transmission network management has been implemented. This shall include: </w:t>
            </w:r>
          </w:p>
          <w:p w14:paraId="2E709D8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3159147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the implementation of a cybersecurity solution for critical energy transmission infrastructure; </w:t>
            </w:r>
          </w:p>
          <w:p w14:paraId="41732F2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7AE5237D" w14:textId="77777777" w:rsidR="00BA1475" w:rsidRPr="00BA1475" w:rsidRDefault="00BA1475" w:rsidP="00BA1475">
            <w:pPr>
              <w:spacing w:after="0" w:line="240" w:lineRule="auto"/>
              <w:rPr>
                <w:rFonts w:ascii="Arial Narrow" w:eastAsia="Calibri" w:hAnsi="Arial Narrow" w:cs="Arial"/>
                <w:noProof/>
                <w:kern w:val="0"/>
                <w:sz w:val="16"/>
                <w:lang w:val="en-GB"/>
                <w14:ligatures w14:val="none"/>
              </w:rPr>
            </w:pPr>
            <w:r w:rsidRPr="00BA1475">
              <w:rPr>
                <w:rFonts w:ascii="Arial Narrow" w:eastAsia="Calibri" w:hAnsi="Arial Narrow" w:cs="Arial"/>
                <w:noProof/>
                <w:kern w:val="0"/>
                <w:sz w:val="16"/>
                <w:lang w:val="en-GB"/>
                <w14:ligatures w14:val="none"/>
              </w:rPr>
              <w:t>- the development of a concept, and the purchase and installation of software solutions, for the smart management of renewable electricity connections to the national electricity transmission grid.</w:t>
            </w:r>
          </w:p>
        </w:tc>
      </w:tr>
      <w:tr w:rsidR="00BA1475" w:rsidRPr="00BA1475" w14:paraId="2B1D74C9" w14:textId="77777777" w:rsidTr="00610215">
        <w:trPr>
          <w:trHeight w:val="1200"/>
          <w:jc w:val="center"/>
        </w:trPr>
        <w:tc>
          <w:tcPr>
            <w:tcW w:w="554" w:type="dxa"/>
            <w:shd w:val="clear" w:color="auto" w:fill="C6EFCE"/>
          </w:tcPr>
          <w:p w14:paraId="703B4DA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223</w:t>
            </w:r>
          </w:p>
        </w:tc>
        <w:tc>
          <w:tcPr>
            <w:tcW w:w="1294" w:type="dxa"/>
            <w:shd w:val="clear" w:color="auto" w:fill="C6EFCE"/>
          </w:tcPr>
          <w:p w14:paraId="2E1E9433"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7.3.i. Upgrading, digitalising and securing the electricity transmission and distribution networks</w:t>
            </w:r>
          </w:p>
        </w:tc>
        <w:tc>
          <w:tcPr>
            <w:tcW w:w="838" w:type="dxa"/>
            <w:shd w:val="clear" w:color="auto" w:fill="C6EFCE"/>
          </w:tcPr>
          <w:p w14:paraId="662839A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303970D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Regulations governing investments in the national electricity transmission and distribution networks</w:t>
            </w:r>
          </w:p>
        </w:tc>
        <w:tc>
          <w:tcPr>
            <w:tcW w:w="1263" w:type="dxa"/>
            <w:shd w:val="clear" w:color="auto" w:fill="C6EFCE"/>
          </w:tcPr>
          <w:p w14:paraId="26AA135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Legal provisions indicating the entry into force of the regulations governing investments in the national electricity transmission and distribution networks </w:t>
            </w:r>
          </w:p>
        </w:tc>
        <w:tc>
          <w:tcPr>
            <w:tcW w:w="910" w:type="dxa"/>
            <w:shd w:val="clear" w:color="auto" w:fill="C6EFCE"/>
          </w:tcPr>
          <w:p w14:paraId="65B59FE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03C4B8A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2CEC1CE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791CD18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91" w:type="dxa"/>
            <w:shd w:val="clear" w:color="auto" w:fill="C6EFCE"/>
          </w:tcPr>
          <w:p w14:paraId="619E460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231" w:type="dxa"/>
            <w:shd w:val="clear" w:color="auto" w:fill="C6EFCE"/>
          </w:tcPr>
          <w:p w14:paraId="0FF1B0FF"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461FE56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50B168A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Copy of the publication in the Official Journal, accompanied by a summary document duly justifying how the milestone has been satisfactorily fulfilled. This summary document shall include a reference to the relevant provisions indicating the entry into force and the provisions which fulfil the consitutive elements of the milestone, as listed in the description of the milestone and of the corresponding measure in the CID Annex, and a list of investments governed by the regulations, with a description of their scope and objectives.  </w:t>
            </w:r>
          </w:p>
        </w:tc>
        <w:tc>
          <w:tcPr>
            <w:tcW w:w="2323" w:type="dxa"/>
            <w:shd w:val="clear" w:color="auto" w:fill="C6EFCE"/>
          </w:tcPr>
          <w:p w14:paraId="4109AC22" w14:textId="77777777" w:rsidR="00BA1475" w:rsidRPr="00BA1475" w:rsidRDefault="00BA1475" w:rsidP="00BA1475">
            <w:pPr>
              <w:spacing w:after="0" w:line="240" w:lineRule="auto"/>
              <w:rPr>
                <w:rFonts w:ascii="Arial Narrow" w:eastAsia="Calibri" w:hAnsi="Arial Narrow" w:cs="Arial"/>
                <w:noProof/>
                <w:kern w:val="0"/>
                <w:sz w:val="16"/>
                <w:lang w:val="en-GB"/>
                <w14:ligatures w14:val="none"/>
              </w:rPr>
            </w:pPr>
            <w:r w:rsidRPr="00BA1475">
              <w:rPr>
                <w:rFonts w:ascii="Arial Narrow" w:eastAsia="Calibri" w:hAnsi="Arial Narrow" w:cs="Arial"/>
                <w:noProof/>
                <w:kern w:val="0"/>
                <w:sz w:val="16"/>
                <w:lang w:val="en-GB"/>
                <w14:ligatures w14:val="none"/>
              </w:rPr>
              <w:t>Entry into force of Cabinet of Ministers’ regulations governing investments related to new electricity grid capacity, substations, transmission lines and smart energy distribution management.</w:t>
            </w:r>
          </w:p>
        </w:tc>
      </w:tr>
      <w:tr w:rsidR="00BA1475" w:rsidRPr="00BA1475" w14:paraId="631E311D" w14:textId="77777777" w:rsidTr="00610215">
        <w:trPr>
          <w:trHeight w:val="1200"/>
          <w:jc w:val="center"/>
        </w:trPr>
        <w:tc>
          <w:tcPr>
            <w:tcW w:w="554" w:type="dxa"/>
            <w:shd w:val="clear" w:color="auto" w:fill="C6EFCE"/>
          </w:tcPr>
          <w:p w14:paraId="2416141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224</w:t>
            </w:r>
          </w:p>
        </w:tc>
        <w:tc>
          <w:tcPr>
            <w:tcW w:w="1294" w:type="dxa"/>
            <w:shd w:val="clear" w:color="auto" w:fill="C6EFCE"/>
          </w:tcPr>
          <w:p w14:paraId="7E0DA4B9"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7.3.i. Upgrading, digitalising and securing the electricity transmission and distribution networks</w:t>
            </w:r>
          </w:p>
        </w:tc>
        <w:tc>
          <w:tcPr>
            <w:tcW w:w="838" w:type="dxa"/>
            <w:shd w:val="clear" w:color="auto" w:fill="C6EFCE"/>
          </w:tcPr>
          <w:p w14:paraId="6C753C6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232" w:type="dxa"/>
            <w:shd w:val="clear" w:color="auto" w:fill="C6EFCE"/>
          </w:tcPr>
          <w:p w14:paraId="689B042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Additional electricity grid capacity</w:t>
            </w:r>
          </w:p>
        </w:tc>
        <w:tc>
          <w:tcPr>
            <w:tcW w:w="1263" w:type="dxa"/>
            <w:shd w:val="clear" w:color="auto" w:fill="C6EFCE"/>
          </w:tcPr>
          <w:p w14:paraId="1DFBF43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910" w:type="dxa"/>
            <w:shd w:val="clear" w:color="auto" w:fill="C6EFCE"/>
          </w:tcPr>
          <w:p w14:paraId="65D4887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MW</w:t>
            </w:r>
          </w:p>
        </w:tc>
        <w:tc>
          <w:tcPr>
            <w:tcW w:w="825" w:type="dxa"/>
            <w:shd w:val="clear" w:color="auto" w:fill="C6EFCE"/>
          </w:tcPr>
          <w:p w14:paraId="2585318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21" w:type="dxa"/>
            <w:shd w:val="clear" w:color="auto" w:fill="C6EFCE"/>
          </w:tcPr>
          <w:p w14:paraId="01CAB7A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70</w:t>
            </w:r>
          </w:p>
        </w:tc>
        <w:tc>
          <w:tcPr>
            <w:tcW w:w="416" w:type="dxa"/>
            <w:shd w:val="clear" w:color="auto" w:fill="C6EFCE"/>
          </w:tcPr>
          <w:p w14:paraId="58F45BC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591" w:type="dxa"/>
            <w:shd w:val="clear" w:color="auto" w:fill="C6EFCE"/>
          </w:tcPr>
          <w:p w14:paraId="3172DB6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231" w:type="dxa"/>
            <w:shd w:val="clear" w:color="auto" w:fill="C6EFCE"/>
          </w:tcPr>
          <w:p w14:paraId="1E571E83"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0F3A4E4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4AD8ABB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(including all the constitutive elements, as listed in the description of the target and of the corresponding measure in the CID annex) was satisfactorily fulfilled, with appropriate links to the underlying evidence. </w:t>
            </w:r>
          </w:p>
          <w:p w14:paraId="75415E3A"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67C8DED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the certificate(s) of completion signed by the contractor(s) and the contracting authority(ies) demonstrating that  new substations have been built,  existing substations have been refurbished, or both and specifying the additional capacity created, expressed in MW.</w:t>
            </w:r>
          </w:p>
          <w:p w14:paraId="2019BD0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167607C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tc>
        <w:tc>
          <w:tcPr>
            <w:tcW w:w="2323" w:type="dxa"/>
            <w:shd w:val="clear" w:color="auto" w:fill="C6EFCE"/>
          </w:tcPr>
          <w:p w14:paraId="4915C47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New electricity grid capacity developed for a total of 70 MW. </w:t>
            </w:r>
          </w:p>
        </w:tc>
      </w:tr>
      <w:tr w:rsidR="00BA1475" w:rsidRPr="00BA1475" w14:paraId="568071E0" w14:textId="77777777" w:rsidTr="00610215">
        <w:trPr>
          <w:trHeight w:val="1200"/>
          <w:jc w:val="center"/>
        </w:trPr>
        <w:tc>
          <w:tcPr>
            <w:tcW w:w="554" w:type="dxa"/>
            <w:shd w:val="clear" w:color="auto" w:fill="C6EFCE"/>
          </w:tcPr>
          <w:p w14:paraId="184F0E5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225</w:t>
            </w:r>
          </w:p>
        </w:tc>
        <w:tc>
          <w:tcPr>
            <w:tcW w:w="1294" w:type="dxa"/>
            <w:shd w:val="clear" w:color="auto" w:fill="C6EFCE"/>
          </w:tcPr>
          <w:p w14:paraId="2BE6BDAF"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7.3.i. Upgrading, digitalising and securing the electricity transmission and distribution networks</w:t>
            </w:r>
          </w:p>
        </w:tc>
        <w:tc>
          <w:tcPr>
            <w:tcW w:w="838" w:type="dxa"/>
            <w:shd w:val="clear" w:color="auto" w:fill="C6EFCE"/>
          </w:tcPr>
          <w:p w14:paraId="4E07A96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16F9E10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Completion of substations’ works</w:t>
            </w:r>
          </w:p>
        </w:tc>
        <w:tc>
          <w:tcPr>
            <w:tcW w:w="1263" w:type="dxa"/>
            <w:shd w:val="clear" w:color="auto" w:fill="C6EFCE"/>
          </w:tcPr>
          <w:p w14:paraId="0B3AADE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The construction of a new substation and the refurbishment of an existing substation have been completed</w:t>
            </w:r>
          </w:p>
        </w:tc>
        <w:tc>
          <w:tcPr>
            <w:tcW w:w="910" w:type="dxa"/>
            <w:shd w:val="clear" w:color="auto" w:fill="C6EFCE"/>
          </w:tcPr>
          <w:p w14:paraId="652D262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101E178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6D78D8E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5025E75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591" w:type="dxa"/>
            <w:shd w:val="clear" w:color="auto" w:fill="C6EFCE"/>
          </w:tcPr>
          <w:p w14:paraId="5929C5B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231" w:type="dxa"/>
            <w:shd w:val="clear" w:color="auto" w:fill="C6EFCE"/>
          </w:tcPr>
          <w:p w14:paraId="32929250"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3C03CD9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78F230F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target (including all the constitutive elements as listed in the description of the milestone and of the corresponding measure in the CID annex) was satisfactorily fulfilled, with appropriate links to the underlying evidence. </w:t>
            </w:r>
          </w:p>
          <w:p w14:paraId="7E4CF57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697143D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w:t>
            </w:r>
          </w:p>
          <w:p w14:paraId="3945AF0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4158AAC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the certificate(s) of completion signed by the contractor(s) and the contracting authority(ies) demonstrating that a new digital substation has been constructed in Kuldīga;</w:t>
            </w:r>
          </w:p>
          <w:p w14:paraId="019BC10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 </w:t>
            </w:r>
          </w:p>
          <w:p w14:paraId="4F49CAC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 the certificate(s) of completion signed by the contractor(s) and the contracting authority(ies) demonstrating that a digital substation in Carnikava has been refurbished. </w:t>
            </w:r>
          </w:p>
        </w:tc>
        <w:tc>
          <w:tcPr>
            <w:tcW w:w="2323" w:type="dxa"/>
            <w:shd w:val="clear" w:color="auto" w:fill="C6EFCE"/>
          </w:tcPr>
          <w:p w14:paraId="5CF4A02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 Completion of the construction of a digital substation in Kuldīga.</w:t>
            </w:r>
          </w:p>
          <w:p w14:paraId="2FB0495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18FA544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 Completion of the refurbishment of a substation in Carnikava.</w:t>
            </w:r>
          </w:p>
        </w:tc>
      </w:tr>
      <w:tr w:rsidR="00BA1475" w:rsidRPr="00BA1475" w14:paraId="3A2DAEFA" w14:textId="77777777" w:rsidTr="00610215">
        <w:trPr>
          <w:trHeight w:val="1200"/>
          <w:jc w:val="center"/>
        </w:trPr>
        <w:tc>
          <w:tcPr>
            <w:tcW w:w="554" w:type="dxa"/>
            <w:shd w:val="clear" w:color="auto" w:fill="C6EFCE"/>
          </w:tcPr>
          <w:p w14:paraId="189D73C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226</w:t>
            </w:r>
          </w:p>
        </w:tc>
        <w:tc>
          <w:tcPr>
            <w:tcW w:w="1294" w:type="dxa"/>
            <w:shd w:val="clear" w:color="auto" w:fill="C6EFCE"/>
          </w:tcPr>
          <w:p w14:paraId="6B700F48"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7.3.i. Upgrading, digitalising and securing the electricity transmission and distribution networks</w:t>
            </w:r>
          </w:p>
        </w:tc>
        <w:tc>
          <w:tcPr>
            <w:tcW w:w="838" w:type="dxa"/>
            <w:shd w:val="clear" w:color="auto" w:fill="C6EFCE"/>
          </w:tcPr>
          <w:p w14:paraId="4507238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Target</w:t>
            </w:r>
          </w:p>
        </w:tc>
        <w:tc>
          <w:tcPr>
            <w:tcW w:w="1232" w:type="dxa"/>
            <w:shd w:val="clear" w:color="auto" w:fill="C6EFCE"/>
          </w:tcPr>
          <w:p w14:paraId="3DEA10D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Overhead electricity network converted into cable network</w:t>
            </w:r>
          </w:p>
        </w:tc>
        <w:tc>
          <w:tcPr>
            <w:tcW w:w="1263" w:type="dxa"/>
            <w:shd w:val="clear" w:color="auto" w:fill="C6EFCE"/>
          </w:tcPr>
          <w:p w14:paraId="5795B19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910" w:type="dxa"/>
            <w:shd w:val="clear" w:color="auto" w:fill="C6EFCE"/>
          </w:tcPr>
          <w:p w14:paraId="24CA0C3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Km</w:t>
            </w:r>
          </w:p>
        </w:tc>
        <w:tc>
          <w:tcPr>
            <w:tcW w:w="825" w:type="dxa"/>
            <w:shd w:val="clear" w:color="auto" w:fill="C6EFCE"/>
          </w:tcPr>
          <w:p w14:paraId="7643CCE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0</w:t>
            </w:r>
          </w:p>
        </w:tc>
        <w:tc>
          <w:tcPr>
            <w:tcW w:w="621" w:type="dxa"/>
            <w:shd w:val="clear" w:color="auto" w:fill="C6EFCE"/>
          </w:tcPr>
          <w:p w14:paraId="2218D73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150</w:t>
            </w:r>
          </w:p>
        </w:tc>
        <w:tc>
          <w:tcPr>
            <w:tcW w:w="416" w:type="dxa"/>
            <w:shd w:val="clear" w:color="auto" w:fill="C6EFCE"/>
          </w:tcPr>
          <w:p w14:paraId="2E0456D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591" w:type="dxa"/>
            <w:shd w:val="clear" w:color="auto" w:fill="C6EFCE"/>
          </w:tcPr>
          <w:p w14:paraId="7783EFA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231" w:type="dxa"/>
            <w:shd w:val="clear" w:color="auto" w:fill="C6EFCE"/>
          </w:tcPr>
          <w:p w14:paraId="1B8E0EC6"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33D9767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38A226A5"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target (including all the constitutive elements, as listed in the description of the target and of the corresponding measure in the CID annex) was satisfactorily fulfilled, with appropriate links to the underlying evidence.</w:t>
            </w:r>
          </w:p>
          <w:p w14:paraId="3FB14E0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100A297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The document shall include as an annex the certificate(s) of completion signed by the contractor(s) and the contracting authority(ies) demonstrating the replacement of 150km of the existing medium-voltage overhead power lines with cable lines. </w:t>
            </w:r>
          </w:p>
        </w:tc>
        <w:tc>
          <w:tcPr>
            <w:tcW w:w="2323" w:type="dxa"/>
            <w:shd w:val="clear" w:color="auto" w:fill="C6EFCE"/>
          </w:tcPr>
          <w:p w14:paraId="70E5C7C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150 km of the existing medium-voltage overhead power lines have been replaced with cable lines.</w:t>
            </w:r>
          </w:p>
        </w:tc>
      </w:tr>
      <w:tr w:rsidR="00BA1475" w:rsidRPr="00BA1475" w14:paraId="15F5E7E9" w14:textId="77777777" w:rsidTr="00610215">
        <w:trPr>
          <w:trHeight w:val="1200"/>
          <w:jc w:val="center"/>
        </w:trPr>
        <w:tc>
          <w:tcPr>
            <w:tcW w:w="554" w:type="dxa"/>
            <w:shd w:val="clear" w:color="auto" w:fill="C6EFCE"/>
          </w:tcPr>
          <w:p w14:paraId="059E819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227</w:t>
            </w:r>
          </w:p>
        </w:tc>
        <w:tc>
          <w:tcPr>
            <w:tcW w:w="1294" w:type="dxa"/>
            <w:shd w:val="clear" w:color="auto" w:fill="C6EFCE"/>
          </w:tcPr>
          <w:p w14:paraId="2CDD5BDD"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7.3.i. Upgrading, digitalising and securing the electricity transmission and distribution networks</w:t>
            </w:r>
          </w:p>
        </w:tc>
        <w:tc>
          <w:tcPr>
            <w:tcW w:w="838" w:type="dxa"/>
            <w:shd w:val="clear" w:color="auto" w:fill="C6EFCE"/>
          </w:tcPr>
          <w:p w14:paraId="4319EC0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547F971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Smart distribution network management solution</w:t>
            </w:r>
          </w:p>
        </w:tc>
        <w:tc>
          <w:tcPr>
            <w:tcW w:w="1263" w:type="dxa"/>
            <w:shd w:val="clear" w:color="auto" w:fill="C6EFCE"/>
          </w:tcPr>
          <w:p w14:paraId="3DD5089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 smart distribution network management solution has been introduced</w:t>
            </w:r>
          </w:p>
        </w:tc>
        <w:tc>
          <w:tcPr>
            <w:tcW w:w="910" w:type="dxa"/>
            <w:shd w:val="clear" w:color="auto" w:fill="C6EFCE"/>
          </w:tcPr>
          <w:p w14:paraId="30B6F5D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7601743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30D5718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0770027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591" w:type="dxa"/>
            <w:shd w:val="clear" w:color="auto" w:fill="C6EFCE"/>
          </w:tcPr>
          <w:p w14:paraId="6F1B1CD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231" w:type="dxa"/>
            <w:shd w:val="clear" w:color="auto" w:fill="C6EFCE"/>
          </w:tcPr>
          <w:p w14:paraId="7E2F4CBB"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779FAB4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437A9AA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milestone (including all the constitutive elements, as listed in the description of the milestone and of the corresponding measure in the CID annex) was satisfactorily fulfilled, with appropriate links to the underlying evidence.</w:t>
            </w:r>
          </w:p>
          <w:p w14:paraId="518D07F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2A7740C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document shall include as an annex:</w:t>
            </w:r>
          </w:p>
          <w:p w14:paraId="3BFD1F6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78A9CD9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the certificate(s) of completion signed by the contractor(s) and the contracting authority(ies) demonstrating that an advanced smart distribution management system (ADMS) solution has entered into operation;</w:t>
            </w:r>
          </w:p>
          <w:p w14:paraId="253FFAC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2284B30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copy of signed contract for the purchase of remotely controlled medium voltage circuit breakers;</w:t>
            </w:r>
          </w:p>
          <w:p w14:paraId="57D514B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 </w:t>
            </w:r>
          </w:p>
          <w:p w14:paraId="2488B66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 certificate(s) of works completion demonstrating the installation of at least 285 purchased remotely controlled medium voltage circuit breakers. </w:t>
            </w:r>
          </w:p>
        </w:tc>
        <w:tc>
          <w:tcPr>
            <w:tcW w:w="2323" w:type="dxa"/>
            <w:shd w:val="clear" w:color="auto" w:fill="C6EFCE"/>
          </w:tcPr>
          <w:p w14:paraId="2BC9716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A smart grid management solution has been introduced. This shall consist of: </w:t>
            </w:r>
          </w:p>
          <w:p w14:paraId="6A10E8F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25C6366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the implementation of an advanced smart distribution management system (ADMS) solution; </w:t>
            </w:r>
          </w:p>
          <w:p w14:paraId="4022E69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the purchase and installation of at least 285 remotely controlled medium voltage circuit breakers.</w:t>
            </w:r>
          </w:p>
        </w:tc>
      </w:tr>
      <w:tr w:rsidR="00BA1475" w:rsidRPr="00BA1475" w14:paraId="46A37B84" w14:textId="77777777" w:rsidTr="00610215">
        <w:trPr>
          <w:trHeight w:val="1200"/>
          <w:jc w:val="center"/>
        </w:trPr>
        <w:tc>
          <w:tcPr>
            <w:tcW w:w="554" w:type="dxa"/>
            <w:shd w:val="clear" w:color="auto" w:fill="C6EFCE"/>
          </w:tcPr>
          <w:p w14:paraId="15CE851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228</w:t>
            </w:r>
          </w:p>
        </w:tc>
        <w:tc>
          <w:tcPr>
            <w:tcW w:w="1294" w:type="dxa"/>
            <w:shd w:val="clear" w:color="auto" w:fill="C6EFCE"/>
          </w:tcPr>
          <w:p w14:paraId="2ED402EB"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7.3.i. Upgrading, digitalising and securing the electricity transmission and distribution networks</w:t>
            </w:r>
          </w:p>
        </w:tc>
        <w:tc>
          <w:tcPr>
            <w:tcW w:w="838" w:type="dxa"/>
            <w:shd w:val="clear" w:color="auto" w:fill="C6EFCE"/>
          </w:tcPr>
          <w:p w14:paraId="1680C31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64CA364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Studies and environmental impact assessment</w:t>
            </w:r>
          </w:p>
        </w:tc>
        <w:tc>
          <w:tcPr>
            <w:tcW w:w="1263" w:type="dxa"/>
            <w:shd w:val="clear" w:color="auto" w:fill="C6EFCE"/>
          </w:tcPr>
          <w:p w14:paraId="3C904C1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Studies and</w:t>
            </w:r>
            <w:r w:rsidRPr="00BA1475" w:rsidDel="00E97DDD">
              <w:rPr>
                <w:rFonts w:ascii="Arial Narrow" w:eastAsia="Times New Roman" w:hAnsi="Arial Narrow" w:cs="Times New Roman"/>
                <w:noProof/>
                <w:kern w:val="0"/>
                <w:sz w:val="16"/>
                <w:szCs w:val="16"/>
                <w:lang w:val="en-GB" w:eastAsia="en-GB"/>
                <w14:ligatures w14:val="none"/>
              </w:rPr>
              <w:t xml:space="preserve"> </w:t>
            </w:r>
            <w:r w:rsidRPr="00BA1475">
              <w:rPr>
                <w:rFonts w:ascii="Arial Narrow" w:eastAsia="Times New Roman" w:hAnsi="Arial Narrow" w:cs="Times New Roman"/>
                <w:noProof/>
                <w:kern w:val="0"/>
                <w:sz w:val="16"/>
                <w:szCs w:val="16"/>
                <w:lang w:val="en-GB" w:eastAsia="en-GB"/>
                <w14:ligatures w14:val="none"/>
              </w:rPr>
              <w:t>environmental impact assessment have been completed</w:t>
            </w:r>
          </w:p>
        </w:tc>
        <w:tc>
          <w:tcPr>
            <w:tcW w:w="910" w:type="dxa"/>
            <w:shd w:val="clear" w:color="auto" w:fill="C6EFCE"/>
          </w:tcPr>
          <w:p w14:paraId="06C38DC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172213E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1163841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31CFAFD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591" w:type="dxa"/>
            <w:shd w:val="clear" w:color="auto" w:fill="C6EFCE"/>
          </w:tcPr>
          <w:p w14:paraId="07998F2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231" w:type="dxa"/>
            <w:shd w:val="clear" w:color="auto" w:fill="C6EFCE"/>
          </w:tcPr>
          <w:p w14:paraId="29152F39"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2CC15AB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10C1595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milestone (including all the constitutive elements, as listed in the description of the milestone and of the corresponding measure in the CID annex) was satisfactorily fulfilled, with appropriate links to the underlying evidence.</w:t>
            </w:r>
          </w:p>
          <w:p w14:paraId="648C85E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7DF9534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document shall include as an annex:</w:t>
            </w:r>
          </w:p>
          <w:p w14:paraId="60FC56EE"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4B9FD2C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a copy of the first study mentioned in the description of the milestone;</w:t>
            </w:r>
          </w:p>
          <w:p w14:paraId="4D663931"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65ACF44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a copy of the second study mentioned in the description of the milestone;</w:t>
            </w:r>
          </w:p>
          <w:p w14:paraId="37241BB7"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7F47FFBD"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a copy of the Environmental Impact Assessment mentioned in the description of the milestone.</w:t>
            </w:r>
          </w:p>
        </w:tc>
        <w:tc>
          <w:tcPr>
            <w:tcW w:w="2323" w:type="dxa"/>
            <w:shd w:val="clear" w:color="auto" w:fill="C6EFCE"/>
          </w:tcPr>
          <w:p w14:paraId="082AE1B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Completion of two studies and one Environmental Impact Assessment.  </w:t>
            </w:r>
          </w:p>
          <w:p w14:paraId="7021B3E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57FF3B8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first study shall include: </w:t>
            </w:r>
          </w:p>
          <w:p w14:paraId="759C3E4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060F050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A determination of the maximum amount of renewable energy sources that can be connected to the electricity transmission network under different scenarios; </w:t>
            </w:r>
          </w:p>
          <w:p w14:paraId="0940137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7A36973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Calculations on the expected impact of set renewable energy sources volumes on the safety and stability of the transmission network and identification of possible solutions related to this. </w:t>
            </w:r>
          </w:p>
          <w:p w14:paraId="1B54DA0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213DE4F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second study shall include: </w:t>
            </w:r>
          </w:p>
          <w:p w14:paraId="5E84983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1FD0455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 Estimates of electricity consumption growth and electrification potential over a 10-year timeframe; </w:t>
            </w:r>
          </w:p>
          <w:p w14:paraId="14008F1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747D5A1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A forecast methodology for capacity adequacy and network development planning.</w:t>
            </w:r>
          </w:p>
          <w:p w14:paraId="07F4FE5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5CCD2F7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The Environmental Impact Assessment shall identify the most environmentally friendly and cost-efficient options for the construction of an electricity transmission line project </w:t>
            </w:r>
            <w:bookmarkStart w:id="18" w:name="_Hlk146571038"/>
            <w:r w:rsidRPr="00BA1475">
              <w:rPr>
                <w:rFonts w:ascii="Arial Narrow" w:eastAsia="Times New Roman" w:hAnsi="Arial Narrow" w:cs="Times New Roman"/>
                <w:noProof/>
                <w:kern w:val="0"/>
                <w:sz w:val="16"/>
                <w:szCs w:val="16"/>
                <w:lang w:val="en-GB" w:eastAsia="en-GB"/>
                <w14:ligatures w14:val="none"/>
              </w:rPr>
              <w:t>between Ventspils, Brocēni and Telšiai</w:t>
            </w:r>
            <w:bookmarkEnd w:id="18"/>
            <w:r w:rsidRPr="00BA1475">
              <w:rPr>
                <w:rFonts w:ascii="Arial Narrow" w:eastAsia="Times New Roman" w:hAnsi="Arial Narrow" w:cs="Times New Roman"/>
                <w:noProof/>
                <w:kern w:val="0"/>
                <w:sz w:val="16"/>
                <w:szCs w:val="16"/>
                <w:lang w:val="en-GB" w:eastAsia="en-GB"/>
                <w14:ligatures w14:val="none"/>
              </w:rPr>
              <w:t>.</w:t>
            </w:r>
          </w:p>
        </w:tc>
      </w:tr>
      <w:tr w:rsidR="00BA1475" w:rsidRPr="00BA1475" w14:paraId="0527944E" w14:textId="77777777" w:rsidTr="00610215">
        <w:trPr>
          <w:trHeight w:val="1200"/>
          <w:jc w:val="center"/>
        </w:trPr>
        <w:tc>
          <w:tcPr>
            <w:tcW w:w="554" w:type="dxa"/>
            <w:shd w:val="clear" w:color="auto" w:fill="C6EFCE"/>
          </w:tcPr>
          <w:p w14:paraId="08C65E2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229</w:t>
            </w:r>
          </w:p>
        </w:tc>
        <w:tc>
          <w:tcPr>
            <w:tcW w:w="1294" w:type="dxa"/>
            <w:shd w:val="clear" w:color="auto" w:fill="C6EFCE"/>
          </w:tcPr>
          <w:p w14:paraId="3D15F666"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7.4.i. Increasing the uptake of sustainable biomethane</w:t>
            </w:r>
          </w:p>
        </w:tc>
        <w:tc>
          <w:tcPr>
            <w:tcW w:w="838" w:type="dxa"/>
            <w:shd w:val="clear" w:color="auto" w:fill="C6EFCE"/>
          </w:tcPr>
          <w:p w14:paraId="0E9A7BC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578C2BA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Regulations governing investments in the biomethane sector</w:t>
            </w:r>
          </w:p>
        </w:tc>
        <w:tc>
          <w:tcPr>
            <w:tcW w:w="1263" w:type="dxa"/>
            <w:shd w:val="clear" w:color="auto" w:fill="C6EFCE"/>
          </w:tcPr>
          <w:p w14:paraId="3773B11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Legal provisions indicating the entry into force of the Regulations governing investments in the biomethane sector </w:t>
            </w:r>
          </w:p>
        </w:tc>
        <w:tc>
          <w:tcPr>
            <w:tcW w:w="910" w:type="dxa"/>
            <w:shd w:val="clear" w:color="auto" w:fill="C6EFCE"/>
          </w:tcPr>
          <w:p w14:paraId="6C5E5A4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7ABA778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5E89AF7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631C840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91" w:type="dxa"/>
            <w:shd w:val="clear" w:color="auto" w:fill="C6EFCE"/>
          </w:tcPr>
          <w:p w14:paraId="5802C62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2024</w:t>
            </w:r>
          </w:p>
        </w:tc>
        <w:tc>
          <w:tcPr>
            <w:tcW w:w="1231" w:type="dxa"/>
            <w:shd w:val="clear" w:color="auto" w:fill="C6EFCE"/>
          </w:tcPr>
          <w:p w14:paraId="7D79BC48"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423913B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22B6FD9F"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Copy of the publication in the Official Journal, accompanied by a summary document duly justifying how the milestone has been satisfactorily fulfilled. This summary document shall include a reference to the relevant provisions indicating the entry into force and the provisions which fulfil the consitutive elements of the milestone, as listed in the description of the milestone and of the corresponding measure in the CID Annex, and a list of investments governed by the regulations, with a description of their scope and objectives.  </w:t>
            </w:r>
          </w:p>
        </w:tc>
        <w:tc>
          <w:tcPr>
            <w:tcW w:w="2323" w:type="dxa"/>
            <w:shd w:val="clear" w:color="auto" w:fill="C6EFCE"/>
          </w:tcPr>
          <w:p w14:paraId="612C8CE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Entry into force of the regulations of the Cabinet of Ministers on the legal framework for the investments in the construction of a regional biomethane input point and in the purchase of an IT solution for the management of the input point.</w:t>
            </w:r>
          </w:p>
        </w:tc>
      </w:tr>
      <w:tr w:rsidR="00BA1475" w:rsidRPr="00BA1475" w14:paraId="09BD15C2" w14:textId="77777777" w:rsidTr="00610215">
        <w:trPr>
          <w:trHeight w:val="1200"/>
          <w:jc w:val="center"/>
        </w:trPr>
        <w:tc>
          <w:tcPr>
            <w:tcW w:w="554" w:type="dxa"/>
            <w:shd w:val="clear" w:color="auto" w:fill="C6EFCE"/>
          </w:tcPr>
          <w:p w14:paraId="5A7121E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230</w:t>
            </w:r>
          </w:p>
        </w:tc>
        <w:tc>
          <w:tcPr>
            <w:tcW w:w="1294" w:type="dxa"/>
            <w:shd w:val="clear" w:color="auto" w:fill="C6EFCE"/>
          </w:tcPr>
          <w:p w14:paraId="412E1274"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7.4.i. Increasing the uptake of sustainable biomethane</w:t>
            </w:r>
          </w:p>
        </w:tc>
        <w:tc>
          <w:tcPr>
            <w:tcW w:w="838" w:type="dxa"/>
            <w:shd w:val="clear" w:color="auto" w:fill="C6EFCE"/>
          </w:tcPr>
          <w:p w14:paraId="1F86B1D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0D60C2A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Award of contracts for the construction of a regional biomethane injection point and for an IT solution for its smart management</w:t>
            </w:r>
          </w:p>
        </w:tc>
        <w:tc>
          <w:tcPr>
            <w:tcW w:w="1263" w:type="dxa"/>
            <w:shd w:val="clear" w:color="auto" w:fill="C6EFCE"/>
          </w:tcPr>
          <w:p w14:paraId="5418095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Notification of the award of contracts</w:t>
            </w:r>
          </w:p>
        </w:tc>
        <w:tc>
          <w:tcPr>
            <w:tcW w:w="910" w:type="dxa"/>
            <w:shd w:val="clear" w:color="auto" w:fill="C6EFCE"/>
          </w:tcPr>
          <w:p w14:paraId="392BEAF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64E19F5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3EAB448B"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4B71643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591" w:type="dxa"/>
            <w:shd w:val="clear" w:color="auto" w:fill="C6EFCE"/>
          </w:tcPr>
          <w:p w14:paraId="581E2BA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231" w:type="dxa"/>
            <w:shd w:val="clear" w:color="auto" w:fill="C6EFCE"/>
          </w:tcPr>
          <w:p w14:paraId="187E97AB"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4B8D2C5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01EB3923"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A summary document duly justifying how the milestone (including all the constitutive elements) was satisfactorily fulfilled, with appropriate links to the underlying evidence. </w:t>
            </w:r>
          </w:p>
          <w:p w14:paraId="37FBAF4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4D80468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This document shall include as an annex a copy of the awarded contracts.</w:t>
            </w:r>
          </w:p>
        </w:tc>
        <w:tc>
          <w:tcPr>
            <w:tcW w:w="2323" w:type="dxa"/>
            <w:shd w:val="clear" w:color="auto" w:fill="C6EFCE"/>
          </w:tcPr>
          <w:p w14:paraId="4D1DC28A"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Awarded contracts for the construction of a regional biomethane injection point and for an IT solution for the smart management of the injection point.</w:t>
            </w:r>
          </w:p>
        </w:tc>
      </w:tr>
      <w:tr w:rsidR="00BA1475" w:rsidRPr="00BA1475" w14:paraId="779F1CB8" w14:textId="77777777" w:rsidTr="00610215">
        <w:trPr>
          <w:trHeight w:val="1200"/>
          <w:jc w:val="center"/>
        </w:trPr>
        <w:tc>
          <w:tcPr>
            <w:tcW w:w="554" w:type="dxa"/>
            <w:shd w:val="clear" w:color="auto" w:fill="C6EFCE"/>
          </w:tcPr>
          <w:p w14:paraId="35F85CF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231</w:t>
            </w:r>
          </w:p>
        </w:tc>
        <w:tc>
          <w:tcPr>
            <w:tcW w:w="1294" w:type="dxa"/>
            <w:shd w:val="clear" w:color="auto" w:fill="C6EFCE"/>
          </w:tcPr>
          <w:p w14:paraId="14142184"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7.4.i. Increasing the uptake of sustainable biomethane</w:t>
            </w:r>
          </w:p>
        </w:tc>
        <w:tc>
          <w:tcPr>
            <w:tcW w:w="838" w:type="dxa"/>
            <w:shd w:val="clear" w:color="auto" w:fill="C6EFCE"/>
          </w:tcPr>
          <w:p w14:paraId="635682FE"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Milestone </w:t>
            </w:r>
          </w:p>
        </w:tc>
        <w:tc>
          <w:tcPr>
            <w:tcW w:w="1232" w:type="dxa"/>
            <w:shd w:val="clear" w:color="auto" w:fill="C6EFCE"/>
          </w:tcPr>
          <w:p w14:paraId="08EC3367"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Regional biomethane injection point completed</w:t>
            </w:r>
          </w:p>
        </w:tc>
        <w:tc>
          <w:tcPr>
            <w:tcW w:w="1263" w:type="dxa"/>
            <w:shd w:val="clear" w:color="auto" w:fill="C6EFCE"/>
          </w:tcPr>
          <w:p w14:paraId="687CA3D3"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Completion of construction</w:t>
            </w:r>
          </w:p>
        </w:tc>
        <w:tc>
          <w:tcPr>
            <w:tcW w:w="910" w:type="dxa"/>
            <w:shd w:val="clear" w:color="auto" w:fill="C6EFCE"/>
          </w:tcPr>
          <w:p w14:paraId="10A5B25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825" w:type="dxa"/>
            <w:shd w:val="clear" w:color="auto" w:fill="C6EFCE"/>
          </w:tcPr>
          <w:p w14:paraId="3FB7818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621" w:type="dxa"/>
            <w:shd w:val="clear" w:color="auto" w:fill="C6EFCE"/>
          </w:tcPr>
          <w:p w14:paraId="7DF114A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416" w:type="dxa"/>
            <w:shd w:val="clear" w:color="auto" w:fill="C6EFCE"/>
          </w:tcPr>
          <w:p w14:paraId="24B200C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Q4</w:t>
            </w:r>
          </w:p>
        </w:tc>
        <w:tc>
          <w:tcPr>
            <w:tcW w:w="591" w:type="dxa"/>
            <w:shd w:val="clear" w:color="auto" w:fill="C6EFCE"/>
          </w:tcPr>
          <w:p w14:paraId="5BD43EBC"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2025</w:t>
            </w:r>
          </w:p>
        </w:tc>
        <w:tc>
          <w:tcPr>
            <w:tcW w:w="1231" w:type="dxa"/>
            <w:shd w:val="clear" w:color="auto" w:fill="C6EFCE"/>
          </w:tcPr>
          <w:p w14:paraId="7877A2D6"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20AEE53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709BC04C"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milestone (including all the constitutive elements) was satisfactorily fulfilled, with appropriate links to the underlying evidence.</w:t>
            </w:r>
          </w:p>
          <w:p w14:paraId="222D1D9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37D51EF8"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document shall include as an annex:</w:t>
            </w:r>
          </w:p>
          <w:p w14:paraId="0611E64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77BB6DD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xml:space="preserve">- the certificate(s) of completion signed by the contractor(s) and the contracting authority(ies) for the construction of the regional biomethane injection point; </w:t>
            </w:r>
          </w:p>
          <w:p w14:paraId="6C7167E2"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55AB2B55" w14:textId="77777777" w:rsidR="00BA1475" w:rsidRPr="00BA1475" w:rsidRDefault="00BA1475" w:rsidP="00BA1475">
            <w:pPr>
              <w:spacing w:after="0" w:line="240" w:lineRule="auto"/>
              <w:rPr>
                <w:rFonts w:ascii="Arial Narrow" w:eastAsia="Calibri" w:hAnsi="Arial Narrow" w:cs="Arial"/>
                <w:noProof/>
                <w:kern w:val="0"/>
                <w:sz w:val="16"/>
                <w:highlight w:val="yellow"/>
                <w:lang w:val="en-GB"/>
                <w14:ligatures w14:val="none"/>
              </w:rPr>
            </w:pPr>
            <w:r w:rsidRPr="00BA1475">
              <w:rPr>
                <w:rFonts w:ascii="Arial Narrow" w:eastAsia="Calibri" w:hAnsi="Arial Narrow" w:cs="Calibri"/>
                <w:noProof/>
                <w:kern w:val="0"/>
                <w:sz w:val="16"/>
                <w:szCs w:val="16"/>
                <w:lang w:val="en-GB"/>
                <w14:ligatures w14:val="none"/>
              </w:rPr>
              <w:t>- a regulatory act attesting that only biomethane i) certified as sustainable against the sustainability criteria of Article 29 of the revised Renewable Energy Directive 2018/2001/EU by the means of voluntary certification schemes recognised by the European Commission in line with the Article 30 of the same revised Directive, and ii) recorded into the Union database for biofuels (UDB) in line with Article 31a of the same revised Directive may be injected via the new point.</w:t>
            </w:r>
          </w:p>
        </w:tc>
        <w:tc>
          <w:tcPr>
            <w:tcW w:w="2323" w:type="dxa"/>
            <w:shd w:val="clear" w:color="auto" w:fill="C6EFCE"/>
          </w:tcPr>
          <w:p w14:paraId="22AA3AD1"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Completion of the construction of a regional biomethane injection point.  All biomethane injected in existing pipelines via the new point shall meet the sustainability and greenhouse gas emission savings criteria set out in Articles 29-31, and the rules on food and feed-based biofuels set out in Article 26, of the revised Renewable Energy Directive 2018/2001/EU, and related implementing and delegated acts.</w:t>
            </w:r>
          </w:p>
        </w:tc>
      </w:tr>
      <w:tr w:rsidR="00BA1475" w:rsidRPr="00BA1475" w14:paraId="77E4BCB8" w14:textId="77777777" w:rsidTr="00610215">
        <w:trPr>
          <w:trHeight w:val="1200"/>
          <w:jc w:val="center"/>
        </w:trPr>
        <w:tc>
          <w:tcPr>
            <w:tcW w:w="554" w:type="dxa"/>
            <w:shd w:val="clear" w:color="auto" w:fill="C6EFCE"/>
          </w:tcPr>
          <w:p w14:paraId="2E1DB2E9"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232</w:t>
            </w:r>
          </w:p>
        </w:tc>
        <w:tc>
          <w:tcPr>
            <w:tcW w:w="1294" w:type="dxa"/>
            <w:shd w:val="clear" w:color="auto" w:fill="C6EFCE"/>
          </w:tcPr>
          <w:p w14:paraId="4465560F" w14:textId="77777777" w:rsidR="00BA1475" w:rsidRPr="00BA1475" w:rsidRDefault="00BA1475" w:rsidP="00BA1475">
            <w:pPr>
              <w:spacing w:after="0" w:line="240" w:lineRule="auto"/>
              <w:rPr>
                <w:rFonts w:ascii="Arial Narrow" w:eastAsia="Times New Roman" w:hAnsi="Arial Narrow" w:cs="Times New Roman"/>
                <w:b/>
                <w:bCs/>
                <w:noProof/>
                <w:kern w:val="0"/>
                <w:sz w:val="16"/>
                <w:szCs w:val="16"/>
                <w:lang w:val="en-GB" w:eastAsia="en-GB"/>
                <w14:ligatures w14:val="none"/>
              </w:rPr>
            </w:pPr>
            <w:r w:rsidRPr="00BA1475">
              <w:rPr>
                <w:rFonts w:ascii="Arial Narrow" w:eastAsia="Times New Roman" w:hAnsi="Arial Narrow" w:cs="Times New Roman"/>
                <w:b/>
                <w:bCs/>
                <w:noProof/>
                <w:kern w:val="0"/>
                <w:sz w:val="16"/>
                <w:szCs w:val="16"/>
                <w:lang w:val="en-GB" w:eastAsia="en-GB"/>
                <w14:ligatures w14:val="none"/>
              </w:rPr>
              <w:t>7.4.i. Increasing the uptake of sustainable biomethane</w:t>
            </w:r>
          </w:p>
        </w:tc>
        <w:tc>
          <w:tcPr>
            <w:tcW w:w="838" w:type="dxa"/>
            <w:shd w:val="clear" w:color="auto" w:fill="C6EFCE"/>
          </w:tcPr>
          <w:p w14:paraId="7EA346E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Milestone</w:t>
            </w:r>
          </w:p>
        </w:tc>
        <w:tc>
          <w:tcPr>
            <w:tcW w:w="1232" w:type="dxa"/>
            <w:shd w:val="clear" w:color="auto" w:fill="C6EFCE"/>
          </w:tcPr>
          <w:p w14:paraId="58E2FFE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IT solution for the management of the new regional sustainable biomethane injection point (BIP)</w:t>
            </w:r>
          </w:p>
        </w:tc>
        <w:tc>
          <w:tcPr>
            <w:tcW w:w="1263" w:type="dxa"/>
            <w:shd w:val="clear" w:color="auto" w:fill="C6EFCE"/>
          </w:tcPr>
          <w:p w14:paraId="177F21FF"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IT solution purchased and implemented</w:t>
            </w:r>
          </w:p>
        </w:tc>
        <w:tc>
          <w:tcPr>
            <w:tcW w:w="910" w:type="dxa"/>
            <w:shd w:val="clear" w:color="auto" w:fill="C6EFCE"/>
          </w:tcPr>
          <w:p w14:paraId="0348038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825" w:type="dxa"/>
            <w:shd w:val="clear" w:color="auto" w:fill="C6EFCE"/>
          </w:tcPr>
          <w:p w14:paraId="7CBB8430"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621" w:type="dxa"/>
            <w:shd w:val="clear" w:color="auto" w:fill="C6EFCE"/>
          </w:tcPr>
          <w:p w14:paraId="40CB3035"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N/a</w:t>
            </w:r>
          </w:p>
        </w:tc>
        <w:tc>
          <w:tcPr>
            <w:tcW w:w="416" w:type="dxa"/>
            <w:shd w:val="clear" w:color="auto" w:fill="C6EFCE"/>
          </w:tcPr>
          <w:p w14:paraId="4E053B18"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Q2</w:t>
            </w:r>
          </w:p>
        </w:tc>
        <w:tc>
          <w:tcPr>
            <w:tcW w:w="591" w:type="dxa"/>
            <w:shd w:val="clear" w:color="auto" w:fill="C6EFCE"/>
          </w:tcPr>
          <w:p w14:paraId="39B8D964"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2026</w:t>
            </w:r>
          </w:p>
        </w:tc>
        <w:tc>
          <w:tcPr>
            <w:tcW w:w="1231" w:type="dxa"/>
            <w:shd w:val="clear" w:color="auto" w:fill="C6EFCE"/>
          </w:tcPr>
          <w:p w14:paraId="0378AAB9" w14:textId="77777777" w:rsidR="00BA1475" w:rsidRPr="00BA1475" w:rsidRDefault="00BA1475" w:rsidP="00BA1475">
            <w:pPr>
              <w:spacing w:after="200" w:line="276" w:lineRule="auto"/>
              <w:rPr>
                <w:rFonts w:ascii="Arial Narrow" w:eastAsia="Calibri" w:hAnsi="Arial Narrow" w:cs="Calibri"/>
                <w:noProof/>
                <w:kern w:val="0"/>
                <w:sz w:val="16"/>
                <w:szCs w:val="16"/>
                <w:lang w:val="en-GB"/>
                <w14:ligatures w14:val="none"/>
              </w:rPr>
            </w:pPr>
            <w:r w:rsidRPr="00BA1475">
              <w:rPr>
                <w:rFonts w:ascii="Arial Narrow" w:eastAsia="Arial Narrow" w:hAnsi="Arial Narrow" w:cs="Arial Narrow"/>
                <w:noProof/>
                <w:kern w:val="0"/>
                <w:sz w:val="16"/>
                <w:szCs w:val="16"/>
                <w:lang w:val="en-GB"/>
                <w14:ligatures w14:val="none"/>
              </w:rPr>
              <w:t>Ministry of Climate and Energy</w:t>
            </w:r>
          </w:p>
        </w:tc>
        <w:tc>
          <w:tcPr>
            <w:tcW w:w="1134" w:type="dxa"/>
            <w:shd w:val="clear" w:color="auto" w:fill="C6EFCE"/>
          </w:tcPr>
          <w:p w14:paraId="473A2312"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tc>
        <w:tc>
          <w:tcPr>
            <w:tcW w:w="2932" w:type="dxa"/>
            <w:shd w:val="clear" w:color="auto" w:fill="C6EFCE"/>
          </w:tcPr>
          <w:p w14:paraId="1C60354B"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A summary document duly justifying how the milestone (including all the constitutive elements) was satisfactorily fulfilled, with appropriate links to the underlying evidence.</w:t>
            </w:r>
          </w:p>
          <w:p w14:paraId="31E94A39"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5DD14D96"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The document shall include as an annex:</w:t>
            </w:r>
          </w:p>
          <w:p w14:paraId="419A6E60"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p>
          <w:p w14:paraId="5C892E84" w14:textId="77777777" w:rsidR="00BA1475" w:rsidRPr="00BA1475" w:rsidRDefault="00BA1475" w:rsidP="00BA1475">
            <w:pPr>
              <w:spacing w:after="0" w:line="240" w:lineRule="auto"/>
              <w:rPr>
                <w:rFonts w:ascii="Arial Narrow" w:eastAsia="Calibri" w:hAnsi="Arial Narrow" w:cs="Calibri"/>
                <w:noProof/>
                <w:kern w:val="0"/>
                <w:sz w:val="16"/>
                <w:szCs w:val="16"/>
                <w:lang w:val="en-GB"/>
                <w14:ligatures w14:val="none"/>
              </w:rPr>
            </w:pPr>
            <w:r w:rsidRPr="00BA1475">
              <w:rPr>
                <w:rFonts w:ascii="Arial Narrow" w:eastAsia="Calibri" w:hAnsi="Arial Narrow" w:cs="Calibri"/>
                <w:noProof/>
                <w:kern w:val="0"/>
                <w:sz w:val="16"/>
                <w:szCs w:val="16"/>
                <w:lang w:val="en-GB"/>
                <w14:ligatures w14:val="none"/>
              </w:rPr>
              <w:t>- the certificate(s) of completion signed by the contractor(s) and the contracting authority(ies) demonstrating that the IT solution has been purchased and installed, and that the installed IT solution enables the functionalities and services covered by the milestone description.</w:t>
            </w:r>
          </w:p>
        </w:tc>
        <w:tc>
          <w:tcPr>
            <w:tcW w:w="2323" w:type="dxa"/>
            <w:shd w:val="clear" w:color="auto" w:fill="C6EFCE"/>
          </w:tcPr>
          <w:p w14:paraId="15CA6F66"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r w:rsidRPr="00BA1475">
              <w:rPr>
                <w:rFonts w:ascii="Arial Narrow" w:eastAsia="Times New Roman" w:hAnsi="Arial Narrow" w:cs="Times New Roman"/>
                <w:noProof/>
                <w:kern w:val="0"/>
                <w:sz w:val="16"/>
                <w:szCs w:val="16"/>
                <w:lang w:val="en-GB" w:eastAsia="en-GB"/>
                <w14:ligatures w14:val="none"/>
              </w:rPr>
              <w:t xml:space="preserve">An IT solution for the management of the new regional sustainable biomethane injection point (BIP) shall be purchased and installed. This solution shall enable the following services: </w:t>
            </w:r>
          </w:p>
          <w:p w14:paraId="12204FAF"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noProof/>
                <w:kern w:val="0"/>
                <w:sz w:val="16"/>
                <w:szCs w:val="16"/>
                <w:lang w:val="en-GB" w:eastAsia="en-GB"/>
                <w14:ligatures w14:val="none"/>
              </w:rPr>
              <w:t xml:space="preserve">- biomethane injection point capacity access management; </w:t>
            </w:r>
          </w:p>
          <w:p w14:paraId="7C9DA5D1"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noProof/>
                <w:kern w:val="0"/>
                <w:sz w:val="16"/>
                <w:szCs w:val="16"/>
                <w:lang w:val="en-GB" w:eastAsia="en-GB"/>
                <w14:ligatures w14:val="none"/>
              </w:rPr>
              <w:t xml:space="preserve">- Representation of biomethane injection point metered data in common gas user platform; </w:t>
            </w:r>
          </w:p>
          <w:p w14:paraId="46EF3A70"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noProof/>
                <w:kern w:val="0"/>
                <w:sz w:val="16"/>
                <w:szCs w:val="16"/>
                <w:lang w:val="en-GB" w:eastAsia="en-GB"/>
                <w14:ligatures w14:val="none"/>
              </w:rPr>
              <w:t xml:space="preserve">- Maintaining biomethane producer and transmission network user relations for allocations on gas entry point; </w:t>
            </w:r>
          </w:p>
          <w:p w14:paraId="62A1A9BC"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noProof/>
                <w:kern w:val="0"/>
                <w:sz w:val="16"/>
                <w:szCs w:val="16"/>
                <w:lang w:val="en-GB" w:eastAsia="en-GB"/>
                <w14:ligatures w14:val="none"/>
              </w:rPr>
              <w:t xml:space="preserve">- Management of gas entry point capacities, nominations and allocations; </w:t>
            </w:r>
          </w:p>
          <w:p w14:paraId="6EF98356" w14:textId="77777777" w:rsidR="00BA1475" w:rsidRPr="00BA1475" w:rsidRDefault="00BA1475" w:rsidP="00BA1475">
            <w:pPr>
              <w:spacing w:after="0" w:line="240" w:lineRule="auto"/>
              <w:rPr>
                <w:rFonts w:ascii="Arial Narrow" w:eastAsia="Calibri" w:hAnsi="Arial Narrow" w:cs="Times New Roman"/>
                <w:noProof/>
                <w:kern w:val="0"/>
                <w:sz w:val="16"/>
                <w:szCs w:val="16"/>
                <w:lang w:val="en-GB"/>
                <w14:ligatures w14:val="none"/>
              </w:rPr>
            </w:pPr>
            <w:r w:rsidRPr="00BA1475">
              <w:rPr>
                <w:rFonts w:ascii="Arial Narrow" w:eastAsia="Times New Roman" w:hAnsi="Arial Narrow" w:cs="Times New Roman"/>
                <w:noProof/>
                <w:kern w:val="0"/>
                <w:sz w:val="16"/>
                <w:szCs w:val="16"/>
                <w:lang w:val="en-GB" w:eastAsia="en-GB"/>
                <w14:ligatures w14:val="none"/>
              </w:rPr>
              <w:t xml:space="preserve">- Automatic data integration between metering points and system for issuing Guarantees of Origin.  </w:t>
            </w:r>
          </w:p>
          <w:p w14:paraId="7530659D" w14:textId="77777777" w:rsidR="00BA1475" w:rsidRPr="00BA1475" w:rsidRDefault="00BA1475" w:rsidP="00BA1475">
            <w:pPr>
              <w:spacing w:after="0" w:line="240" w:lineRule="auto"/>
              <w:rPr>
                <w:rFonts w:ascii="Arial Narrow" w:eastAsia="Times New Roman" w:hAnsi="Arial Narrow" w:cs="Times New Roman"/>
                <w:noProof/>
                <w:kern w:val="0"/>
                <w:sz w:val="16"/>
                <w:szCs w:val="16"/>
                <w:lang w:val="en-GB" w:eastAsia="en-GB"/>
                <w14:ligatures w14:val="none"/>
              </w:rPr>
            </w:pPr>
          </w:p>
          <w:p w14:paraId="5CB71D1D" w14:textId="77777777" w:rsidR="00BA1475" w:rsidRPr="00BA1475" w:rsidRDefault="00BA1475" w:rsidP="00BA1475">
            <w:pPr>
              <w:spacing w:after="0" w:line="240" w:lineRule="auto"/>
              <w:rPr>
                <w:rFonts w:ascii="Arial Narrow" w:eastAsia="Calibri" w:hAnsi="Arial Narrow" w:cs="Arial"/>
                <w:kern w:val="0"/>
                <w:sz w:val="16"/>
                <w:szCs w:val="16"/>
                <w:lang w:val="en-GB"/>
                <w14:ligatures w14:val="none"/>
              </w:rPr>
            </w:pPr>
            <w:r w:rsidRPr="00BA1475">
              <w:rPr>
                <w:rFonts w:ascii="Arial Narrow" w:eastAsia="Calibri" w:hAnsi="Arial Narrow" w:cs="Arial"/>
                <w:kern w:val="0"/>
                <w:sz w:val="16"/>
                <w:szCs w:val="16"/>
                <w:lang w:val="en-GB"/>
                <w14:ligatures w14:val="none"/>
              </w:rPr>
              <w:t>Methane and biomethane leakage detection and prevention standards shall be introduced as an integral part of the security requirements.</w:t>
            </w:r>
          </w:p>
        </w:tc>
      </w:tr>
    </w:tbl>
    <w:p w14:paraId="19E0A164" w14:textId="3CEC2595" w:rsidR="00A822F1" w:rsidRPr="00BA1475" w:rsidRDefault="00A822F1" w:rsidP="00610215">
      <w:pPr>
        <w:rPr>
          <w:lang w:val="en-GB"/>
        </w:rPr>
      </w:pPr>
    </w:p>
    <w:sectPr w:rsidR="00A822F1" w:rsidRPr="00BA1475" w:rsidSect="00BA1475">
      <w:pgSz w:w="16838" w:h="11906" w:orient="landscape"/>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81743" w14:textId="77777777" w:rsidR="00BA1475" w:rsidRDefault="00BA1475" w:rsidP="00BA1475">
      <w:pPr>
        <w:spacing w:after="0" w:line="240" w:lineRule="auto"/>
      </w:pPr>
      <w:r>
        <w:separator/>
      </w:r>
    </w:p>
  </w:endnote>
  <w:endnote w:type="continuationSeparator" w:id="0">
    <w:p w14:paraId="059A7579" w14:textId="77777777" w:rsidR="00BA1475" w:rsidRDefault="00BA1475" w:rsidP="00BA1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A5765" w14:textId="076CAED9" w:rsidR="00BA1475" w:rsidRPr="00BA1475" w:rsidRDefault="00BA1475" w:rsidP="00BA1475">
    <w:pPr>
      <w:pStyle w:val="FooterCoverPage"/>
      <w:rPr>
        <w:rFonts w:ascii="Arial" w:hAnsi="Arial" w:cs="Arial"/>
        <w:b/>
        <w:sz w:val="48"/>
      </w:rPr>
    </w:pPr>
    <w:r w:rsidRPr="00BA1475">
      <w:rPr>
        <w:rFonts w:ascii="Arial" w:hAnsi="Arial" w:cs="Arial"/>
        <w:b/>
        <w:sz w:val="48"/>
      </w:rPr>
      <w:t>EN</w:t>
    </w:r>
    <w:r w:rsidRPr="00BA1475">
      <w:rPr>
        <w:rFonts w:ascii="Arial" w:hAnsi="Arial" w:cs="Arial"/>
        <w:b/>
        <w:sz w:val="48"/>
      </w:rPr>
      <w:tab/>
    </w:r>
    <w:r w:rsidRPr="00BA1475">
      <w:rPr>
        <w:rFonts w:ascii="Arial" w:hAnsi="Arial" w:cs="Arial"/>
        <w:b/>
        <w:sz w:val="48"/>
      </w:rPr>
      <w:tab/>
    </w:r>
    <w:r w:rsidRPr="00BA1475">
      <w:tab/>
    </w:r>
    <w:proofErr w:type="spellStart"/>
    <w:r w:rsidRPr="00BA1475">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2E18" w14:textId="24AEB9DD" w:rsidR="00BA1475" w:rsidRPr="00BA1475" w:rsidRDefault="00BA1475" w:rsidP="00BA1475">
    <w:pPr>
      <w:pStyle w:val="FooterCoverPage"/>
      <w:rPr>
        <w:rFonts w:ascii="Arial" w:hAnsi="Arial" w:cs="Arial"/>
        <w:b/>
        <w:sz w:val="48"/>
      </w:rPr>
    </w:pPr>
    <w:r w:rsidRPr="00BA1475">
      <w:rPr>
        <w:rFonts w:ascii="Arial" w:hAnsi="Arial" w:cs="Arial"/>
        <w:b/>
        <w:sz w:val="48"/>
      </w:rPr>
      <w:t>EN</w:t>
    </w:r>
    <w:r w:rsidRPr="00BA1475">
      <w:rPr>
        <w:rFonts w:ascii="Arial" w:hAnsi="Arial" w:cs="Arial"/>
        <w:b/>
        <w:sz w:val="48"/>
      </w:rPr>
      <w:tab/>
    </w:r>
    <w:r w:rsidRPr="00BA1475">
      <w:rPr>
        <w:rFonts w:ascii="Arial" w:hAnsi="Arial" w:cs="Arial"/>
        <w:b/>
        <w:sz w:val="48"/>
      </w:rPr>
      <w:tab/>
    </w:r>
    <w:r w:rsidRPr="00BA1475">
      <w:tab/>
    </w:r>
    <w:proofErr w:type="spellStart"/>
    <w:r w:rsidRPr="00BA1475">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D373D" w14:textId="77777777" w:rsidR="00BA1475" w:rsidRPr="00BA1475" w:rsidRDefault="00BA1475" w:rsidP="00BA147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5C429" w14:textId="77777777" w:rsidR="00BA1475" w:rsidRDefault="00BA14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1132835"/>
      <w:docPartObj>
        <w:docPartGallery w:val="Page Numbers (Bottom of Page)"/>
        <w:docPartUnique/>
      </w:docPartObj>
    </w:sdtPr>
    <w:sdtEndPr>
      <w:rPr>
        <w:rFonts w:ascii="Times New Roman" w:hAnsi="Times New Roman" w:cs="Times New Roman"/>
        <w:noProof/>
        <w:sz w:val="24"/>
        <w:szCs w:val="24"/>
      </w:rPr>
    </w:sdtEndPr>
    <w:sdtContent>
      <w:p w14:paraId="49EC8752" w14:textId="77777777" w:rsidR="00BA1475" w:rsidRPr="00912C4B" w:rsidRDefault="00BA1475">
        <w:pPr>
          <w:pStyle w:val="Footer"/>
          <w:jc w:val="center"/>
          <w:rPr>
            <w:rFonts w:ascii="Times New Roman" w:hAnsi="Times New Roman" w:cs="Times New Roman"/>
            <w:sz w:val="24"/>
            <w:szCs w:val="24"/>
          </w:rPr>
        </w:pPr>
        <w:r w:rsidRPr="00912C4B">
          <w:rPr>
            <w:rFonts w:ascii="Times New Roman" w:hAnsi="Times New Roman" w:cs="Times New Roman"/>
            <w:sz w:val="24"/>
            <w:szCs w:val="24"/>
          </w:rPr>
          <w:fldChar w:fldCharType="begin"/>
        </w:r>
        <w:r w:rsidRPr="00912C4B">
          <w:rPr>
            <w:rFonts w:ascii="Times New Roman" w:hAnsi="Times New Roman" w:cs="Times New Roman"/>
            <w:sz w:val="24"/>
            <w:szCs w:val="24"/>
          </w:rPr>
          <w:instrText xml:space="preserve"> PAGE   \* MERGEFORMAT </w:instrText>
        </w:r>
        <w:r w:rsidRPr="00912C4B">
          <w:rPr>
            <w:rFonts w:ascii="Times New Roman" w:hAnsi="Times New Roman" w:cs="Times New Roman"/>
            <w:sz w:val="24"/>
            <w:szCs w:val="24"/>
          </w:rPr>
          <w:fldChar w:fldCharType="separate"/>
        </w:r>
        <w:r>
          <w:rPr>
            <w:rFonts w:ascii="Times New Roman" w:hAnsi="Times New Roman" w:cs="Times New Roman"/>
            <w:noProof/>
            <w:sz w:val="24"/>
            <w:szCs w:val="24"/>
          </w:rPr>
          <w:t>1</w:t>
        </w:r>
        <w:r w:rsidRPr="00912C4B">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C4805" w14:textId="77777777" w:rsidR="00BA1475" w:rsidRDefault="00BA147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94CDC" w14:textId="77777777" w:rsidR="00BA1475" w:rsidRDefault="00BA147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3868320"/>
      <w:docPartObj>
        <w:docPartGallery w:val="Page Numbers (Bottom of Page)"/>
        <w:docPartUnique/>
      </w:docPartObj>
    </w:sdtPr>
    <w:sdtEndPr>
      <w:rPr>
        <w:rFonts w:ascii="Times New Roman" w:hAnsi="Times New Roman" w:cs="Times New Roman"/>
        <w:noProof/>
        <w:sz w:val="24"/>
        <w:szCs w:val="24"/>
      </w:rPr>
    </w:sdtEndPr>
    <w:sdtContent>
      <w:p w14:paraId="42F0AAA4" w14:textId="77777777" w:rsidR="00BA1475" w:rsidRPr="00912C4B" w:rsidRDefault="00BA1475">
        <w:pPr>
          <w:pStyle w:val="Footer"/>
          <w:jc w:val="center"/>
          <w:rPr>
            <w:rFonts w:ascii="Times New Roman" w:hAnsi="Times New Roman" w:cs="Times New Roman"/>
            <w:sz w:val="24"/>
            <w:szCs w:val="24"/>
          </w:rPr>
        </w:pPr>
        <w:r w:rsidRPr="00912C4B">
          <w:rPr>
            <w:rFonts w:ascii="Times New Roman" w:hAnsi="Times New Roman" w:cs="Times New Roman"/>
            <w:sz w:val="24"/>
            <w:szCs w:val="24"/>
          </w:rPr>
          <w:fldChar w:fldCharType="begin"/>
        </w:r>
        <w:r w:rsidRPr="00912C4B">
          <w:rPr>
            <w:rFonts w:ascii="Times New Roman" w:hAnsi="Times New Roman" w:cs="Times New Roman"/>
            <w:sz w:val="24"/>
            <w:szCs w:val="24"/>
          </w:rPr>
          <w:instrText xml:space="preserve"> PAGE   \* MERGEFORMAT </w:instrText>
        </w:r>
        <w:r w:rsidRPr="00912C4B">
          <w:rPr>
            <w:rFonts w:ascii="Times New Roman" w:hAnsi="Times New Roman" w:cs="Times New Roman"/>
            <w:sz w:val="24"/>
            <w:szCs w:val="24"/>
          </w:rPr>
          <w:fldChar w:fldCharType="separate"/>
        </w:r>
        <w:r>
          <w:rPr>
            <w:rFonts w:ascii="Times New Roman" w:hAnsi="Times New Roman" w:cs="Times New Roman"/>
            <w:noProof/>
            <w:sz w:val="24"/>
            <w:szCs w:val="24"/>
          </w:rPr>
          <w:t>4</w:t>
        </w:r>
        <w:r w:rsidRPr="00912C4B">
          <w:rPr>
            <w:rFonts w:ascii="Times New Roman" w:hAnsi="Times New Roman" w:cs="Times New Roman"/>
            <w:noProof/>
            <w:sz w:val="24"/>
            <w:szCs w:val="24"/>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107FE" w14:textId="77777777" w:rsidR="00BA1475" w:rsidRDefault="00BA147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DEBF8" w14:textId="77777777" w:rsidR="00BA1475" w:rsidRDefault="00BA147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3968907"/>
      <w:docPartObj>
        <w:docPartGallery w:val="Page Numbers (Bottom of Page)"/>
        <w:docPartUnique/>
      </w:docPartObj>
    </w:sdtPr>
    <w:sdtEndPr>
      <w:rPr>
        <w:rFonts w:ascii="Times New Roman" w:hAnsi="Times New Roman" w:cs="Times New Roman"/>
        <w:noProof/>
        <w:sz w:val="24"/>
        <w:szCs w:val="24"/>
      </w:rPr>
    </w:sdtEndPr>
    <w:sdtContent>
      <w:p w14:paraId="5A3B8C46" w14:textId="77777777" w:rsidR="00BA1475" w:rsidRPr="00912C4B" w:rsidRDefault="00BA1475">
        <w:pPr>
          <w:pStyle w:val="Footer"/>
          <w:jc w:val="center"/>
          <w:rPr>
            <w:rFonts w:ascii="Times New Roman" w:hAnsi="Times New Roman" w:cs="Times New Roman"/>
            <w:sz w:val="24"/>
            <w:szCs w:val="24"/>
          </w:rPr>
        </w:pPr>
        <w:r w:rsidRPr="00912C4B">
          <w:rPr>
            <w:rFonts w:ascii="Times New Roman" w:hAnsi="Times New Roman" w:cs="Times New Roman"/>
            <w:sz w:val="24"/>
            <w:szCs w:val="24"/>
          </w:rPr>
          <w:fldChar w:fldCharType="begin"/>
        </w:r>
        <w:r w:rsidRPr="00912C4B">
          <w:rPr>
            <w:rFonts w:ascii="Times New Roman" w:hAnsi="Times New Roman" w:cs="Times New Roman"/>
            <w:sz w:val="24"/>
            <w:szCs w:val="24"/>
          </w:rPr>
          <w:instrText xml:space="preserve"> PAGE   \* MERGEFORMAT </w:instrText>
        </w:r>
        <w:r w:rsidRPr="00912C4B">
          <w:rPr>
            <w:rFonts w:ascii="Times New Roman" w:hAnsi="Times New Roman" w:cs="Times New Roman"/>
            <w:sz w:val="24"/>
            <w:szCs w:val="24"/>
          </w:rPr>
          <w:fldChar w:fldCharType="separate"/>
        </w:r>
        <w:r>
          <w:rPr>
            <w:rFonts w:ascii="Times New Roman" w:hAnsi="Times New Roman" w:cs="Times New Roman"/>
            <w:noProof/>
            <w:sz w:val="24"/>
            <w:szCs w:val="24"/>
          </w:rPr>
          <w:t>5</w:t>
        </w:r>
        <w:r w:rsidRPr="00912C4B">
          <w:rPr>
            <w:rFonts w:ascii="Times New Roman" w:hAnsi="Times New Roman" w:cs="Times New Roman"/>
            <w:noProof/>
            <w:sz w:val="24"/>
            <w:szCs w:val="24"/>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2DAF" w14:textId="77777777" w:rsidR="00BA1475" w:rsidRDefault="00BA147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A4F" w14:textId="77777777" w:rsidR="00BA1475" w:rsidRDefault="00BA147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005137"/>
      <w:docPartObj>
        <w:docPartGallery w:val="Page Numbers (Bottom of Page)"/>
        <w:docPartUnique/>
      </w:docPartObj>
    </w:sdtPr>
    <w:sdtEndPr>
      <w:rPr>
        <w:rFonts w:ascii="Times New Roman" w:hAnsi="Times New Roman" w:cs="Times New Roman"/>
        <w:noProof/>
        <w:sz w:val="24"/>
        <w:szCs w:val="24"/>
      </w:rPr>
    </w:sdtEndPr>
    <w:sdtContent>
      <w:p w14:paraId="3634D709" w14:textId="77777777" w:rsidR="00BA1475" w:rsidRPr="00912C4B" w:rsidRDefault="00BA1475">
        <w:pPr>
          <w:pStyle w:val="Footer"/>
          <w:jc w:val="center"/>
          <w:rPr>
            <w:rFonts w:ascii="Times New Roman" w:hAnsi="Times New Roman" w:cs="Times New Roman"/>
            <w:sz w:val="24"/>
            <w:szCs w:val="24"/>
          </w:rPr>
        </w:pPr>
        <w:r w:rsidRPr="00912C4B">
          <w:rPr>
            <w:rFonts w:ascii="Times New Roman" w:hAnsi="Times New Roman" w:cs="Times New Roman"/>
            <w:sz w:val="24"/>
            <w:szCs w:val="24"/>
          </w:rPr>
          <w:fldChar w:fldCharType="begin"/>
        </w:r>
        <w:r w:rsidRPr="00912C4B">
          <w:rPr>
            <w:rFonts w:ascii="Times New Roman" w:hAnsi="Times New Roman" w:cs="Times New Roman"/>
            <w:sz w:val="24"/>
            <w:szCs w:val="24"/>
          </w:rPr>
          <w:instrText xml:space="preserve"> PAGE   \* MERGEFORMAT </w:instrText>
        </w:r>
        <w:r w:rsidRPr="00912C4B">
          <w:rPr>
            <w:rFonts w:ascii="Times New Roman" w:hAnsi="Times New Roman" w:cs="Times New Roman"/>
            <w:sz w:val="24"/>
            <w:szCs w:val="24"/>
          </w:rPr>
          <w:fldChar w:fldCharType="separate"/>
        </w:r>
        <w:r w:rsidRPr="00912C4B">
          <w:rPr>
            <w:rFonts w:ascii="Times New Roman" w:hAnsi="Times New Roman" w:cs="Times New Roman"/>
            <w:noProof/>
            <w:sz w:val="24"/>
            <w:szCs w:val="24"/>
          </w:rPr>
          <w:t>2</w:t>
        </w:r>
        <w:r w:rsidRPr="00912C4B">
          <w:rPr>
            <w:rFonts w:ascii="Times New Roman" w:hAnsi="Times New Roman" w:cs="Times New Roman"/>
            <w:noProof/>
            <w:sz w:val="24"/>
            <w:szCs w:val="24"/>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4D5E8" w14:textId="77777777" w:rsidR="00BA1475" w:rsidRDefault="00BA147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D908E" w14:textId="77777777" w:rsidR="00BA1475" w:rsidRDefault="00BA147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2743292"/>
      <w:docPartObj>
        <w:docPartGallery w:val="Page Numbers (Bottom of Page)"/>
        <w:docPartUnique/>
      </w:docPartObj>
    </w:sdtPr>
    <w:sdtEndPr>
      <w:rPr>
        <w:rFonts w:ascii="Times New Roman" w:hAnsi="Times New Roman" w:cs="Times New Roman"/>
        <w:noProof/>
        <w:sz w:val="24"/>
        <w:szCs w:val="24"/>
      </w:rPr>
    </w:sdtEndPr>
    <w:sdtContent>
      <w:p w14:paraId="36159BE7" w14:textId="77777777" w:rsidR="00BA1475" w:rsidRPr="00912C4B" w:rsidRDefault="00BA1475">
        <w:pPr>
          <w:pStyle w:val="Footer"/>
          <w:jc w:val="center"/>
          <w:rPr>
            <w:rFonts w:ascii="Times New Roman" w:hAnsi="Times New Roman" w:cs="Times New Roman"/>
            <w:sz w:val="24"/>
            <w:szCs w:val="24"/>
          </w:rPr>
        </w:pPr>
        <w:r w:rsidRPr="00912C4B">
          <w:rPr>
            <w:rFonts w:ascii="Times New Roman" w:hAnsi="Times New Roman" w:cs="Times New Roman"/>
            <w:sz w:val="24"/>
            <w:szCs w:val="24"/>
          </w:rPr>
          <w:fldChar w:fldCharType="begin"/>
        </w:r>
        <w:r w:rsidRPr="00912C4B">
          <w:rPr>
            <w:rFonts w:ascii="Times New Roman" w:hAnsi="Times New Roman" w:cs="Times New Roman"/>
            <w:sz w:val="24"/>
            <w:szCs w:val="24"/>
          </w:rPr>
          <w:instrText xml:space="preserve"> PAGE   \* MERGEFORMAT </w:instrText>
        </w:r>
        <w:r w:rsidRPr="00912C4B">
          <w:rPr>
            <w:rFonts w:ascii="Times New Roman" w:hAnsi="Times New Roman" w:cs="Times New Roman"/>
            <w:sz w:val="24"/>
            <w:szCs w:val="24"/>
          </w:rPr>
          <w:fldChar w:fldCharType="separate"/>
        </w:r>
        <w:r w:rsidRPr="00912C4B">
          <w:rPr>
            <w:rFonts w:ascii="Times New Roman" w:hAnsi="Times New Roman" w:cs="Times New Roman"/>
            <w:noProof/>
            <w:sz w:val="24"/>
            <w:szCs w:val="24"/>
          </w:rPr>
          <w:t>2</w:t>
        </w:r>
        <w:r w:rsidRPr="00912C4B">
          <w:rPr>
            <w:rFonts w:ascii="Times New Roman" w:hAnsi="Times New Roman" w:cs="Times New Roman"/>
            <w:noProof/>
            <w:sz w:val="24"/>
            <w:szCs w:val="24"/>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B774F" w14:textId="77777777" w:rsidR="00BA1475" w:rsidRDefault="00BA147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3AE61" w14:textId="77777777" w:rsidR="00BA1475" w:rsidRDefault="00BA147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327462"/>
      <w:docPartObj>
        <w:docPartGallery w:val="Page Numbers (Bottom of Page)"/>
        <w:docPartUnique/>
      </w:docPartObj>
    </w:sdtPr>
    <w:sdtEndPr>
      <w:rPr>
        <w:noProof/>
      </w:rPr>
    </w:sdtEndPr>
    <w:sdtContent>
      <w:p w14:paraId="19CE133F" w14:textId="77777777" w:rsidR="00BA1475" w:rsidRDefault="00BA1475">
        <w:pPr>
          <w:pStyle w:val="Footer"/>
          <w:jc w:val="center"/>
        </w:pPr>
        <w:r w:rsidRPr="00912C4B">
          <w:rPr>
            <w:rFonts w:ascii="Times New Roman" w:hAnsi="Times New Roman" w:cs="Times New Roman"/>
            <w:sz w:val="24"/>
            <w:szCs w:val="24"/>
          </w:rPr>
          <w:fldChar w:fldCharType="begin"/>
        </w:r>
        <w:r w:rsidRPr="00912C4B">
          <w:rPr>
            <w:rFonts w:ascii="Times New Roman" w:hAnsi="Times New Roman" w:cs="Times New Roman"/>
            <w:sz w:val="24"/>
            <w:szCs w:val="24"/>
          </w:rPr>
          <w:instrText xml:space="preserve"> PAGE   \* MERGEFORMAT </w:instrText>
        </w:r>
        <w:r w:rsidRPr="00912C4B">
          <w:rPr>
            <w:rFonts w:ascii="Times New Roman" w:hAnsi="Times New Roman" w:cs="Times New Roman"/>
            <w:sz w:val="24"/>
            <w:szCs w:val="24"/>
          </w:rPr>
          <w:fldChar w:fldCharType="separate"/>
        </w:r>
        <w:r w:rsidRPr="00912C4B">
          <w:rPr>
            <w:rFonts w:ascii="Times New Roman" w:hAnsi="Times New Roman" w:cs="Times New Roman"/>
            <w:noProof/>
            <w:sz w:val="24"/>
            <w:szCs w:val="24"/>
          </w:rPr>
          <w:t>2</w:t>
        </w:r>
        <w:r w:rsidRPr="00912C4B">
          <w:rPr>
            <w:rFonts w:ascii="Times New Roman" w:hAnsi="Times New Roman" w:cs="Times New Roman"/>
            <w:noProof/>
            <w:sz w:val="24"/>
            <w:szCs w:val="24"/>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1C837" w14:textId="77777777" w:rsidR="00BA1475" w:rsidRDefault="00BA147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E09AA" w14:textId="77777777" w:rsidR="00BA1475" w:rsidRDefault="00BA147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651303"/>
      <w:docPartObj>
        <w:docPartGallery w:val="Page Numbers (Bottom of Page)"/>
        <w:docPartUnique/>
      </w:docPartObj>
    </w:sdtPr>
    <w:sdtEndPr>
      <w:rPr>
        <w:noProof/>
      </w:rPr>
    </w:sdtEndPr>
    <w:sdtContent>
      <w:p w14:paraId="365502B1" w14:textId="77777777" w:rsidR="00BA1475" w:rsidRDefault="00BA1475">
        <w:pPr>
          <w:pStyle w:val="Footer"/>
          <w:jc w:val="center"/>
        </w:pPr>
        <w:r w:rsidRPr="00912C4B">
          <w:rPr>
            <w:rFonts w:ascii="Times New Roman" w:hAnsi="Times New Roman" w:cs="Times New Roman"/>
            <w:sz w:val="24"/>
            <w:szCs w:val="24"/>
          </w:rPr>
          <w:fldChar w:fldCharType="begin"/>
        </w:r>
        <w:r w:rsidRPr="00912C4B">
          <w:rPr>
            <w:rFonts w:ascii="Times New Roman" w:hAnsi="Times New Roman" w:cs="Times New Roman"/>
            <w:sz w:val="24"/>
            <w:szCs w:val="24"/>
          </w:rPr>
          <w:instrText xml:space="preserve"> PAGE   \* MERGEFORMAT </w:instrText>
        </w:r>
        <w:r w:rsidRPr="00912C4B">
          <w:rPr>
            <w:rFonts w:ascii="Times New Roman" w:hAnsi="Times New Roman" w:cs="Times New Roman"/>
            <w:sz w:val="24"/>
            <w:szCs w:val="24"/>
          </w:rPr>
          <w:fldChar w:fldCharType="separate"/>
        </w:r>
        <w:r w:rsidRPr="00912C4B">
          <w:rPr>
            <w:rFonts w:ascii="Times New Roman" w:hAnsi="Times New Roman" w:cs="Times New Roman"/>
            <w:noProof/>
            <w:sz w:val="24"/>
            <w:szCs w:val="24"/>
          </w:rPr>
          <w:t>2</w:t>
        </w:r>
        <w:r w:rsidRPr="00912C4B">
          <w:rPr>
            <w:rFonts w:ascii="Times New Roman" w:hAnsi="Times New Roman" w:cs="Times New Roman"/>
            <w:noProof/>
            <w:sz w:val="24"/>
            <w:szCs w:val="24"/>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16E0C" w14:textId="77777777" w:rsidR="00BA1475" w:rsidRDefault="00BA147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602C5" w14:textId="77777777" w:rsidR="00BA1475" w:rsidRDefault="00BA147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1024974"/>
      <w:docPartObj>
        <w:docPartGallery w:val="Page Numbers (Bottom of Page)"/>
        <w:docPartUnique/>
      </w:docPartObj>
    </w:sdtPr>
    <w:sdtEndPr>
      <w:rPr>
        <w:noProof/>
      </w:rPr>
    </w:sdtEndPr>
    <w:sdtContent>
      <w:p w14:paraId="7543561A" w14:textId="283523C2" w:rsidR="00E00596" w:rsidRDefault="00E005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96441D" w14:textId="77777777" w:rsidR="00BA1475" w:rsidRDefault="00BA147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6FE4F" w14:textId="77777777" w:rsidR="00BA1475" w:rsidRDefault="00BA1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8DEC6" w14:textId="77777777" w:rsidR="00BA1475" w:rsidRDefault="00BA1475" w:rsidP="00BA1475">
      <w:pPr>
        <w:spacing w:after="0" w:line="240" w:lineRule="auto"/>
      </w:pPr>
      <w:r>
        <w:separator/>
      </w:r>
    </w:p>
  </w:footnote>
  <w:footnote w:type="continuationSeparator" w:id="0">
    <w:p w14:paraId="3D3BC998" w14:textId="77777777" w:rsidR="00BA1475" w:rsidRDefault="00BA1475" w:rsidP="00BA1475">
      <w:pPr>
        <w:spacing w:after="0" w:line="240" w:lineRule="auto"/>
      </w:pPr>
      <w:r>
        <w:continuationSeparator/>
      </w:r>
    </w:p>
  </w:footnote>
  <w:footnote w:id="1">
    <w:p w14:paraId="4454FD48" w14:textId="77777777" w:rsidR="00BA1475" w:rsidRPr="00803637" w:rsidRDefault="00BA1475" w:rsidP="00BA1475">
      <w:pPr>
        <w:pStyle w:val="FootnoteText"/>
        <w:rPr>
          <w:rFonts w:ascii="Times New Roman" w:hAnsi="Times New Roman"/>
          <w:lang w:val="en-IE"/>
        </w:rPr>
      </w:pPr>
      <w:r w:rsidRPr="00E87C00">
        <w:rPr>
          <w:rStyle w:val="FootnoteReference"/>
          <w:rFonts w:ascii="Times New Roman" w:hAnsi="Times New Roman" w:cs="Times New Roman"/>
        </w:rPr>
        <w:footnoteRef/>
      </w:r>
      <w:r w:rsidRPr="00E87C00">
        <w:rPr>
          <w:rFonts w:ascii="Times New Roman" w:hAnsi="Times New Roman" w:cs="Times New Roman"/>
        </w:rPr>
        <w:tab/>
        <w:t>Regulation (EU) 2021/241 of the European Parliament and of the Council of 12 February 2021 establishing the Recovery and Resilience Facility, OJ L 057 18.2.2021, p. 17.</w:t>
      </w:r>
    </w:p>
  </w:footnote>
  <w:footnote w:id="2">
    <w:p w14:paraId="0B858821" w14:textId="77777777" w:rsidR="00BA1475" w:rsidRPr="00803637" w:rsidRDefault="00BA1475" w:rsidP="00BA1475">
      <w:pPr>
        <w:pStyle w:val="FootnoteText"/>
        <w:rPr>
          <w:rFonts w:ascii="Times New Roman" w:hAnsi="Times New Roman"/>
          <w:lang w:val="en-IE"/>
        </w:rPr>
      </w:pPr>
      <w:r w:rsidRPr="00E87C00">
        <w:rPr>
          <w:rStyle w:val="FootnoteReference"/>
          <w:rFonts w:ascii="Times New Roman" w:hAnsi="Times New Roman" w:cs="Times New Roman"/>
        </w:rPr>
        <w:footnoteRef/>
      </w:r>
      <w:r w:rsidRPr="00E87C00">
        <w:rPr>
          <w:rFonts w:ascii="Times New Roman" w:hAnsi="Times New Roman" w:cs="Times New Roman"/>
        </w:rPr>
        <w:t xml:space="preserve"> </w:t>
      </w:r>
      <w:r w:rsidRPr="00E87C00">
        <w:rPr>
          <w:rFonts w:ascii="Times New Roman" w:hAnsi="Times New Roman" w:cs="Times New Roman"/>
        </w:rPr>
        <w:tab/>
      </w:r>
      <w:r w:rsidRPr="00E87C00">
        <w:rPr>
          <w:rFonts w:ascii="Times New Roman" w:hAnsi="Times New Roman" w:cs="Times New Roman"/>
          <w:lang w:val="en-IE"/>
        </w:rPr>
        <w:t>15569/23; 15569/23</w:t>
      </w:r>
      <w:r w:rsidRPr="00E87C00">
        <w:rPr>
          <w:rFonts w:ascii="Times New Roman" w:hAnsi="Times New Roman" w:cs="Times New Roman"/>
        </w:rPr>
        <w:t xml:space="preserve"> </w:t>
      </w:r>
      <w:r w:rsidRPr="00E87C00">
        <w:rPr>
          <w:rFonts w:ascii="Times New Roman" w:hAnsi="Times New Roman" w:cs="Times New Roman"/>
          <w:lang w:val="en-IE"/>
        </w:rPr>
        <w:t>ADD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D180B" w14:textId="77777777" w:rsidR="00BA1475" w:rsidRPr="00BA1475" w:rsidRDefault="00BA1475" w:rsidP="00BA147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973D5" w14:textId="77777777" w:rsidR="00BA1475" w:rsidRPr="00BA1475" w:rsidRDefault="00BA1475" w:rsidP="00BA147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0D542" w14:textId="77777777" w:rsidR="00BA1475" w:rsidRPr="00BA1475" w:rsidRDefault="00BA1475" w:rsidP="00BA147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0CB8" w14:textId="77777777" w:rsidR="00BA1475" w:rsidRDefault="00BA14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CD767" w14:textId="77777777" w:rsidR="00BA1475" w:rsidRDefault="00BA14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1C14B" w14:textId="77777777" w:rsidR="00BA1475" w:rsidRDefault="00BA147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1C177" w14:textId="77777777" w:rsidR="00BA1475" w:rsidRDefault="00BA147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7C8AC" w14:textId="77777777" w:rsidR="00BA1475" w:rsidRDefault="00BA147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68E4" w14:textId="77777777" w:rsidR="00BA1475" w:rsidRDefault="00BA147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D7B3" w14:textId="77777777" w:rsidR="00BA1475" w:rsidRDefault="00BA147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4E95" w14:textId="77777777" w:rsidR="00BA1475" w:rsidRDefault="00BA147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A988" w14:textId="77777777" w:rsidR="00BA1475" w:rsidRDefault="00BA147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1A365" w14:textId="77777777" w:rsidR="00BA1475" w:rsidRDefault="00BA147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91AC" w14:textId="77777777" w:rsidR="00BA1475" w:rsidRDefault="00BA147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8A79" w14:textId="77777777" w:rsidR="00BA1475" w:rsidRDefault="00BA147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B088D" w14:textId="77777777" w:rsidR="00BA1475" w:rsidRDefault="00BA147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E40A5" w14:textId="77777777" w:rsidR="00BA1475" w:rsidRDefault="00BA147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81EC5" w14:textId="77777777" w:rsidR="00BA1475" w:rsidRDefault="00BA147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49416" w14:textId="77777777" w:rsidR="00BA1475" w:rsidRDefault="00BA147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E91C1" w14:textId="77777777" w:rsidR="00BA1475" w:rsidRDefault="00BA147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EA486" w14:textId="77777777" w:rsidR="00BA1475" w:rsidRDefault="00BA147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E39E4" w14:textId="77777777" w:rsidR="00BA1475" w:rsidRDefault="00BA147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5B681" w14:textId="77777777" w:rsidR="00BA1475" w:rsidRDefault="00BA147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19A4B" w14:textId="77777777" w:rsidR="00BA1475" w:rsidRDefault="00BA147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160D4" w14:textId="77777777" w:rsidR="00BA1475" w:rsidRDefault="00BA147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D061" w14:textId="77777777" w:rsidR="00BA1475" w:rsidRDefault="00BA1475">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6185D" w14:textId="77777777" w:rsidR="00BA1475" w:rsidRDefault="00BA14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4FF4A9E"/>
    <w:multiLevelType w:val="hybridMultilevel"/>
    <w:tmpl w:val="A54E5578"/>
    <w:lvl w:ilvl="0" w:tplc="40184EE2">
      <w:start w:val="1"/>
      <w:numFmt w:val="lowerLetter"/>
      <w:lvlText w:val="%1)"/>
      <w:lvlJc w:val="left"/>
      <w:pPr>
        <w:ind w:left="720" w:hanging="360"/>
      </w:pPr>
    </w:lvl>
    <w:lvl w:ilvl="1" w:tplc="B9D24F92">
      <w:start w:val="1"/>
      <w:numFmt w:val="lowerLetter"/>
      <w:lvlText w:val="%2."/>
      <w:lvlJc w:val="left"/>
      <w:pPr>
        <w:ind w:left="1440" w:hanging="360"/>
      </w:pPr>
    </w:lvl>
    <w:lvl w:ilvl="2" w:tplc="11F2D824">
      <w:start w:val="1"/>
      <w:numFmt w:val="lowerRoman"/>
      <w:lvlText w:val="%3."/>
      <w:lvlJc w:val="right"/>
      <w:pPr>
        <w:ind w:left="2160" w:hanging="180"/>
      </w:pPr>
    </w:lvl>
    <w:lvl w:ilvl="3" w:tplc="60A4FB20">
      <w:start w:val="1"/>
      <w:numFmt w:val="decimal"/>
      <w:lvlText w:val="%4."/>
      <w:lvlJc w:val="left"/>
      <w:pPr>
        <w:ind w:left="2880" w:hanging="360"/>
      </w:pPr>
    </w:lvl>
    <w:lvl w:ilvl="4" w:tplc="9D0E8BF2">
      <w:start w:val="1"/>
      <w:numFmt w:val="lowerLetter"/>
      <w:lvlText w:val="%5."/>
      <w:lvlJc w:val="left"/>
      <w:pPr>
        <w:ind w:left="3600" w:hanging="360"/>
      </w:pPr>
    </w:lvl>
    <w:lvl w:ilvl="5" w:tplc="662E70C8">
      <w:start w:val="1"/>
      <w:numFmt w:val="lowerRoman"/>
      <w:lvlText w:val="%6."/>
      <w:lvlJc w:val="right"/>
      <w:pPr>
        <w:ind w:left="4320" w:hanging="180"/>
      </w:pPr>
    </w:lvl>
    <w:lvl w:ilvl="6" w:tplc="1B14353C">
      <w:start w:val="1"/>
      <w:numFmt w:val="decimal"/>
      <w:lvlText w:val="%7."/>
      <w:lvlJc w:val="left"/>
      <w:pPr>
        <w:ind w:left="5040" w:hanging="360"/>
      </w:pPr>
    </w:lvl>
    <w:lvl w:ilvl="7" w:tplc="BFFA4F12">
      <w:start w:val="1"/>
      <w:numFmt w:val="lowerLetter"/>
      <w:lvlText w:val="%8."/>
      <w:lvlJc w:val="left"/>
      <w:pPr>
        <w:ind w:left="5760" w:hanging="360"/>
      </w:pPr>
    </w:lvl>
    <w:lvl w:ilvl="8" w:tplc="E886FF30">
      <w:start w:val="1"/>
      <w:numFmt w:val="lowerRoman"/>
      <w:lvlText w:val="%9."/>
      <w:lvlJc w:val="right"/>
      <w:pPr>
        <w:ind w:left="6480" w:hanging="180"/>
      </w:pPr>
    </w:lvl>
  </w:abstractNum>
  <w:abstractNum w:abstractNumId="5" w15:restartNumberingAfterBreak="0">
    <w:nsid w:val="06A17762"/>
    <w:multiLevelType w:val="hybridMultilevel"/>
    <w:tmpl w:val="72440050"/>
    <w:lvl w:ilvl="0" w:tplc="5B94B9EA">
      <w:start w:val="1"/>
      <w:numFmt w:val="lowerLetter"/>
      <w:lvlText w:val="%1)"/>
      <w:lvlJc w:val="left"/>
      <w:pPr>
        <w:ind w:left="720" w:hanging="360"/>
      </w:pPr>
    </w:lvl>
    <w:lvl w:ilvl="1" w:tplc="CDDE5D7E">
      <w:start w:val="1"/>
      <w:numFmt w:val="lowerLetter"/>
      <w:lvlText w:val="%2."/>
      <w:lvlJc w:val="left"/>
      <w:pPr>
        <w:ind w:left="1440" w:hanging="360"/>
      </w:pPr>
    </w:lvl>
    <w:lvl w:ilvl="2" w:tplc="32D0D278">
      <w:start w:val="1"/>
      <w:numFmt w:val="lowerRoman"/>
      <w:lvlText w:val="%3."/>
      <w:lvlJc w:val="right"/>
      <w:pPr>
        <w:ind w:left="2160" w:hanging="180"/>
      </w:pPr>
    </w:lvl>
    <w:lvl w:ilvl="3" w:tplc="C1349902">
      <w:start w:val="1"/>
      <w:numFmt w:val="decimal"/>
      <w:lvlText w:val="%4."/>
      <w:lvlJc w:val="left"/>
      <w:pPr>
        <w:ind w:left="2880" w:hanging="360"/>
      </w:pPr>
    </w:lvl>
    <w:lvl w:ilvl="4" w:tplc="8DFA53D6">
      <w:start w:val="1"/>
      <w:numFmt w:val="lowerLetter"/>
      <w:lvlText w:val="%5."/>
      <w:lvlJc w:val="left"/>
      <w:pPr>
        <w:ind w:left="3600" w:hanging="360"/>
      </w:pPr>
    </w:lvl>
    <w:lvl w:ilvl="5" w:tplc="981E58E0">
      <w:start w:val="1"/>
      <w:numFmt w:val="lowerRoman"/>
      <w:lvlText w:val="%6."/>
      <w:lvlJc w:val="right"/>
      <w:pPr>
        <w:ind w:left="4320" w:hanging="180"/>
      </w:pPr>
    </w:lvl>
    <w:lvl w:ilvl="6" w:tplc="160063E6">
      <w:start w:val="1"/>
      <w:numFmt w:val="decimal"/>
      <w:lvlText w:val="%7."/>
      <w:lvlJc w:val="left"/>
      <w:pPr>
        <w:ind w:left="5040" w:hanging="360"/>
      </w:pPr>
    </w:lvl>
    <w:lvl w:ilvl="7" w:tplc="05AA8406">
      <w:start w:val="1"/>
      <w:numFmt w:val="lowerLetter"/>
      <w:lvlText w:val="%8."/>
      <w:lvlJc w:val="left"/>
      <w:pPr>
        <w:ind w:left="5760" w:hanging="360"/>
      </w:pPr>
    </w:lvl>
    <w:lvl w:ilvl="8" w:tplc="4880A526">
      <w:start w:val="1"/>
      <w:numFmt w:val="lowerRoman"/>
      <w:lvlText w:val="%9."/>
      <w:lvlJc w:val="right"/>
      <w:pPr>
        <w:ind w:left="6480" w:hanging="180"/>
      </w:pPr>
    </w:lvl>
  </w:abstractNum>
  <w:abstractNum w:abstractNumId="6" w15:restartNumberingAfterBreak="0">
    <w:nsid w:val="06E81C14"/>
    <w:multiLevelType w:val="hybridMultilevel"/>
    <w:tmpl w:val="513252C6"/>
    <w:lvl w:ilvl="0" w:tplc="4F2EEB80">
      <w:numFmt w:val="bullet"/>
      <w:lvlText w:val="-"/>
      <w:lvlJc w:val="left"/>
      <w:pPr>
        <w:ind w:left="720" w:hanging="360"/>
      </w:pPr>
      <w:rPr>
        <w:rFonts w:ascii="Arial Narrow" w:eastAsiaTheme="minorEastAsia" w:hAnsi="Arial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ED0477"/>
    <w:multiLevelType w:val="hybridMultilevel"/>
    <w:tmpl w:val="E4DEACE4"/>
    <w:lvl w:ilvl="0" w:tplc="56D48F9A">
      <w:start w:val="1"/>
      <w:numFmt w:val="lowerLetter"/>
      <w:lvlText w:val="%1)"/>
      <w:lvlJc w:val="left"/>
      <w:pPr>
        <w:ind w:left="720" w:hanging="360"/>
      </w:pPr>
    </w:lvl>
    <w:lvl w:ilvl="1" w:tplc="86E0B386">
      <w:start w:val="1"/>
      <w:numFmt w:val="lowerLetter"/>
      <w:lvlText w:val="%2."/>
      <w:lvlJc w:val="left"/>
      <w:pPr>
        <w:ind w:left="1440" w:hanging="360"/>
      </w:pPr>
    </w:lvl>
    <w:lvl w:ilvl="2" w:tplc="B660F9B8">
      <w:start w:val="1"/>
      <w:numFmt w:val="lowerRoman"/>
      <w:lvlText w:val="%3."/>
      <w:lvlJc w:val="right"/>
      <w:pPr>
        <w:ind w:left="2160" w:hanging="180"/>
      </w:pPr>
    </w:lvl>
    <w:lvl w:ilvl="3" w:tplc="C006599A">
      <w:start w:val="1"/>
      <w:numFmt w:val="decimal"/>
      <w:lvlText w:val="%4."/>
      <w:lvlJc w:val="left"/>
      <w:pPr>
        <w:ind w:left="2880" w:hanging="360"/>
      </w:pPr>
    </w:lvl>
    <w:lvl w:ilvl="4" w:tplc="FCC832B0">
      <w:start w:val="1"/>
      <w:numFmt w:val="lowerLetter"/>
      <w:lvlText w:val="%5."/>
      <w:lvlJc w:val="left"/>
      <w:pPr>
        <w:ind w:left="3600" w:hanging="360"/>
      </w:pPr>
    </w:lvl>
    <w:lvl w:ilvl="5" w:tplc="FD429B1C">
      <w:start w:val="1"/>
      <w:numFmt w:val="lowerRoman"/>
      <w:lvlText w:val="%6."/>
      <w:lvlJc w:val="right"/>
      <w:pPr>
        <w:ind w:left="4320" w:hanging="180"/>
      </w:pPr>
    </w:lvl>
    <w:lvl w:ilvl="6" w:tplc="1A822DDC">
      <w:start w:val="1"/>
      <w:numFmt w:val="decimal"/>
      <w:lvlText w:val="%7."/>
      <w:lvlJc w:val="left"/>
      <w:pPr>
        <w:ind w:left="5040" w:hanging="360"/>
      </w:pPr>
    </w:lvl>
    <w:lvl w:ilvl="7" w:tplc="9CC26FDE">
      <w:start w:val="1"/>
      <w:numFmt w:val="lowerLetter"/>
      <w:lvlText w:val="%8."/>
      <w:lvlJc w:val="left"/>
      <w:pPr>
        <w:ind w:left="5760" w:hanging="360"/>
      </w:pPr>
    </w:lvl>
    <w:lvl w:ilvl="8" w:tplc="36E0C0D4">
      <w:start w:val="1"/>
      <w:numFmt w:val="lowerRoman"/>
      <w:lvlText w:val="%9."/>
      <w:lvlJc w:val="right"/>
      <w:pPr>
        <w:ind w:left="6480" w:hanging="180"/>
      </w:pPr>
    </w:lvl>
  </w:abstractNum>
  <w:abstractNum w:abstractNumId="8" w15:restartNumberingAfterBreak="0">
    <w:nsid w:val="174D1977"/>
    <w:multiLevelType w:val="hybridMultilevel"/>
    <w:tmpl w:val="2B34BA8A"/>
    <w:lvl w:ilvl="0" w:tplc="B428DEA6">
      <w:start w:val="1"/>
      <w:numFmt w:val="lowerLetter"/>
      <w:lvlText w:val="%1)"/>
      <w:lvlJc w:val="left"/>
      <w:pPr>
        <w:ind w:left="720" w:hanging="360"/>
      </w:pPr>
    </w:lvl>
    <w:lvl w:ilvl="1" w:tplc="333AB6A8">
      <w:start w:val="1"/>
      <w:numFmt w:val="lowerLetter"/>
      <w:lvlText w:val="%2."/>
      <w:lvlJc w:val="left"/>
      <w:pPr>
        <w:ind w:left="1440" w:hanging="360"/>
      </w:pPr>
    </w:lvl>
    <w:lvl w:ilvl="2" w:tplc="C004FC00">
      <w:start w:val="1"/>
      <w:numFmt w:val="lowerRoman"/>
      <w:lvlText w:val="%3."/>
      <w:lvlJc w:val="right"/>
      <w:pPr>
        <w:ind w:left="2160" w:hanging="180"/>
      </w:pPr>
    </w:lvl>
    <w:lvl w:ilvl="3" w:tplc="22EAD282">
      <w:start w:val="1"/>
      <w:numFmt w:val="decimal"/>
      <w:lvlText w:val="%4."/>
      <w:lvlJc w:val="left"/>
      <w:pPr>
        <w:ind w:left="2880" w:hanging="360"/>
      </w:pPr>
    </w:lvl>
    <w:lvl w:ilvl="4" w:tplc="62527FBC">
      <w:start w:val="1"/>
      <w:numFmt w:val="lowerLetter"/>
      <w:lvlText w:val="%5."/>
      <w:lvlJc w:val="left"/>
      <w:pPr>
        <w:ind w:left="3600" w:hanging="360"/>
      </w:pPr>
    </w:lvl>
    <w:lvl w:ilvl="5" w:tplc="B74C9478">
      <w:start w:val="1"/>
      <w:numFmt w:val="lowerRoman"/>
      <w:lvlText w:val="%6."/>
      <w:lvlJc w:val="right"/>
      <w:pPr>
        <w:ind w:left="4320" w:hanging="180"/>
      </w:pPr>
    </w:lvl>
    <w:lvl w:ilvl="6" w:tplc="2A008A1C">
      <w:start w:val="1"/>
      <w:numFmt w:val="decimal"/>
      <w:lvlText w:val="%7."/>
      <w:lvlJc w:val="left"/>
      <w:pPr>
        <w:ind w:left="5040" w:hanging="360"/>
      </w:pPr>
    </w:lvl>
    <w:lvl w:ilvl="7" w:tplc="ED8A8076">
      <w:start w:val="1"/>
      <w:numFmt w:val="lowerLetter"/>
      <w:lvlText w:val="%8."/>
      <w:lvlJc w:val="left"/>
      <w:pPr>
        <w:ind w:left="5760" w:hanging="360"/>
      </w:pPr>
    </w:lvl>
    <w:lvl w:ilvl="8" w:tplc="8E582D18">
      <w:start w:val="1"/>
      <w:numFmt w:val="lowerRoman"/>
      <w:lvlText w:val="%9."/>
      <w:lvlJc w:val="right"/>
      <w:pPr>
        <w:ind w:left="6480" w:hanging="180"/>
      </w:pPr>
    </w:lvl>
  </w:abstractNum>
  <w:abstractNum w:abstractNumId="9" w15:restartNumberingAfterBreak="0">
    <w:nsid w:val="17903424"/>
    <w:multiLevelType w:val="hybridMultilevel"/>
    <w:tmpl w:val="25849E9E"/>
    <w:lvl w:ilvl="0" w:tplc="E5D6D2E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7A76257"/>
    <w:multiLevelType w:val="hybridMultilevel"/>
    <w:tmpl w:val="FFFFFFFF"/>
    <w:lvl w:ilvl="0" w:tplc="88A2362A">
      <w:start w:val="1"/>
      <w:numFmt w:val="bullet"/>
      <w:lvlText w:val=""/>
      <w:lvlJc w:val="left"/>
      <w:pPr>
        <w:ind w:left="720" w:hanging="360"/>
      </w:pPr>
      <w:rPr>
        <w:rFonts w:ascii="Symbol" w:hAnsi="Symbol" w:hint="default"/>
      </w:rPr>
    </w:lvl>
    <w:lvl w:ilvl="1" w:tplc="44A26E8E">
      <w:start w:val="1"/>
      <w:numFmt w:val="bullet"/>
      <w:lvlText w:val="o"/>
      <w:lvlJc w:val="left"/>
      <w:pPr>
        <w:ind w:left="1440" w:hanging="360"/>
      </w:pPr>
      <w:rPr>
        <w:rFonts w:ascii="Courier New" w:hAnsi="Courier New" w:hint="default"/>
      </w:rPr>
    </w:lvl>
    <w:lvl w:ilvl="2" w:tplc="B712B9DC">
      <w:start w:val="1"/>
      <w:numFmt w:val="bullet"/>
      <w:lvlText w:val=""/>
      <w:lvlJc w:val="left"/>
      <w:pPr>
        <w:ind w:left="2160" w:hanging="360"/>
      </w:pPr>
      <w:rPr>
        <w:rFonts w:ascii="Wingdings" w:hAnsi="Wingdings" w:hint="default"/>
      </w:rPr>
    </w:lvl>
    <w:lvl w:ilvl="3" w:tplc="B68A4742">
      <w:start w:val="1"/>
      <w:numFmt w:val="bullet"/>
      <w:lvlText w:val=""/>
      <w:lvlJc w:val="left"/>
      <w:pPr>
        <w:ind w:left="2880" w:hanging="360"/>
      </w:pPr>
      <w:rPr>
        <w:rFonts w:ascii="Symbol" w:hAnsi="Symbol" w:hint="default"/>
      </w:rPr>
    </w:lvl>
    <w:lvl w:ilvl="4" w:tplc="35428C36">
      <w:start w:val="1"/>
      <w:numFmt w:val="bullet"/>
      <w:lvlText w:val="o"/>
      <w:lvlJc w:val="left"/>
      <w:pPr>
        <w:ind w:left="3600" w:hanging="360"/>
      </w:pPr>
      <w:rPr>
        <w:rFonts w:ascii="Courier New" w:hAnsi="Courier New" w:hint="default"/>
      </w:rPr>
    </w:lvl>
    <w:lvl w:ilvl="5" w:tplc="890AE8BC">
      <w:start w:val="1"/>
      <w:numFmt w:val="bullet"/>
      <w:lvlText w:val=""/>
      <w:lvlJc w:val="left"/>
      <w:pPr>
        <w:ind w:left="4320" w:hanging="360"/>
      </w:pPr>
      <w:rPr>
        <w:rFonts w:ascii="Wingdings" w:hAnsi="Wingdings" w:hint="default"/>
      </w:rPr>
    </w:lvl>
    <w:lvl w:ilvl="6" w:tplc="288E19B2">
      <w:start w:val="1"/>
      <w:numFmt w:val="bullet"/>
      <w:lvlText w:val=""/>
      <w:lvlJc w:val="left"/>
      <w:pPr>
        <w:ind w:left="5040" w:hanging="360"/>
      </w:pPr>
      <w:rPr>
        <w:rFonts w:ascii="Symbol" w:hAnsi="Symbol" w:hint="default"/>
      </w:rPr>
    </w:lvl>
    <w:lvl w:ilvl="7" w:tplc="3E08292C">
      <w:start w:val="1"/>
      <w:numFmt w:val="bullet"/>
      <w:lvlText w:val="o"/>
      <w:lvlJc w:val="left"/>
      <w:pPr>
        <w:ind w:left="5760" w:hanging="360"/>
      </w:pPr>
      <w:rPr>
        <w:rFonts w:ascii="Courier New" w:hAnsi="Courier New" w:hint="default"/>
      </w:rPr>
    </w:lvl>
    <w:lvl w:ilvl="8" w:tplc="CC34A436">
      <w:start w:val="1"/>
      <w:numFmt w:val="bullet"/>
      <w:lvlText w:val=""/>
      <w:lvlJc w:val="left"/>
      <w:pPr>
        <w:ind w:left="6480" w:hanging="360"/>
      </w:pPr>
      <w:rPr>
        <w:rFonts w:ascii="Wingdings" w:hAnsi="Wingdings" w:hint="default"/>
      </w:rPr>
    </w:lvl>
  </w:abstractNum>
  <w:abstractNum w:abstractNumId="11" w15:restartNumberingAfterBreak="0">
    <w:nsid w:val="1A2C4168"/>
    <w:multiLevelType w:val="hybridMultilevel"/>
    <w:tmpl w:val="DC400686"/>
    <w:lvl w:ilvl="0" w:tplc="9B30FFFA">
      <w:start w:val="1"/>
      <w:numFmt w:val="lowerLetter"/>
      <w:lvlText w:val="%1)"/>
      <w:lvlJc w:val="left"/>
      <w:pPr>
        <w:ind w:left="360" w:hanging="360"/>
      </w:pPr>
    </w:lvl>
    <w:lvl w:ilvl="1" w:tplc="D09A2CAC">
      <w:start w:val="1"/>
      <w:numFmt w:val="lowerLetter"/>
      <w:lvlText w:val="%2."/>
      <w:lvlJc w:val="left"/>
      <w:pPr>
        <w:ind w:left="1080" w:hanging="360"/>
      </w:pPr>
    </w:lvl>
    <w:lvl w:ilvl="2" w:tplc="0C8E02E6">
      <w:start w:val="1"/>
      <w:numFmt w:val="lowerRoman"/>
      <w:lvlText w:val="%3."/>
      <w:lvlJc w:val="right"/>
      <w:pPr>
        <w:ind w:left="1800" w:hanging="180"/>
      </w:pPr>
    </w:lvl>
    <w:lvl w:ilvl="3" w:tplc="7472B860">
      <w:start w:val="1"/>
      <w:numFmt w:val="decimal"/>
      <w:lvlText w:val="%4."/>
      <w:lvlJc w:val="left"/>
      <w:pPr>
        <w:ind w:left="2520" w:hanging="360"/>
      </w:pPr>
    </w:lvl>
    <w:lvl w:ilvl="4" w:tplc="DBF28536">
      <w:start w:val="1"/>
      <w:numFmt w:val="lowerLetter"/>
      <w:lvlText w:val="%5."/>
      <w:lvlJc w:val="left"/>
      <w:pPr>
        <w:ind w:left="3240" w:hanging="360"/>
      </w:pPr>
    </w:lvl>
    <w:lvl w:ilvl="5" w:tplc="EABE4166">
      <w:start w:val="1"/>
      <w:numFmt w:val="lowerRoman"/>
      <w:lvlText w:val="%6."/>
      <w:lvlJc w:val="right"/>
      <w:pPr>
        <w:ind w:left="3960" w:hanging="180"/>
      </w:pPr>
    </w:lvl>
    <w:lvl w:ilvl="6" w:tplc="52620142">
      <w:start w:val="1"/>
      <w:numFmt w:val="decimal"/>
      <w:lvlText w:val="%7."/>
      <w:lvlJc w:val="left"/>
      <w:pPr>
        <w:ind w:left="4680" w:hanging="360"/>
      </w:pPr>
    </w:lvl>
    <w:lvl w:ilvl="7" w:tplc="822E93F2">
      <w:start w:val="1"/>
      <w:numFmt w:val="lowerLetter"/>
      <w:lvlText w:val="%8."/>
      <w:lvlJc w:val="left"/>
      <w:pPr>
        <w:ind w:left="5400" w:hanging="360"/>
      </w:pPr>
    </w:lvl>
    <w:lvl w:ilvl="8" w:tplc="1EA4CCB0">
      <w:start w:val="1"/>
      <w:numFmt w:val="lowerRoman"/>
      <w:lvlText w:val="%9."/>
      <w:lvlJc w:val="right"/>
      <w:pPr>
        <w:ind w:left="6120" w:hanging="180"/>
      </w:pPr>
    </w:lvl>
  </w:abstractNum>
  <w:abstractNum w:abstractNumId="12" w15:restartNumberingAfterBreak="0">
    <w:nsid w:val="1A833C9D"/>
    <w:multiLevelType w:val="hybridMultilevel"/>
    <w:tmpl w:val="86725CF0"/>
    <w:lvl w:ilvl="0" w:tplc="FFFFFFFF">
      <w:start w:val="1"/>
      <w:numFmt w:val="lowerLetter"/>
      <w:lvlText w:val="%1)"/>
      <w:lvlJc w:val="left"/>
      <w:pPr>
        <w:ind w:left="720" w:hanging="360"/>
      </w:pPr>
    </w:lvl>
    <w:lvl w:ilvl="1" w:tplc="80E43132">
      <w:start w:val="1"/>
      <w:numFmt w:val="lowerLetter"/>
      <w:lvlText w:val="%2."/>
      <w:lvlJc w:val="left"/>
      <w:pPr>
        <w:ind w:left="1440" w:hanging="360"/>
      </w:pPr>
    </w:lvl>
    <w:lvl w:ilvl="2" w:tplc="B914C622">
      <w:start w:val="1"/>
      <w:numFmt w:val="lowerRoman"/>
      <w:lvlText w:val="%3."/>
      <w:lvlJc w:val="right"/>
      <w:pPr>
        <w:ind w:left="2160" w:hanging="180"/>
      </w:pPr>
    </w:lvl>
    <w:lvl w:ilvl="3" w:tplc="A8D8F386">
      <w:start w:val="1"/>
      <w:numFmt w:val="decimal"/>
      <w:lvlText w:val="%4."/>
      <w:lvlJc w:val="left"/>
      <w:pPr>
        <w:ind w:left="2880" w:hanging="360"/>
      </w:pPr>
    </w:lvl>
    <w:lvl w:ilvl="4" w:tplc="F740E86C">
      <w:start w:val="1"/>
      <w:numFmt w:val="lowerLetter"/>
      <w:lvlText w:val="%5."/>
      <w:lvlJc w:val="left"/>
      <w:pPr>
        <w:ind w:left="3600" w:hanging="360"/>
      </w:pPr>
    </w:lvl>
    <w:lvl w:ilvl="5" w:tplc="01B0FEA2">
      <w:start w:val="1"/>
      <w:numFmt w:val="lowerRoman"/>
      <w:lvlText w:val="%6."/>
      <w:lvlJc w:val="right"/>
      <w:pPr>
        <w:ind w:left="4320" w:hanging="180"/>
      </w:pPr>
    </w:lvl>
    <w:lvl w:ilvl="6" w:tplc="25360D62">
      <w:start w:val="1"/>
      <w:numFmt w:val="decimal"/>
      <w:lvlText w:val="%7."/>
      <w:lvlJc w:val="left"/>
      <w:pPr>
        <w:ind w:left="5040" w:hanging="360"/>
      </w:pPr>
    </w:lvl>
    <w:lvl w:ilvl="7" w:tplc="D21E44C4">
      <w:start w:val="1"/>
      <w:numFmt w:val="lowerLetter"/>
      <w:lvlText w:val="%8."/>
      <w:lvlJc w:val="left"/>
      <w:pPr>
        <w:ind w:left="5760" w:hanging="360"/>
      </w:pPr>
    </w:lvl>
    <w:lvl w:ilvl="8" w:tplc="6778ECF0">
      <w:start w:val="1"/>
      <w:numFmt w:val="lowerRoman"/>
      <w:lvlText w:val="%9."/>
      <w:lvlJc w:val="right"/>
      <w:pPr>
        <w:ind w:left="6480" w:hanging="180"/>
      </w:pPr>
    </w:lvl>
  </w:abstractNum>
  <w:abstractNum w:abstractNumId="1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1E2479A5"/>
    <w:multiLevelType w:val="hybridMultilevel"/>
    <w:tmpl w:val="EC5ABF86"/>
    <w:lvl w:ilvl="0" w:tplc="0906A290">
      <w:start w:val="1"/>
      <w:numFmt w:val="lowerLetter"/>
      <w:lvlText w:val="%1)"/>
      <w:lvlJc w:val="left"/>
      <w:pPr>
        <w:ind w:left="720" w:hanging="360"/>
      </w:pPr>
    </w:lvl>
    <w:lvl w:ilvl="1" w:tplc="DD9062D8">
      <w:start w:val="1"/>
      <w:numFmt w:val="lowerLetter"/>
      <w:lvlText w:val="%2."/>
      <w:lvlJc w:val="left"/>
      <w:pPr>
        <w:ind w:left="1440" w:hanging="360"/>
      </w:pPr>
    </w:lvl>
    <w:lvl w:ilvl="2" w:tplc="4ED0E33E">
      <w:start w:val="1"/>
      <w:numFmt w:val="lowerRoman"/>
      <w:lvlText w:val="%3."/>
      <w:lvlJc w:val="right"/>
      <w:pPr>
        <w:ind w:left="2160" w:hanging="180"/>
      </w:pPr>
    </w:lvl>
    <w:lvl w:ilvl="3" w:tplc="66D8F990">
      <w:start w:val="1"/>
      <w:numFmt w:val="decimal"/>
      <w:lvlText w:val="%4."/>
      <w:lvlJc w:val="left"/>
      <w:pPr>
        <w:ind w:left="2880" w:hanging="360"/>
      </w:pPr>
    </w:lvl>
    <w:lvl w:ilvl="4" w:tplc="96A0F692">
      <w:start w:val="1"/>
      <w:numFmt w:val="lowerLetter"/>
      <w:lvlText w:val="%5."/>
      <w:lvlJc w:val="left"/>
      <w:pPr>
        <w:ind w:left="3600" w:hanging="360"/>
      </w:pPr>
    </w:lvl>
    <w:lvl w:ilvl="5" w:tplc="EDF0A0B8">
      <w:start w:val="1"/>
      <w:numFmt w:val="lowerRoman"/>
      <w:lvlText w:val="%6."/>
      <w:lvlJc w:val="right"/>
      <w:pPr>
        <w:ind w:left="4320" w:hanging="180"/>
      </w:pPr>
    </w:lvl>
    <w:lvl w:ilvl="6" w:tplc="2B4663D0">
      <w:start w:val="1"/>
      <w:numFmt w:val="decimal"/>
      <w:lvlText w:val="%7."/>
      <w:lvlJc w:val="left"/>
      <w:pPr>
        <w:ind w:left="5040" w:hanging="360"/>
      </w:pPr>
    </w:lvl>
    <w:lvl w:ilvl="7" w:tplc="80D88272">
      <w:start w:val="1"/>
      <w:numFmt w:val="lowerLetter"/>
      <w:lvlText w:val="%8."/>
      <w:lvlJc w:val="left"/>
      <w:pPr>
        <w:ind w:left="5760" w:hanging="360"/>
      </w:pPr>
    </w:lvl>
    <w:lvl w:ilvl="8" w:tplc="D9AEA072">
      <w:start w:val="1"/>
      <w:numFmt w:val="lowerRoman"/>
      <w:lvlText w:val="%9."/>
      <w:lvlJc w:val="right"/>
      <w:pPr>
        <w:ind w:left="6480" w:hanging="180"/>
      </w:pPr>
    </w:lvl>
  </w:abstractNum>
  <w:abstractNum w:abstractNumId="15" w15:restartNumberingAfterBreak="0">
    <w:nsid w:val="1E600FD6"/>
    <w:multiLevelType w:val="hybridMultilevel"/>
    <w:tmpl w:val="4CD0261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1ECD4A9B"/>
    <w:multiLevelType w:val="hybridMultilevel"/>
    <w:tmpl w:val="C556EE5E"/>
    <w:lvl w:ilvl="0" w:tplc="3CCEFCE8">
      <w:start w:val="1"/>
      <w:numFmt w:val="lowerLetter"/>
      <w:lvlText w:val="%1)"/>
      <w:lvlJc w:val="left"/>
      <w:pPr>
        <w:ind w:left="720" w:hanging="360"/>
      </w:pPr>
    </w:lvl>
    <w:lvl w:ilvl="1" w:tplc="0682EC2A">
      <w:start w:val="1"/>
      <w:numFmt w:val="lowerLetter"/>
      <w:lvlText w:val="%2."/>
      <w:lvlJc w:val="left"/>
      <w:pPr>
        <w:ind w:left="1440" w:hanging="360"/>
      </w:pPr>
    </w:lvl>
    <w:lvl w:ilvl="2" w:tplc="93C68AE6">
      <w:start w:val="1"/>
      <w:numFmt w:val="lowerRoman"/>
      <w:lvlText w:val="%3."/>
      <w:lvlJc w:val="right"/>
      <w:pPr>
        <w:ind w:left="2160" w:hanging="180"/>
      </w:pPr>
    </w:lvl>
    <w:lvl w:ilvl="3" w:tplc="FE9A24E4">
      <w:start w:val="1"/>
      <w:numFmt w:val="decimal"/>
      <w:lvlText w:val="%4."/>
      <w:lvlJc w:val="left"/>
      <w:pPr>
        <w:ind w:left="2880" w:hanging="360"/>
      </w:pPr>
    </w:lvl>
    <w:lvl w:ilvl="4" w:tplc="A58A16F8">
      <w:start w:val="1"/>
      <w:numFmt w:val="lowerLetter"/>
      <w:lvlText w:val="%5."/>
      <w:lvlJc w:val="left"/>
      <w:pPr>
        <w:ind w:left="3600" w:hanging="360"/>
      </w:pPr>
    </w:lvl>
    <w:lvl w:ilvl="5" w:tplc="83E0C73C">
      <w:start w:val="1"/>
      <w:numFmt w:val="lowerRoman"/>
      <w:lvlText w:val="%6."/>
      <w:lvlJc w:val="right"/>
      <w:pPr>
        <w:ind w:left="4320" w:hanging="180"/>
      </w:pPr>
    </w:lvl>
    <w:lvl w:ilvl="6" w:tplc="CDFA6630">
      <w:start w:val="1"/>
      <w:numFmt w:val="decimal"/>
      <w:lvlText w:val="%7."/>
      <w:lvlJc w:val="left"/>
      <w:pPr>
        <w:ind w:left="5040" w:hanging="360"/>
      </w:pPr>
    </w:lvl>
    <w:lvl w:ilvl="7" w:tplc="A6D49CDA">
      <w:start w:val="1"/>
      <w:numFmt w:val="lowerLetter"/>
      <w:lvlText w:val="%8."/>
      <w:lvlJc w:val="left"/>
      <w:pPr>
        <w:ind w:left="5760" w:hanging="360"/>
      </w:pPr>
    </w:lvl>
    <w:lvl w:ilvl="8" w:tplc="E7683C98">
      <w:start w:val="1"/>
      <w:numFmt w:val="lowerRoman"/>
      <w:lvlText w:val="%9."/>
      <w:lvlJc w:val="right"/>
      <w:pPr>
        <w:ind w:left="6480" w:hanging="180"/>
      </w:pPr>
    </w:lvl>
  </w:abstractNum>
  <w:abstractNum w:abstractNumId="17" w15:restartNumberingAfterBreak="0">
    <w:nsid w:val="225B2E4E"/>
    <w:multiLevelType w:val="hybridMultilevel"/>
    <w:tmpl w:val="3372F228"/>
    <w:lvl w:ilvl="0" w:tplc="9778754C">
      <w:start w:val="1"/>
      <w:numFmt w:val="lowerLetter"/>
      <w:lvlText w:val="%1)"/>
      <w:lvlJc w:val="left"/>
      <w:pPr>
        <w:ind w:left="720" w:hanging="360"/>
      </w:pPr>
    </w:lvl>
    <w:lvl w:ilvl="1" w:tplc="4DBED730">
      <w:start w:val="1"/>
      <w:numFmt w:val="lowerLetter"/>
      <w:lvlText w:val="%2."/>
      <w:lvlJc w:val="left"/>
      <w:pPr>
        <w:ind w:left="1440" w:hanging="360"/>
      </w:pPr>
    </w:lvl>
    <w:lvl w:ilvl="2" w:tplc="F3E43B00">
      <w:start w:val="1"/>
      <w:numFmt w:val="lowerRoman"/>
      <w:lvlText w:val="%3."/>
      <w:lvlJc w:val="right"/>
      <w:pPr>
        <w:ind w:left="2160" w:hanging="180"/>
      </w:pPr>
    </w:lvl>
    <w:lvl w:ilvl="3" w:tplc="DBD2B204">
      <w:start w:val="1"/>
      <w:numFmt w:val="decimal"/>
      <w:lvlText w:val="%4."/>
      <w:lvlJc w:val="left"/>
      <w:pPr>
        <w:ind w:left="2880" w:hanging="360"/>
      </w:pPr>
    </w:lvl>
    <w:lvl w:ilvl="4" w:tplc="F5AEAD20">
      <w:start w:val="1"/>
      <w:numFmt w:val="lowerLetter"/>
      <w:lvlText w:val="%5."/>
      <w:lvlJc w:val="left"/>
      <w:pPr>
        <w:ind w:left="3600" w:hanging="360"/>
      </w:pPr>
    </w:lvl>
    <w:lvl w:ilvl="5" w:tplc="164A7216">
      <w:start w:val="1"/>
      <w:numFmt w:val="lowerRoman"/>
      <w:lvlText w:val="%6."/>
      <w:lvlJc w:val="right"/>
      <w:pPr>
        <w:ind w:left="4320" w:hanging="180"/>
      </w:pPr>
    </w:lvl>
    <w:lvl w:ilvl="6" w:tplc="4B9887BA">
      <w:start w:val="1"/>
      <w:numFmt w:val="decimal"/>
      <w:lvlText w:val="%7."/>
      <w:lvlJc w:val="left"/>
      <w:pPr>
        <w:ind w:left="5040" w:hanging="360"/>
      </w:pPr>
    </w:lvl>
    <w:lvl w:ilvl="7" w:tplc="4EAEF73A">
      <w:start w:val="1"/>
      <w:numFmt w:val="lowerLetter"/>
      <w:lvlText w:val="%8."/>
      <w:lvlJc w:val="left"/>
      <w:pPr>
        <w:ind w:left="5760" w:hanging="360"/>
      </w:pPr>
    </w:lvl>
    <w:lvl w:ilvl="8" w:tplc="01F8E04A">
      <w:start w:val="1"/>
      <w:numFmt w:val="lowerRoman"/>
      <w:lvlText w:val="%9."/>
      <w:lvlJc w:val="right"/>
      <w:pPr>
        <w:ind w:left="6480" w:hanging="180"/>
      </w:pPr>
    </w:lvl>
  </w:abstractNum>
  <w:abstractNum w:abstractNumId="1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4F1660E"/>
    <w:multiLevelType w:val="hybridMultilevel"/>
    <w:tmpl w:val="F2A8BA00"/>
    <w:lvl w:ilvl="0" w:tplc="41000E7A">
      <w:start w:val="1"/>
      <w:numFmt w:val="lowerLetter"/>
      <w:lvlText w:val="%1)"/>
      <w:lvlJc w:val="left"/>
      <w:pPr>
        <w:ind w:left="720" w:hanging="360"/>
      </w:pPr>
    </w:lvl>
    <w:lvl w:ilvl="1" w:tplc="E11A47AA">
      <w:start w:val="1"/>
      <w:numFmt w:val="lowerLetter"/>
      <w:lvlText w:val="%2."/>
      <w:lvlJc w:val="left"/>
      <w:pPr>
        <w:ind w:left="1440" w:hanging="360"/>
      </w:pPr>
    </w:lvl>
    <w:lvl w:ilvl="2" w:tplc="B20632DE">
      <w:start w:val="1"/>
      <w:numFmt w:val="lowerRoman"/>
      <w:lvlText w:val="%3."/>
      <w:lvlJc w:val="right"/>
      <w:pPr>
        <w:ind w:left="2160" w:hanging="180"/>
      </w:pPr>
    </w:lvl>
    <w:lvl w:ilvl="3" w:tplc="EB1C1788">
      <w:start w:val="1"/>
      <w:numFmt w:val="decimal"/>
      <w:lvlText w:val="%4."/>
      <w:lvlJc w:val="left"/>
      <w:pPr>
        <w:ind w:left="2880" w:hanging="360"/>
      </w:pPr>
    </w:lvl>
    <w:lvl w:ilvl="4" w:tplc="0532A54C">
      <w:start w:val="1"/>
      <w:numFmt w:val="lowerLetter"/>
      <w:lvlText w:val="%5."/>
      <w:lvlJc w:val="left"/>
      <w:pPr>
        <w:ind w:left="3600" w:hanging="360"/>
      </w:pPr>
    </w:lvl>
    <w:lvl w:ilvl="5" w:tplc="C8F4F582">
      <w:start w:val="1"/>
      <w:numFmt w:val="lowerRoman"/>
      <w:lvlText w:val="%6."/>
      <w:lvlJc w:val="right"/>
      <w:pPr>
        <w:ind w:left="4320" w:hanging="180"/>
      </w:pPr>
    </w:lvl>
    <w:lvl w:ilvl="6" w:tplc="455894B6">
      <w:start w:val="1"/>
      <w:numFmt w:val="decimal"/>
      <w:lvlText w:val="%7."/>
      <w:lvlJc w:val="left"/>
      <w:pPr>
        <w:ind w:left="5040" w:hanging="360"/>
      </w:pPr>
    </w:lvl>
    <w:lvl w:ilvl="7" w:tplc="A350B39C">
      <w:start w:val="1"/>
      <w:numFmt w:val="lowerLetter"/>
      <w:lvlText w:val="%8."/>
      <w:lvlJc w:val="left"/>
      <w:pPr>
        <w:ind w:left="5760" w:hanging="360"/>
      </w:pPr>
    </w:lvl>
    <w:lvl w:ilvl="8" w:tplc="EF2AC396">
      <w:start w:val="1"/>
      <w:numFmt w:val="lowerRoman"/>
      <w:lvlText w:val="%9."/>
      <w:lvlJc w:val="right"/>
      <w:pPr>
        <w:ind w:left="6480" w:hanging="180"/>
      </w:pPr>
    </w:lvl>
  </w:abstractNum>
  <w:abstractNum w:abstractNumId="20" w15:restartNumberingAfterBreak="0">
    <w:nsid w:val="28504693"/>
    <w:multiLevelType w:val="hybridMultilevel"/>
    <w:tmpl w:val="52726FA6"/>
    <w:lvl w:ilvl="0" w:tplc="CA1054A4">
      <w:start w:val="1"/>
      <w:numFmt w:val="lowerLetter"/>
      <w:lvlText w:val="%1)"/>
      <w:lvlJc w:val="left"/>
      <w:pPr>
        <w:ind w:left="720" w:hanging="360"/>
      </w:pPr>
    </w:lvl>
    <w:lvl w:ilvl="1" w:tplc="88F6DBC2">
      <w:start w:val="1"/>
      <w:numFmt w:val="lowerLetter"/>
      <w:lvlText w:val="%2."/>
      <w:lvlJc w:val="left"/>
      <w:pPr>
        <w:ind w:left="1440" w:hanging="360"/>
      </w:pPr>
    </w:lvl>
    <w:lvl w:ilvl="2" w:tplc="484ACFE4">
      <w:start w:val="1"/>
      <w:numFmt w:val="lowerRoman"/>
      <w:lvlText w:val="%3."/>
      <w:lvlJc w:val="right"/>
      <w:pPr>
        <w:ind w:left="2160" w:hanging="180"/>
      </w:pPr>
    </w:lvl>
    <w:lvl w:ilvl="3" w:tplc="F482B5E4">
      <w:start w:val="1"/>
      <w:numFmt w:val="decimal"/>
      <w:lvlText w:val="%4."/>
      <w:lvlJc w:val="left"/>
      <w:pPr>
        <w:ind w:left="2880" w:hanging="360"/>
      </w:pPr>
    </w:lvl>
    <w:lvl w:ilvl="4" w:tplc="602E53DA">
      <w:start w:val="1"/>
      <w:numFmt w:val="lowerLetter"/>
      <w:lvlText w:val="%5."/>
      <w:lvlJc w:val="left"/>
      <w:pPr>
        <w:ind w:left="3600" w:hanging="360"/>
      </w:pPr>
    </w:lvl>
    <w:lvl w:ilvl="5" w:tplc="38905AAE">
      <w:start w:val="1"/>
      <w:numFmt w:val="lowerRoman"/>
      <w:lvlText w:val="%6."/>
      <w:lvlJc w:val="right"/>
      <w:pPr>
        <w:ind w:left="4320" w:hanging="180"/>
      </w:pPr>
    </w:lvl>
    <w:lvl w:ilvl="6" w:tplc="2D06C216">
      <w:start w:val="1"/>
      <w:numFmt w:val="decimal"/>
      <w:lvlText w:val="%7."/>
      <w:lvlJc w:val="left"/>
      <w:pPr>
        <w:ind w:left="5040" w:hanging="360"/>
      </w:pPr>
    </w:lvl>
    <w:lvl w:ilvl="7" w:tplc="78E465E6">
      <w:start w:val="1"/>
      <w:numFmt w:val="lowerLetter"/>
      <w:lvlText w:val="%8."/>
      <w:lvlJc w:val="left"/>
      <w:pPr>
        <w:ind w:left="5760" w:hanging="360"/>
      </w:pPr>
    </w:lvl>
    <w:lvl w:ilvl="8" w:tplc="B3FC57C4">
      <w:start w:val="1"/>
      <w:numFmt w:val="lowerRoman"/>
      <w:lvlText w:val="%9."/>
      <w:lvlJc w:val="right"/>
      <w:pPr>
        <w:ind w:left="6480" w:hanging="180"/>
      </w:pPr>
    </w:lvl>
  </w:abstractNum>
  <w:abstractNum w:abstractNumId="2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2" w15:restartNumberingAfterBreak="0">
    <w:nsid w:val="2CC06D22"/>
    <w:multiLevelType w:val="hybridMultilevel"/>
    <w:tmpl w:val="F834923A"/>
    <w:lvl w:ilvl="0" w:tplc="34DC6608">
      <w:start w:val="1"/>
      <w:numFmt w:val="lowerLetter"/>
      <w:lvlText w:val="%1)"/>
      <w:lvlJc w:val="left"/>
      <w:pPr>
        <w:ind w:left="720" w:hanging="360"/>
      </w:pPr>
    </w:lvl>
    <w:lvl w:ilvl="1" w:tplc="D3085FCC">
      <w:start w:val="1"/>
      <w:numFmt w:val="lowerLetter"/>
      <w:lvlText w:val="%2."/>
      <w:lvlJc w:val="left"/>
      <w:pPr>
        <w:ind w:left="1440" w:hanging="360"/>
      </w:pPr>
    </w:lvl>
    <w:lvl w:ilvl="2" w:tplc="76DE9EFC">
      <w:start w:val="1"/>
      <w:numFmt w:val="lowerRoman"/>
      <w:lvlText w:val="%3."/>
      <w:lvlJc w:val="right"/>
      <w:pPr>
        <w:ind w:left="2160" w:hanging="180"/>
      </w:pPr>
    </w:lvl>
    <w:lvl w:ilvl="3" w:tplc="B97A27F8">
      <w:start w:val="1"/>
      <w:numFmt w:val="decimal"/>
      <w:lvlText w:val="%4."/>
      <w:lvlJc w:val="left"/>
      <w:pPr>
        <w:ind w:left="2880" w:hanging="360"/>
      </w:pPr>
    </w:lvl>
    <w:lvl w:ilvl="4" w:tplc="9E220DBA">
      <w:start w:val="1"/>
      <w:numFmt w:val="lowerLetter"/>
      <w:lvlText w:val="%5."/>
      <w:lvlJc w:val="left"/>
      <w:pPr>
        <w:ind w:left="3600" w:hanging="360"/>
      </w:pPr>
    </w:lvl>
    <w:lvl w:ilvl="5" w:tplc="E5102F8A">
      <w:start w:val="1"/>
      <w:numFmt w:val="lowerRoman"/>
      <w:lvlText w:val="%6."/>
      <w:lvlJc w:val="right"/>
      <w:pPr>
        <w:ind w:left="4320" w:hanging="180"/>
      </w:pPr>
    </w:lvl>
    <w:lvl w:ilvl="6" w:tplc="3F785996">
      <w:start w:val="1"/>
      <w:numFmt w:val="decimal"/>
      <w:lvlText w:val="%7."/>
      <w:lvlJc w:val="left"/>
      <w:pPr>
        <w:ind w:left="5040" w:hanging="360"/>
      </w:pPr>
    </w:lvl>
    <w:lvl w:ilvl="7" w:tplc="2CC02088">
      <w:start w:val="1"/>
      <w:numFmt w:val="lowerLetter"/>
      <w:lvlText w:val="%8."/>
      <w:lvlJc w:val="left"/>
      <w:pPr>
        <w:ind w:left="5760" w:hanging="360"/>
      </w:pPr>
    </w:lvl>
    <w:lvl w:ilvl="8" w:tplc="71BE2912">
      <w:start w:val="1"/>
      <w:numFmt w:val="lowerRoman"/>
      <w:lvlText w:val="%9."/>
      <w:lvlJc w:val="right"/>
      <w:pPr>
        <w:ind w:left="6480" w:hanging="180"/>
      </w:pPr>
    </w:lvl>
  </w:abstractNum>
  <w:abstractNum w:abstractNumId="2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4" w15:restartNumberingAfterBreak="0">
    <w:nsid w:val="3AB86DBC"/>
    <w:multiLevelType w:val="hybridMultilevel"/>
    <w:tmpl w:val="43903D54"/>
    <w:lvl w:ilvl="0" w:tplc="2C4481A8">
      <w:start w:val="1"/>
      <w:numFmt w:val="lowerLetter"/>
      <w:lvlText w:val="%1)"/>
      <w:lvlJc w:val="left"/>
      <w:pPr>
        <w:ind w:left="720" w:hanging="360"/>
      </w:pPr>
    </w:lvl>
    <w:lvl w:ilvl="1" w:tplc="9CB0A7B4">
      <w:start w:val="1"/>
      <w:numFmt w:val="lowerLetter"/>
      <w:lvlText w:val="%2."/>
      <w:lvlJc w:val="left"/>
      <w:pPr>
        <w:ind w:left="1440" w:hanging="360"/>
      </w:pPr>
    </w:lvl>
    <w:lvl w:ilvl="2" w:tplc="1A80ED4C">
      <w:start w:val="1"/>
      <w:numFmt w:val="lowerRoman"/>
      <w:lvlText w:val="%3."/>
      <w:lvlJc w:val="right"/>
      <w:pPr>
        <w:ind w:left="2160" w:hanging="180"/>
      </w:pPr>
    </w:lvl>
    <w:lvl w:ilvl="3" w:tplc="0AC0E046">
      <w:start w:val="1"/>
      <w:numFmt w:val="decimal"/>
      <w:lvlText w:val="%4."/>
      <w:lvlJc w:val="left"/>
      <w:pPr>
        <w:ind w:left="2880" w:hanging="360"/>
      </w:pPr>
    </w:lvl>
    <w:lvl w:ilvl="4" w:tplc="99F602BA">
      <w:start w:val="1"/>
      <w:numFmt w:val="lowerLetter"/>
      <w:lvlText w:val="%5."/>
      <w:lvlJc w:val="left"/>
      <w:pPr>
        <w:ind w:left="3600" w:hanging="360"/>
      </w:pPr>
    </w:lvl>
    <w:lvl w:ilvl="5" w:tplc="1CE4D5F2">
      <w:start w:val="1"/>
      <w:numFmt w:val="lowerRoman"/>
      <w:lvlText w:val="%6."/>
      <w:lvlJc w:val="right"/>
      <w:pPr>
        <w:ind w:left="4320" w:hanging="180"/>
      </w:pPr>
    </w:lvl>
    <w:lvl w:ilvl="6" w:tplc="432AF802">
      <w:start w:val="1"/>
      <w:numFmt w:val="decimal"/>
      <w:lvlText w:val="%7."/>
      <w:lvlJc w:val="left"/>
      <w:pPr>
        <w:ind w:left="5040" w:hanging="360"/>
      </w:pPr>
    </w:lvl>
    <w:lvl w:ilvl="7" w:tplc="285CCE40">
      <w:start w:val="1"/>
      <w:numFmt w:val="lowerLetter"/>
      <w:lvlText w:val="%8."/>
      <w:lvlJc w:val="left"/>
      <w:pPr>
        <w:ind w:left="5760" w:hanging="360"/>
      </w:pPr>
    </w:lvl>
    <w:lvl w:ilvl="8" w:tplc="F14EE0A4">
      <w:start w:val="1"/>
      <w:numFmt w:val="lowerRoman"/>
      <w:lvlText w:val="%9."/>
      <w:lvlJc w:val="right"/>
      <w:pPr>
        <w:ind w:left="6480" w:hanging="180"/>
      </w:pPr>
    </w:lvl>
  </w:abstractNum>
  <w:abstractNum w:abstractNumId="25" w15:restartNumberingAfterBreak="0">
    <w:nsid w:val="3CCF03F7"/>
    <w:multiLevelType w:val="hybridMultilevel"/>
    <w:tmpl w:val="BA7CDF2A"/>
    <w:lvl w:ilvl="0" w:tplc="3ED27ADC">
      <w:start w:val="1"/>
      <w:numFmt w:val="bullet"/>
      <w:lvlText w:val="-"/>
      <w:lvlJc w:val="left"/>
      <w:pPr>
        <w:ind w:left="720" w:hanging="360"/>
      </w:pPr>
      <w:rPr>
        <w:rFonts w:ascii="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DC14B49"/>
    <w:multiLevelType w:val="hybridMultilevel"/>
    <w:tmpl w:val="02388A08"/>
    <w:lvl w:ilvl="0" w:tplc="EF8ECD46">
      <w:start w:val="1"/>
      <w:numFmt w:val="lowerLetter"/>
      <w:lvlText w:val="%1)"/>
      <w:lvlJc w:val="left"/>
      <w:pPr>
        <w:ind w:left="720" w:hanging="360"/>
      </w:pPr>
    </w:lvl>
    <w:lvl w:ilvl="1" w:tplc="8FE4C1AE">
      <w:start w:val="1"/>
      <w:numFmt w:val="lowerLetter"/>
      <w:lvlText w:val="%2."/>
      <w:lvlJc w:val="left"/>
      <w:pPr>
        <w:ind w:left="1440" w:hanging="360"/>
      </w:pPr>
    </w:lvl>
    <w:lvl w:ilvl="2" w:tplc="AE14ABE6">
      <w:start w:val="1"/>
      <w:numFmt w:val="lowerRoman"/>
      <w:lvlText w:val="%3."/>
      <w:lvlJc w:val="right"/>
      <w:pPr>
        <w:ind w:left="2160" w:hanging="180"/>
      </w:pPr>
    </w:lvl>
    <w:lvl w:ilvl="3" w:tplc="1318EA22">
      <w:start w:val="1"/>
      <w:numFmt w:val="decimal"/>
      <w:lvlText w:val="%4."/>
      <w:lvlJc w:val="left"/>
      <w:pPr>
        <w:ind w:left="2880" w:hanging="360"/>
      </w:pPr>
    </w:lvl>
    <w:lvl w:ilvl="4" w:tplc="B8F4F4D8">
      <w:start w:val="1"/>
      <w:numFmt w:val="lowerLetter"/>
      <w:lvlText w:val="%5."/>
      <w:lvlJc w:val="left"/>
      <w:pPr>
        <w:ind w:left="3600" w:hanging="360"/>
      </w:pPr>
    </w:lvl>
    <w:lvl w:ilvl="5" w:tplc="864481CA">
      <w:start w:val="1"/>
      <w:numFmt w:val="lowerRoman"/>
      <w:lvlText w:val="%6."/>
      <w:lvlJc w:val="right"/>
      <w:pPr>
        <w:ind w:left="4320" w:hanging="180"/>
      </w:pPr>
    </w:lvl>
    <w:lvl w:ilvl="6" w:tplc="7FD2FEE6">
      <w:start w:val="1"/>
      <w:numFmt w:val="decimal"/>
      <w:lvlText w:val="%7."/>
      <w:lvlJc w:val="left"/>
      <w:pPr>
        <w:ind w:left="5040" w:hanging="360"/>
      </w:pPr>
    </w:lvl>
    <w:lvl w:ilvl="7" w:tplc="5982381C">
      <w:start w:val="1"/>
      <w:numFmt w:val="lowerLetter"/>
      <w:lvlText w:val="%8."/>
      <w:lvlJc w:val="left"/>
      <w:pPr>
        <w:ind w:left="5760" w:hanging="360"/>
      </w:pPr>
    </w:lvl>
    <w:lvl w:ilvl="8" w:tplc="EBC46E74">
      <w:start w:val="1"/>
      <w:numFmt w:val="lowerRoman"/>
      <w:lvlText w:val="%9."/>
      <w:lvlJc w:val="right"/>
      <w:pPr>
        <w:ind w:left="6480" w:hanging="180"/>
      </w:pPr>
    </w:lvl>
  </w:abstractNum>
  <w:abstractNum w:abstractNumId="2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82027B7"/>
    <w:multiLevelType w:val="hybridMultilevel"/>
    <w:tmpl w:val="8CC4D812"/>
    <w:lvl w:ilvl="0" w:tplc="E0965CB6">
      <w:start w:val="1"/>
      <w:numFmt w:val="lowerLetter"/>
      <w:lvlText w:val="%1)"/>
      <w:lvlJc w:val="left"/>
      <w:pPr>
        <w:ind w:left="720" w:hanging="360"/>
      </w:pPr>
    </w:lvl>
    <w:lvl w:ilvl="1" w:tplc="2D5433E4">
      <w:start w:val="1"/>
      <w:numFmt w:val="lowerLetter"/>
      <w:lvlText w:val="%2."/>
      <w:lvlJc w:val="left"/>
      <w:pPr>
        <w:ind w:left="1440" w:hanging="360"/>
      </w:pPr>
    </w:lvl>
    <w:lvl w:ilvl="2" w:tplc="3F2AA804">
      <w:start w:val="1"/>
      <w:numFmt w:val="lowerRoman"/>
      <w:lvlText w:val="%3."/>
      <w:lvlJc w:val="right"/>
      <w:pPr>
        <w:ind w:left="2160" w:hanging="180"/>
      </w:pPr>
    </w:lvl>
    <w:lvl w:ilvl="3" w:tplc="4134C3B6">
      <w:start w:val="1"/>
      <w:numFmt w:val="decimal"/>
      <w:lvlText w:val="%4."/>
      <w:lvlJc w:val="left"/>
      <w:pPr>
        <w:ind w:left="2880" w:hanging="360"/>
      </w:pPr>
    </w:lvl>
    <w:lvl w:ilvl="4" w:tplc="D03C02D2">
      <w:start w:val="1"/>
      <w:numFmt w:val="lowerLetter"/>
      <w:lvlText w:val="%5."/>
      <w:lvlJc w:val="left"/>
      <w:pPr>
        <w:ind w:left="3600" w:hanging="360"/>
      </w:pPr>
    </w:lvl>
    <w:lvl w:ilvl="5" w:tplc="6DC823D6">
      <w:start w:val="1"/>
      <w:numFmt w:val="lowerRoman"/>
      <w:lvlText w:val="%6."/>
      <w:lvlJc w:val="right"/>
      <w:pPr>
        <w:ind w:left="4320" w:hanging="180"/>
      </w:pPr>
    </w:lvl>
    <w:lvl w:ilvl="6" w:tplc="2D3CBF64">
      <w:start w:val="1"/>
      <w:numFmt w:val="decimal"/>
      <w:lvlText w:val="%7."/>
      <w:lvlJc w:val="left"/>
      <w:pPr>
        <w:ind w:left="5040" w:hanging="360"/>
      </w:pPr>
    </w:lvl>
    <w:lvl w:ilvl="7" w:tplc="ED044B1E">
      <w:start w:val="1"/>
      <w:numFmt w:val="lowerLetter"/>
      <w:lvlText w:val="%8."/>
      <w:lvlJc w:val="left"/>
      <w:pPr>
        <w:ind w:left="5760" w:hanging="360"/>
      </w:pPr>
    </w:lvl>
    <w:lvl w:ilvl="8" w:tplc="24E01D34">
      <w:start w:val="1"/>
      <w:numFmt w:val="lowerRoman"/>
      <w:lvlText w:val="%9."/>
      <w:lvlJc w:val="right"/>
      <w:pPr>
        <w:ind w:left="6480" w:hanging="180"/>
      </w:pPr>
    </w:lvl>
  </w:abstractNum>
  <w:abstractNum w:abstractNumId="31" w15:restartNumberingAfterBreak="0">
    <w:nsid w:val="49544E1A"/>
    <w:multiLevelType w:val="hybridMultilevel"/>
    <w:tmpl w:val="E1BA1A00"/>
    <w:lvl w:ilvl="0" w:tplc="BE567798">
      <w:start w:val="1"/>
      <w:numFmt w:val="lowerLetter"/>
      <w:lvlText w:val="%1)"/>
      <w:lvlJc w:val="left"/>
      <w:pPr>
        <w:ind w:left="720" w:hanging="360"/>
      </w:pPr>
    </w:lvl>
    <w:lvl w:ilvl="1" w:tplc="80CEF5E8">
      <w:start w:val="1"/>
      <w:numFmt w:val="lowerLetter"/>
      <w:lvlText w:val="%2."/>
      <w:lvlJc w:val="left"/>
      <w:pPr>
        <w:ind w:left="1440" w:hanging="360"/>
      </w:pPr>
    </w:lvl>
    <w:lvl w:ilvl="2" w:tplc="8CE6E2AE">
      <w:start w:val="1"/>
      <w:numFmt w:val="lowerRoman"/>
      <w:lvlText w:val="%3."/>
      <w:lvlJc w:val="right"/>
      <w:pPr>
        <w:ind w:left="2160" w:hanging="180"/>
      </w:pPr>
    </w:lvl>
    <w:lvl w:ilvl="3" w:tplc="C108E8CE">
      <w:start w:val="1"/>
      <w:numFmt w:val="decimal"/>
      <w:lvlText w:val="%4."/>
      <w:lvlJc w:val="left"/>
      <w:pPr>
        <w:ind w:left="2880" w:hanging="360"/>
      </w:pPr>
    </w:lvl>
    <w:lvl w:ilvl="4" w:tplc="CE2CFAAC">
      <w:start w:val="1"/>
      <w:numFmt w:val="lowerLetter"/>
      <w:lvlText w:val="%5."/>
      <w:lvlJc w:val="left"/>
      <w:pPr>
        <w:ind w:left="3600" w:hanging="360"/>
      </w:pPr>
    </w:lvl>
    <w:lvl w:ilvl="5" w:tplc="521C7B00">
      <w:start w:val="1"/>
      <w:numFmt w:val="lowerRoman"/>
      <w:lvlText w:val="%6."/>
      <w:lvlJc w:val="right"/>
      <w:pPr>
        <w:ind w:left="4320" w:hanging="180"/>
      </w:pPr>
    </w:lvl>
    <w:lvl w:ilvl="6" w:tplc="2F9CDB5A">
      <w:start w:val="1"/>
      <w:numFmt w:val="decimal"/>
      <w:lvlText w:val="%7."/>
      <w:lvlJc w:val="left"/>
      <w:pPr>
        <w:ind w:left="5040" w:hanging="360"/>
      </w:pPr>
    </w:lvl>
    <w:lvl w:ilvl="7" w:tplc="A5ECCD44">
      <w:start w:val="1"/>
      <w:numFmt w:val="lowerLetter"/>
      <w:lvlText w:val="%8."/>
      <w:lvlJc w:val="left"/>
      <w:pPr>
        <w:ind w:left="5760" w:hanging="360"/>
      </w:pPr>
    </w:lvl>
    <w:lvl w:ilvl="8" w:tplc="2CB6AC66">
      <w:start w:val="1"/>
      <w:numFmt w:val="lowerRoman"/>
      <w:lvlText w:val="%9."/>
      <w:lvlJc w:val="right"/>
      <w:pPr>
        <w:ind w:left="6480" w:hanging="180"/>
      </w:pPr>
    </w:lvl>
  </w:abstractNum>
  <w:abstractNum w:abstractNumId="32" w15:restartNumberingAfterBreak="0">
    <w:nsid w:val="4AEF796F"/>
    <w:multiLevelType w:val="hybridMultilevel"/>
    <w:tmpl w:val="C9AA2962"/>
    <w:lvl w:ilvl="0" w:tplc="FF40F392">
      <w:start w:val="1"/>
      <w:numFmt w:val="lowerLetter"/>
      <w:lvlText w:val="%1)"/>
      <w:lvlJc w:val="left"/>
      <w:pPr>
        <w:ind w:left="720" w:hanging="360"/>
      </w:pPr>
    </w:lvl>
    <w:lvl w:ilvl="1" w:tplc="E3BC2938">
      <w:start w:val="1"/>
      <w:numFmt w:val="lowerLetter"/>
      <w:lvlText w:val="%2."/>
      <w:lvlJc w:val="left"/>
      <w:pPr>
        <w:ind w:left="1440" w:hanging="360"/>
      </w:pPr>
    </w:lvl>
    <w:lvl w:ilvl="2" w:tplc="CFCEBFB4">
      <w:start w:val="1"/>
      <w:numFmt w:val="lowerRoman"/>
      <w:lvlText w:val="%3."/>
      <w:lvlJc w:val="right"/>
      <w:pPr>
        <w:ind w:left="2160" w:hanging="180"/>
      </w:pPr>
    </w:lvl>
    <w:lvl w:ilvl="3" w:tplc="E5662C04">
      <w:start w:val="1"/>
      <w:numFmt w:val="decimal"/>
      <w:lvlText w:val="%4."/>
      <w:lvlJc w:val="left"/>
      <w:pPr>
        <w:ind w:left="2880" w:hanging="360"/>
      </w:pPr>
    </w:lvl>
    <w:lvl w:ilvl="4" w:tplc="1D3287D6">
      <w:start w:val="1"/>
      <w:numFmt w:val="lowerLetter"/>
      <w:lvlText w:val="%5."/>
      <w:lvlJc w:val="left"/>
      <w:pPr>
        <w:ind w:left="3600" w:hanging="360"/>
      </w:pPr>
    </w:lvl>
    <w:lvl w:ilvl="5" w:tplc="B55C2BA4">
      <w:start w:val="1"/>
      <w:numFmt w:val="lowerRoman"/>
      <w:lvlText w:val="%6."/>
      <w:lvlJc w:val="right"/>
      <w:pPr>
        <w:ind w:left="4320" w:hanging="180"/>
      </w:pPr>
    </w:lvl>
    <w:lvl w:ilvl="6" w:tplc="C11248F8">
      <w:start w:val="1"/>
      <w:numFmt w:val="decimal"/>
      <w:lvlText w:val="%7."/>
      <w:lvlJc w:val="left"/>
      <w:pPr>
        <w:ind w:left="5040" w:hanging="360"/>
      </w:pPr>
    </w:lvl>
    <w:lvl w:ilvl="7" w:tplc="BCEADA02">
      <w:start w:val="1"/>
      <w:numFmt w:val="lowerLetter"/>
      <w:lvlText w:val="%8."/>
      <w:lvlJc w:val="left"/>
      <w:pPr>
        <w:ind w:left="5760" w:hanging="360"/>
      </w:pPr>
    </w:lvl>
    <w:lvl w:ilvl="8" w:tplc="14D6D276">
      <w:start w:val="1"/>
      <w:numFmt w:val="lowerRoman"/>
      <w:lvlText w:val="%9."/>
      <w:lvlJc w:val="right"/>
      <w:pPr>
        <w:ind w:left="6480" w:hanging="180"/>
      </w:pPr>
    </w:lvl>
  </w:abstractNum>
  <w:abstractNum w:abstractNumId="33" w15:restartNumberingAfterBreak="0">
    <w:nsid w:val="4FB174EA"/>
    <w:multiLevelType w:val="hybridMultilevel"/>
    <w:tmpl w:val="26DC1D60"/>
    <w:lvl w:ilvl="0" w:tplc="6E6817C4">
      <w:start w:val="1"/>
      <w:numFmt w:val="lowerLetter"/>
      <w:lvlText w:val="%1)"/>
      <w:lvlJc w:val="left"/>
      <w:pPr>
        <w:ind w:left="720" w:hanging="360"/>
      </w:pPr>
    </w:lvl>
    <w:lvl w:ilvl="1" w:tplc="0E82DFA2">
      <w:start w:val="1"/>
      <w:numFmt w:val="lowerLetter"/>
      <w:lvlText w:val="%2."/>
      <w:lvlJc w:val="left"/>
      <w:pPr>
        <w:ind w:left="1440" w:hanging="360"/>
      </w:pPr>
    </w:lvl>
    <w:lvl w:ilvl="2" w:tplc="DF52C7A0">
      <w:start w:val="1"/>
      <w:numFmt w:val="lowerRoman"/>
      <w:lvlText w:val="%3."/>
      <w:lvlJc w:val="right"/>
      <w:pPr>
        <w:ind w:left="2160" w:hanging="180"/>
      </w:pPr>
    </w:lvl>
    <w:lvl w:ilvl="3" w:tplc="EBCA3C3C">
      <w:start w:val="1"/>
      <w:numFmt w:val="decimal"/>
      <w:lvlText w:val="%4."/>
      <w:lvlJc w:val="left"/>
      <w:pPr>
        <w:ind w:left="2880" w:hanging="360"/>
      </w:pPr>
    </w:lvl>
    <w:lvl w:ilvl="4" w:tplc="14E01428">
      <w:start w:val="1"/>
      <w:numFmt w:val="lowerLetter"/>
      <w:lvlText w:val="%5."/>
      <w:lvlJc w:val="left"/>
      <w:pPr>
        <w:ind w:left="3600" w:hanging="360"/>
      </w:pPr>
    </w:lvl>
    <w:lvl w:ilvl="5" w:tplc="A8345C60">
      <w:start w:val="1"/>
      <w:numFmt w:val="lowerRoman"/>
      <w:lvlText w:val="%6."/>
      <w:lvlJc w:val="right"/>
      <w:pPr>
        <w:ind w:left="4320" w:hanging="180"/>
      </w:pPr>
    </w:lvl>
    <w:lvl w:ilvl="6" w:tplc="23CA4568">
      <w:start w:val="1"/>
      <w:numFmt w:val="decimal"/>
      <w:lvlText w:val="%7."/>
      <w:lvlJc w:val="left"/>
      <w:pPr>
        <w:ind w:left="5040" w:hanging="360"/>
      </w:pPr>
    </w:lvl>
    <w:lvl w:ilvl="7" w:tplc="1EFCFD94">
      <w:start w:val="1"/>
      <w:numFmt w:val="lowerLetter"/>
      <w:lvlText w:val="%8."/>
      <w:lvlJc w:val="left"/>
      <w:pPr>
        <w:ind w:left="5760" w:hanging="360"/>
      </w:pPr>
    </w:lvl>
    <w:lvl w:ilvl="8" w:tplc="9CE451F0">
      <w:start w:val="1"/>
      <w:numFmt w:val="lowerRoman"/>
      <w:lvlText w:val="%9."/>
      <w:lvlJc w:val="right"/>
      <w:pPr>
        <w:ind w:left="6480" w:hanging="180"/>
      </w:pPr>
    </w:lvl>
  </w:abstractNum>
  <w:abstractNum w:abstractNumId="34" w15:restartNumberingAfterBreak="0">
    <w:nsid w:val="524F64E5"/>
    <w:multiLevelType w:val="hybridMultilevel"/>
    <w:tmpl w:val="CF42B4C8"/>
    <w:lvl w:ilvl="0" w:tplc="3ED27ADC">
      <w:start w:val="1"/>
      <w:numFmt w:val="bullet"/>
      <w:lvlText w:val="-"/>
      <w:lvlJc w:val="left"/>
      <w:pPr>
        <w:ind w:left="720" w:hanging="360"/>
      </w:pPr>
      <w:rPr>
        <w:rFonts w:ascii="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6" w15:restartNumberingAfterBreak="0">
    <w:nsid w:val="56220EDE"/>
    <w:multiLevelType w:val="hybridMultilevel"/>
    <w:tmpl w:val="2376DCEE"/>
    <w:lvl w:ilvl="0" w:tplc="36B41FE4">
      <w:start w:val="1"/>
      <w:numFmt w:val="lowerLetter"/>
      <w:lvlText w:val="%1)"/>
      <w:lvlJc w:val="left"/>
      <w:pPr>
        <w:ind w:left="360" w:hanging="360"/>
      </w:pPr>
      <w:rPr>
        <w:color w:val="0C3512" w:themeColor="accent3" w:themeShade="80"/>
      </w:rPr>
    </w:lvl>
    <w:lvl w:ilvl="1" w:tplc="0B0E6DB6">
      <w:start w:val="1"/>
      <w:numFmt w:val="lowerLetter"/>
      <w:lvlText w:val="%2."/>
      <w:lvlJc w:val="left"/>
      <w:pPr>
        <w:ind w:left="1080" w:hanging="360"/>
      </w:pPr>
    </w:lvl>
    <w:lvl w:ilvl="2" w:tplc="48B00FA8">
      <w:start w:val="1"/>
      <w:numFmt w:val="lowerRoman"/>
      <w:lvlText w:val="%3."/>
      <w:lvlJc w:val="right"/>
      <w:pPr>
        <w:ind w:left="1800" w:hanging="180"/>
      </w:pPr>
    </w:lvl>
    <w:lvl w:ilvl="3" w:tplc="FFE832FA">
      <w:start w:val="1"/>
      <w:numFmt w:val="decimal"/>
      <w:lvlText w:val="%4."/>
      <w:lvlJc w:val="left"/>
      <w:pPr>
        <w:ind w:left="2520" w:hanging="360"/>
      </w:pPr>
    </w:lvl>
    <w:lvl w:ilvl="4" w:tplc="0E9839DE">
      <w:start w:val="1"/>
      <w:numFmt w:val="lowerLetter"/>
      <w:lvlText w:val="%5."/>
      <w:lvlJc w:val="left"/>
      <w:pPr>
        <w:ind w:left="3240" w:hanging="360"/>
      </w:pPr>
    </w:lvl>
    <w:lvl w:ilvl="5" w:tplc="47003344">
      <w:start w:val="1"/>
      <w:numFmt w:val="lowerRoman"/>
      <w:lvlText w:val="%6."/>
      <w:lvlJc w:val="right"/>
      <w:pPr>
        <w:ind w:left="3960" w:hanging="180"/>
      </w:pPr>
    </w:lvl>
    <w:lvl w:ilvl="6" w:tplc="2162F2EE">
      <w:start w:val="1"/>
      <w:numFmt w:val="decimal"/>
      <w:lvlText w:val="%7."/>
      <w:lvlJc w:val="left"/>
      <w:pPr>
        <w:ind w:left="4680" w:hanging="360"/>
      </w:pPr>
    </w:lvl>
    <w:lvl w:ilvl="7" w:tplc="4F0611B4">
      <w:start w:val="1"/>
      <w:numFmt w:val="lowerLetter"/>
      <w:lvlText w:val="%8."/>
      <w:lvlJc w:val="left"/>
      <w:pPr>
        <w:ind w:left="5400" w:hanging="360"/>
      </w:pPr>
    </w:lvl>
    <w:lvl w:ilvl="8" w:tplc="65920168">
      <w:start w:val="1"/>
      <w:numFmt w:val="lowerRoman"/>
      <w:lvlText w:val="%9."/>
      <w:lvlJc w:val="right"/>
      <w:pPr>
        <w:ind w:left="6120" w:hanging="180"/>
      </w:pPr>
    </w:lvl>
  </w:abstractNum>
  <w:abstractNum w:abstractNumId="37" w15:restartNumberingAfterBreak="0">
    <w:nsid w:val="58D1196F"/>
    <w:multiLevelType w:val="hybridMultilevel"/>
    <w:tmpl w:val="BF5242B4"/>
    <w:lvl w:ilvl="0" w:tplc="7DACD7B4">
      <w:start w:val="1"/>
      <w:numFmt w:val="lowerLetter"/>
      <w:lvlText w:val="%1)"/>
      <w:lvlJc w:val="left"/>
      <w:pPr>
        <w:ind w:left="720" w:hanging="360"/>
      </w:pPr>
    </w:lvl>
    <w:lvl w:ilvl="1" w:tplc="9312C210">
      <w:start w:val="1"/>
      <w:numFmt w:val="lowerLetter"/>
      <w:lvlText w:val="%2."/>
      <w:lvlJc w:val="left"/>
      <w:pPr>
        <w:ind w:left="1440" w:hanging="360"/>
      </w:pPr>
    </w:lvl>
    <w:lvl w:ilvl="2" w:tplc="52B8E4D6">
      <w:start w:val="1"/>
      <w:numFmt w:val="lowerRoman"/>
      <w:lvlText w:val="%3."/>
      <w:lvlJc w:val="right"/>
      <w:pPr>
        <w:ind w:left="2160" w:hanging="180"/>
      </w:pPr>
    </w:lvl>
    <w:lvl w:ilvl="3" w:tplc="A01A9BCC">
      <w:start w:val="1"/>
      <w:numFmt w:val="decimal"/>
      <w:lvlText w:val="%4."/>
      <w:lvlJc w:val="left"/>
      <w:pPr>
        <w:ind w:left="2880" w:hanging="360"/>
      </w:pPr>
    </w:lvl>
    <w:lvl w:ilvl="4" w:tplc="73261148">
      <w:start w:val="1"/>
      <w:numFmt w:val="lowerLetter"/>
      <w:lvlText w:val="%5."/>
      <w:lvlJc w:val="left"/>
      <w:pPr>
        <w:ind w:left="3600" w:hanging="360"/>
      </w:pPr>
    </w:lvl>
    <w:lvl w:ilvl="5" w:tplc="548854C2">
      <w:start w:val="1"/>
      <w:numFmt w:val="lowerRoman"/>
      <w:lvlText w:val="%6."/>
      <w:lvlJc w:val="right"/>
      <w:pPr>
        <w:ind w:left="4320" w:hanging="180"/>
      </w:pPr>
    </w:lvl>
    <w:lvl w:ilvl="6" w:tplc="229C43EA">
      <w:start w:val="1"/>
      <w:numFmt w:val="decimal"/>
      <w:lvlText w:val="%7."/>
      <w:lvlJc w:val="left"/>
      <w:pPr>
        <w:ind w:left="5040" w:hanging="360"/>
      </w:pPr>
    </w:lvl>
    <w:lvl w:ilvl="7" w:tplc="FAB486CC">
      <w:start w:val="1"/>
      <w:numFmt w:val="lowerLetter"/>
      <w:lvlText w:val="%8."/>
      <w:lvlJc w:val="left"/>
      <w:pPr>
        <w:ind w:left="5760" w:hanging="360"/>
      </w:pPr>
    </w:lvl>
    <w:lvl w:ilvl="8" w:tplc="C25A8C16">
      <w:start w:val="1"/>
      <w:numFmt w:val="lowerRoman"/>
      <w:lvlText w:val="%9."/>
      <w:lvlJc w:val="right"/>
      <w:pPr>
        <w:ind w:left="6480" w:hanging="180"/>
      </w:pPr>
    </w:lvl>
  </w:abstractNum>
  <w:abstractNum w:abstractNumId="38" w15:restartNumberingAfterBreak="0">
    <w:nsid w:val="59194AE8"/>
    <w:multiLevelType w:val="hybridMultilevel"/>
    <w:tmpl w:val="E5906D6A"/>
    <w:lvl w:ilvl="0" w:tplc="061E2536">
      <w:start w:val="1"/>
      <w:numFmt w:val="lowerLetter"/>
      <w:lvlText w:val="%1)"/>
      <w:lvlJc w:val="left"/>
      <w:pPr>
        <w:ind w:left="360" w:hanging="360"/>
      </w:pPr>
      <w:rPr>
        <w:color w:val="0C3512" w:themeColor="accent3" w:themeShade="80"/>
      </w:rPr>
    </w:lvl>
    <w:lvl w:ilvl="1" w:tplc="EBD60AD4">
      <w:start w:val="1"/>
      <w:numFmt w:val="lowerLetter"/>
      <w:lvlText w:val="%2."/>
      <w:lvlJc w:val="left"/>
      <w:pPr>
        <w:ind w:left="1080" w:hanging="360"/>
      </w:pPr>
    </w:lvl>
    <w:lvl w:ilvl="2" w:tplc="ADAC0B7E">
      <w:start w:val="1"/>
      <w:numFmt w:val="lowerRoman"/>
      <w:lvlText w:val="%3."/>
      <w:lvlJc w:val="right"/>
      <w:pPr>
        <w:ind w:left="1800" w:hanging="180"/>
      </w:pPr>
    </w:lvl>
    <w:lvl w:ilvl="3" w:tplc="2B4A1EB0">
      <w:start w:val="1"/>
      <w:numFmt w:val="decimal"/>
      <w:lvlText w:val="%4."/>
      <w:lvlJc w:val="left"/>
      <w:pPr>
        <w:ind w:left="2520" w:hanging="360"/>
      </w:pPr>
    </w:lvl>
    <w:lvl w:ilvl="4" w:tplc="9E4AED1C">
      <w:start w:val="1"/>
      <w:numFmt w:val="lowerLetter"/>
      <w:lvlText w:val="%5."/>
      <w:lvlJc w:val="left"/>
      <w:pPr>
        <w:ind w:left="3240" w:hanging="360"/>
      </w:pPr>
    </w:lvl>
    <w:lvl w:ilvl="5" w:tplc="E45E8814">
      <w:start w:val="1"/>
      <w:numFmt w:val="lowerRoman"/>
      <w:lvlText w:val="%6."/>
      <w:lvlJc w:val="right"/>
      <w:pPr>
        <w:ind w:left="3960" w:hanging="180"/>
      </w:pPr>
    </w:lvl>
    <w:lvl w:ilvl="6" w:tplc="FD78B216">
      <w:start w:val="1"/>
      <w:numFmt w:val="decimal"/>
      <w:lvlText w:val="%7."/>
      <w:lvlJc w:val="left"/>
      <w:pPr>
        <w:ind w:left="4680" w:hanging="360"/>
      </w:pPr>
    </w:lvl>
    <w:lvl w:ilvl="7" w:tplc="8B20E1A4">
      <w:start w:val="1"/>
      <w:numFmt w:val="lowerLetter"/>
      <w:lvlText w:val="%8."/>
      <w:lvlJc w:val="left"/>
      <w:pPr>
        <w:ind w:left="5400" w:hanging="360"/>
      </w:pPr>
    </w:lvl>
    <w:lvl w:ilvl="8" w:tplc="F40AE442">
      <w:start w:val="1"/>
      <w:numFmt w:val="lowerRoman"/>
      <w:lvlText w:val="%9."/>
      <w:lvlJc w:val="right"/>
      <w:pPr>
        <w:ind w:left="6120" w:hanging="180"/>
      </w:pPr>
    </w:lvl>
  </w:abstractNum>
  <w:abstractNum w:abstractNumId="39" w15:restartNumberingAfterBreak="0">
    <w:nsid w:val="5AF4048F"/>
    <w:multiLevelType w:val="hybridMultilevel"/>
    <w:tmpl w:val="0F162D7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2" w15:restartNumberingAfterBreak="0">
    <w:nsid w:val="5D9146BF"/>
    <w:multiLevelType w:val="hybridMultilevel"/>
    <w:tmpl w:val="AC7815AC"/>
    <w:lvl w:ilvl="0" w:tplc="C0783926">
      <w:start w:val="1"/>
      <w:numFmt w:val="lowerLetter"/>
      <w:lvlText w:val="%1)"/>
      <w:lvlJc w:val="left"/>
      <w:pPr>
        <w:ind w:left="720" w:hanging="360"/>
      </w:pPr>
    </w:lvl>
    <w:lvl w:ilvl="1" w:tplc="E4BC9010">
      <w:start w:val="1"/>
      <w:numFmt w:val="lowerLetter"/>
      <w:lvlText w:val="%2."/>
      <w:lvlJc w:val="left"/>
      <w:pPr>
        <w:ind w:left="1440" w:hanging="360"/>
      </w:pPr>
    </w:lvl>
    <w:lvl w:ilvl="2" w:tplc="3C12D61E">
      <w:start w:val="1"/>
      <w:numFmt w:val="lowerRoman"/>
      <w:lvlText w:val="%3."/>
      <w:lvlJc w:val="right"/>
      <w:pPr>
        <w:ind w:left="2160" w:hanging="180"/>
      </w:pPr>
    </w:lvl>
    <w:lvl w:ilvl="3" w:tplc="CB0C2A58">
      <w:start w:val="1"/>
      <w:numFmt w:val="decimal"/>
      <w:lvlText w:val="%4."/>
      <w:lvlJc w:val="left"/>
      <w:pPr>
        <w:ind w:left="2880" w:hanging="360"/>
      </w:pPr>
    </w:lvl>
    <w:lvl w:ilvl="4" w:tplc="F794989E">
      <w:start w:val="1"/>
      <w:numFmt w:val="lowerLetter"/>
      <w:lvlText w:val="%5."/>
      <w:lvlJc w:val="left"/>
      <w:pPr>
        <w:ind w:left="3600" w:hanging="360"/>
      </w:pPr>
    </w:lvl>
    <w:lvl w:ilvl="5" w:tplc="7ED09848">
      <w:start w:val="1"/>
      <w:numFmt w:val="lowerRoman"/>
      <w:lvlText w:val="%6."/>
      <w:lvlJc w:val="right"/>
      <w:pPr>
        <w:ind w:left="4320" w:hanging="180"/>
      </w:pPr>
    </w:lvl>
    <w:lvl w:ilvl="6" w:tplc="70062D02">
      <w:start w:val="1"/>
      <w:numFmt w:val="decimal"/>
      <w:lvlText w:val="%7."/>
      <w:lvlJc w:val="left"/>
      <w:pPr>
        <w:ind w:left="5040" w:hanging="360"/>
      </w:pPr>
    </w:lvl>
    <w:lvl w:ilvl="7" w:tplc="04AC7232">
      <w:start w:val="1"/>
      <w:numFmt w:val="lowerLetter"/>
      <w:lvlText w:val="%8."/>
      <w:lvlJc w:val="left"/>
      <w:pPr>
        <w:ind w:left="5760" w:hanging="360"/>
      </w:pPr>
    </w:lvl>
    <w:lvl w:ilvl="8" w:tplc="7096A056">
      <w:start w:val="1"/>
      <w:numFmt w:val="lowerRoman"/>
      <w:lvlText w:val="%9."/>
      <w:lvlJc w:val="right"/>
      <w:pPr>
        <w:ind w:left="6480" w:hanging="180"/>
      </w:pPr>
    </w:lvl>
  </w:abstractNum>
  <w:abstractNum w:abstractNumId="43" w15:restartNumberingAfterBreak="0">
    <w:nsid w:val="5E7A38C9"/>
    <w:multiLevelType w:val="hybridMultilevel"/>
    <w:tmpl w:val="803E5998"/>
    <w:lvl w:ilvl="0" w:tplc="DBB419B2">
      <w:start w:val="1"/>
      <w:numFmt w:val="lowerRoman"/>
      <w:lvlText w:val="%1)"/>
      <w:lvlJc w:val="left"/>
      <w:pPr>
        <w:ind w:left="720" w:hanging="360"/>
      </w:pPr>
      <w:rPr>
        <w:rFonts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E7E5E94"/>
    <w:multiLevelType w:val="hybridMultilevel"/>
    <w:tmpl w:val="2E748758"/>
    <w:lvl w:ilvl="0" w:tplc="C038967A">
      <w:start w:val="1"/>
      <w:numFmt w:val="lowerLetter"/>
      <w:lvlText w:val="%1)"/>
      <w:lvlJc w:val="left"/>
      <w:pPr>
        <w:ind w:left="720" w:hanging="360"/>
      </w:pPr>
    </w:lvl>
    <w:lvl w:ilvl="1" w:tplc="4F2E2A1C">
      <w:start w:val="1"/>
      <w:numFmt w:val="lowerLetter"/>
      <w:lvlText w:val="%2."/>
      <w:lvlJc w:val="left"/>
      <w:pPr>
        <w:ind w:left="1440" w:hanging="360"/>
      </w:pPr>
    </w:lvl>
    <w:lvl w:ilvl="2" w:tplc="DF72AF06">
      <w:start w:val="1"/>
      <w:numFmt w:val="lowerRoman"/>
      <w:lvlText w:val="%3."/>
      <w:lvlJc w:val="right"/>
      <w:pPr>
        <w:ind w:left="2160" w:hanging="180"/>
      </w:pPr>
    </w:lvl>
    <w:lvl w:ilvl="3" w:tplc="E46A6ED8">
      <w:start w:val="1"/>
      <w:numFmt w:val="decimal"/>
      <w:lvlText w:val="%4."/>
      <w:lvlJc w:val="left"/>
      <w:pPr>
        <w:ind w:left="2880" w:hanging="360"/>
      </w:pPr>
    </w:lvl>
    <w:lvl w:ilvl="4" w:tplc="E5C6A08E">
      <w:start w:val="1"/>
      <w:numFmt w:val="lowerLetter"/>
      <w:lvlText w:val="%5."/>
      <w:lvlJc w:val="left"/>
      <w:pPr>
        <w:ind w:left="3600" w:hanging="360"/>
      </w:pPr>
    </w:lvl>
    <w:lvl w:ilvl="5" w:tplc="D04ED214">
      <w:start w:val="1"/>
      <w:numFmt w:val="lowerRoman"/>
      <w:lvlText w:val="%6."/>
      <w:lvlJc w:val="right"/>
      <w:pPr>
        <w:ind w:left="4320" w:hanging="180"/>
      </w:pPr>
    </w:lvl>
    <w:lvl w:ilvl="6" w:tplc="BEDC77E0">
      <w:start w:val="1"/>
      <w:numFmt w:val="decimal"/>
      <w:lvlText w:val="%7."/>
      <w:lvlJc w:val="left"/>
      <w:pPr>
        <w:ind w:left="5040" w:hanging="360"/>
      </w:pPr>
    </w:lvl>
    <w:lvl w:ilvl="7" w:tplc="3612B16E">
      <w:start w:val="1"/>
      <w:numFmt w:val="lowerLetter"/>
      <w:lvlText w:val="%8."/>
      <w:lvlJc w:val="left"/>
      <w:pPr>
        <w:ind w:left="5760" w:hanging="360"/>
      </w:pPr>
    </w:lvl>
    <w:lvl w:ilvl="8" w:tplc="7FBA642E">
      <w:start w:val="1"/>
      <w:numFmt w:val="lowerRoman"/>
      <w:lvlText w:val="%9."/>
      <w:lvlJc w:val="right"/>
      <w:pPr>
        <w:ind w:left="6480" w:hanging="180"/>
      </w:pPr>
    </w:lvl>
  </w:abstractNum>
  <w:abstractNum w:abstractNumId="45" w15:restartNumberingAfterBreak="0">
    <w:nsid w:val="619D04FB"/>
    <w:multiLevelType w:val="hybridMultilevel"/>
    <w:tmpl w:val="92763622"/>
    <w:lvl w:ilvl="0" w:tplc="3ED27ADC">
      <w:start w:val="1"/>
      <w:numFmt w:val="bullet"/>
      <w:lvlText w:val="-"/>
      <w:lvlJc w:val="left"/>
      <w:pPr>
        <w:ind w:left="720" w:hanging="360"/>
      </w:pPr>
      <w:rPr>
        <w:rFonts w:ascii="Calibri" w:hAnsi="Calibri" w:hint="default"/>
      </w:rPr>
    </w:lvl>
    <w:lvl w:ilvl="1" w:tplc="B854E73C">
      <w:start w:val="1"/>
      <w:numFmt w:val="bullet"/>
      <w:lvlText w:val="o"/>
      <w:lvlJc w:val="left"/>
      <w:pPr>
        <w:ind w:left="1440" w:hanging="360"/>
      </w:pPr>
      <w:rPr>
        <w:rFonts w:ascii="Courier New" w:hAnsi="Courier New" w:hint="default"/>
      </w:rPr>
    </w:lvl>
    <w:lvl w:ilvl="2" w:tplc="9146BEB8">
      <w:start w:val="1"/>
      <w:numFmt w:val="bullet"/>
      <w:lvlText w:val=""/>
      <w:lvlJc w:val="left"/>
      <w:pPr>
        <w:ind w:left="2160" w:hanging="360"/>
      </w:pPr>
      <w:rPr>
        <w:rFonts w:ascii="Wingdings" w:hAnsi="Wingdings" w:hint="default"/>
      </w:rPr>
    </w:lvl>
    <w:lvl w:ilvl="3" w:tplc="327E56E4">
      <w:start w:val="1"/>
      <w:numFmt w:val="bullet"/>
      <w:lvlText w:val=""/>
      <w:lvlJc w:val="left"/>
      <w:pPr>
        <w:ind w:left="2880" w:hanging="360"/>
      </w:pPr>
      <w:rPr>
        <w:rFonts w:ascii="Symbol" w:hAnsi="Symbol" w:hint="default"/>
      </w:rPr>
    </w:lvl>
    <w:lvl w:ilvl="4" w:tplc="CF78A566">
      <w:start w:val="1"/>
      <w:numFmt w:val="bullet"/>
      <w:lvlText w:val="o"/>
      <w:lvlJc w:val="left"/>
      <w:pPr>
        <w:ind w:left="3600" w:hanging="360"/>
      </w:pPr>
      <w:rPr>
        <w:rFonts w:ascii="Courier New" w:hAnsi="Courier New" w:hint="default"/>
      </w:rPr>
    </w:lvl>
    <w:lvl w:ilvl="5" w:tplc="DD581F56">
      <w:start w:val="1"/>
      <w:numFmt w:val="bullet"/>
      <w:lvlText w:val=""/>
      <w:lvlJc w:val="left"/>
      <w:pPr>
        <w:ind w:left="4320" w:hanging="360"/>
      </w:pPr>
      <w:rPr>
        <w:rFonts w:ascii="Wingdings" w:hAnsi="Wingdings" w:hint="default"/>
      </w:rPr>
    </w:lvl>
    <w:lvl w:ilvl="6" w:tplc="6BD4FD90">
      <w:start w:val="1"/>
      <w:numFmt w:val="bullet"/>
      <w:lvlText w:val=""/>
      <w:lvlJc w:val="left"/>
      <w:pPr>
        <w:ind w:left="5040" w:hanging="360"/>
      </w:pPr>
      <w:rPr>
        <w:rFonts w:ascii="Symbol" w:hAnsi="Symbol" w:hint="default"/>
      </w:rPr>
    </w:lvl>
    <w:lvl w:ilvl="7" w:tplc="0B146826">
      <w:start w:val="1"/>
      <w:numFmt w:val="bullet"/>
      <w:lvlText w:val="o"/>
      <w:lvlJc w:val="left"/>
      <w:pPr>
        <w:ind w:left="5760" w:hanging="360"/>
      </w:pPr>
      <w:rPr>
        <w:rFonts w:ascii="Courier New" w:hAnsi="Courier New" w:hint="default"/>
      </w:rPr>
    </w:lvl>
    <w:lvl w:ilvl="8" w:tplc="00D41976">
      <w:start w:val="1"/>
      <w:numFmt w:val="bullet"/>
      <w:lvlText w:val=""/>
      <w:lvlJc w:val="left"/>
      <w:pPr>
        <w:ind w:left="6480" w:hanging="360"/>
      </w:pPr>
      <w:rPr>
        <w:rFonts w:ascii="Wingdings" w:hAnsi="Wingdings" w:hint="default"/>
      </w:rPr>
    </w:lvl>
  </w:abstractNum>
  <w:abstractNum w:abstractNumId="46" w15:restartNumberingAfterBreak="0">
    <w:nsid w:val="65787A72"/>
    <w:multiLevelType w:val="hybridMultilevel"/>
    <w:tmpl w:val="52726FA6"/>
    <w:lvl w:ilvl="0" w:tplc="CA1054A4">
      <w:start w:val="1"/>
      <w:numFmt w:val="lowerLetter"/>
      <w:lvlText w:val="%1)"/>
      <w:lvlJc w:val="left"/>
      <w:pPr>
        <w:ind w:left="720" w:hanging="360"/>
      </w:pPr>
    </w:lvl>
    <w:lvl w:ilvl="1" w:tplc="88F6DBC2">
      <w:start w:val="1"/>
      <w:numFmt w:val="lowerLetter"/>
      <w:lvlText w:val="%2."/>
      <w:lvlJc w:val="left"/>
      <w:pPr>
        <w:ind w:left="1440" w:hanging="360"/>
      </w:pPr>
    </w:lvl>
    <w:lvl w:ilvl="2" w:tplc="484ACFE4">
      <w:start w:val="1"/>
      <w:numFmt w:val="lowerRoman"/>
      <w:lvlText w:val="%3."/>
      <w:lvlJc w:val="right"/>
      <w:pPr>
        <w:ind w:left="2160" w:hanging="180"/>
      </w:pPr>
    </w:lvl>
    <w:lvl w:ilvl="3" w:tplc="F482B5E4">
      <w:start w:val="1"/>
      <w:numFmt w:val="decimal"/>
      <w:lvlText w:val="%4."/>
      <w:lvlJc w:val="left"/>
      <w:pPr>
        <w:ind w:left="2880" w:hanging="360"/>
      </w:pPr>
    </w:lvl>
    <w:lvl w:ilvl="4" w:tplc="602E53DA">
      <w:start w:val="1"/>
      <w:numFmt w:val="lowerLetter"/>
      <w:lvlText w:val="%5."/>
      <w:lvlJc w:val="left"/>
      <w:pPr>
        <w:ind w:left="3600" w:hanging="360"/>
      </w:pPr>
    </w:lvl>
    <w:lvl w:ilvl="5" w:tplc="38905AAE">
      <w:start w:val="1"/>
      <w:numFmt w:val="lowerRoman"/>
      <w:lvlText w:val="%6."/>
      <w:lvlJc w:val="right"/>
      <w:pPr>
        <w:ind w:left="4320" w:hanging="180"/>
      </w:pPr>
    </w:lvl>
    <w:lvl w:ilvl="6" w:tplc="2D06C216">
      <w:start w:val="1"/>
      <w:numFmt w:val="decimal"/>
      <w:lvlText w:val="%7."/>
      <w:lvlJc w:val="left"/>
      <w:pPr>
        <w:ind w:left="5040" w:hanging="360"/>
      </w:pPr>
    </w:lvl>
    <w:lvl w:ilvl="7" w:tplc="78E465E6">
      <w:start w:val="1"/>
      <w:numFmt w:val="lowerLetter"/>
      <w:lvlText w:val="%8."/>
      <w:lvlJc w:val="left"/>
      <w:pPr>
        <w:ind w:left="5760" w:hanging="360"/>
      </w:pPr>
    </w:lvl>
    <w:lvl w:ilvl="8" w:tplc="B3FC57C4">
      <w:start w:val="1"/>
      <w:numFmt w:val="lowerRoman"/>
      <w:lvlText w:val="%9."/>
      <w:lvlJc w:val="right"/>
      <w:pPr>
        <w:ind w:left="6480" w:hanging="180"/>
      </w:pPr>
    </w:lvl>
  </w:abstractNum>
  <w:abstractNum w:abstractNumId="4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8" w15:restartNumberingAfterBreak="0">
    <w:nsid w:val="6A911487"/>
    <w:multiLevelType w:val="hybridMultilevel"/>
    <w:tmpl w:val="4F7E21AE"/>
    <w:lvl w:ilvl="0" w:tplc="543CF2A2">
      <w:start w:val="1"/>
      <w:numFmt w:val="lowerLetter"/>
      <w:lvlText w:val="%1)"/>
      <w:lvlJc w:val="left"/>
      <w:pPr>
        <w:ind w:left="720" w:hanging="360"/>
      </w:pPr>
    </w:lvl>
    <w:lvl w:ilvl="1" w:tplc="C276C082">
      <w:start w:val="1"/>
      <w:numFmt w:val="lowerLetter"/>
      <w:lvlText w:val="%2."/>
      <w:lvlJc w:val="left"/>
      <w:pPr>
        <w:ind w:left="1440" w:hanging="360"/>
      </w:pPr>
    </w:lvl>
    <w:lvl w:ilvl="2" w:tplc="CE308822">
      <w:start w:val="1"/>
      <w:numFmt w:val="lowerRoman"/>
      <w:lvlText w:val="%3."/>
      <w:lvlJc w:val="right"/>
      <w:pPr>
        <w:ind w:left="2160" w:hanging="180"/>
      </w:pPr>
    </w:lvl>
    <w:lvl w:ilvl="3" w:tplc="F9EA3266">
      <w:start w:val="1"/>
      <w:numFmt w:val="decimal"/>
      <w:lvlText w:val="%4."/>
      <w:lvlJc w:val="left"/>
      <w:pPr>
        <w:ind w:left="2880" w:hanging="360"/>
      </w:pPr>
    </w:lvl>
    <w:lvl w:ilvl="4" w:tplc="EAEAD62A">
      <w:start w:val="1"/>
      <w:numFmt w:val="lowerLetter"/>
      <w:lvlText w:val="%5."/>
      <w:lvlJc w:val="left"/>
      <w:pPr>
        <w:ind w:left="3600" w:hanging="360"/>
      </w:pPr>
    </w:lvl>
    <w:lvl w:ilvl="5" w:tplc="9E4406F4">
      <w:start w:val="1"/>
      <w:numFmt w:val="lowerRoman"/>
      <w:lvlText w:val="%6."/>
      <w:lvlJc w:val="right"/>
      <w:pPr>
        <w:ind w:left="4320" w:hanging="180"/>
      </w:pPr>
    </w:lvl>
    <w:lvl w:ilvl="6" w:tplc="3ADA3C5E">
      <w:start w:val="1"/>
      <w:numFmt w:val="decimal"/>
      <w:lvlText w:val="%7."/>
      <w:lvlJc w:val="left"/>
      <w:pPr>
        <w:ind w:left="5040" w:hanging="360"/>
      </w:pPr>
    </w:lvl>
    <w:lvl w:ilvl="7" w:tplc="65E45598">
      <w:start w:val="1"/>
      <w:numFmt w:val="lowerLetter"/>
      <w:lvlText w:val="%8."/>
      <w:lvlJc w:val="left"/>
      <w:pPr>
        <w:ind w:left="5760" w:hanging="360"/>
      </w:pPr>
    </w:lvl>
    <w:lvl w:ilvl="8" w:tplc="2CE4A9A2">
      <w:start w:val="1"/>
      <w:numFmt w:val="lowerRoman"/>
      <w:lvlText w:val="%9."/>
      <w:lvlJc w:val="right"/>
      <w:pPr>
        <w:ind w:left="6480" w:hanging="180"/>
      </w:pPr>
    </w:lvl>
  </w:abstractNum>
  <w:abstractNum w:abstractNumId="49" w15:restartNumberingAfterBreak="0">
    <w:nsid w:val="6D104D23"/>
    <w:multiLevelType w:val="hybridMultilevel"/>
    <w:tmpl w:val="B13282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D884436"/>
    <w:multiLevelType w:val="hybridMultilevel"/>
    <w:tmpl w:val="3E0CA65A"/>
    <w:lvl w:ilvl="0" w:tplc="612657B6">
      <w:start w:val="1"/>
      <w:numFmt w:val="lowerLetter"/>
      <w:lvlText w:val="%1)"/>
      <w:lvlJc w:val="left"/>
      <w:pPr>
        <w:ind w:left="720" w:hanging="360"/>
      </w:pPr>
    </w:lvl>
    <w:lvl w:ilvl="1" w:tplc="52446B42">
      <w:start w:val="1"/>
      <w:numFmt w:val="lowerLetter"/>
      <w:lvlText w:val="%2."/>
      <w:lvlJc w:val="left"/>
      <w:pPr>
        <w:ind w:left="1440" w:hanging="360"/>
      </w:pPr>
    </w:lvl>
    <w:lvl w:ilvl="2" w:tplc="43E623F0">
      <w:start w:val="1"/>
      <w:numFmt w:val="lowerRoman"/>
      <w:lvlText w:val="%3."/>
      <w:lvlJc w:val="right"/>
      <w:pPr>
        <w:ind w:left="2160" w:hanging="180"/>
      </w:pPr>
    </w:lvl>
    <w:lvl w:ilvl="3" w:tplc="0EA2D7FE">
      <w:start w:val="1"/>
      <w:numFmt w:val="decimal"/>
      <w:lvlText w:val="%4."/>
      <w:lvlJc w:val="left"/>
      <w:pPr>
        <w:ind w:left="2880" w:hanging="360"/>
      </w:pPr>
    </w:lvl>
    <w:lvl w:ilvl="4" w:tplc="CDEEC6E4">
      <w:start w:val="1"/>
      <w:numFmt w:val="lowerLetter"/>
      <w:lvlText w:val="%5."/>
      <w:lvlJc w:val="left"/>
      <w:pPr>
        <w:ind w:left="3600" w:hanging="360"/>
      </w:pPr>
    </w:lvl>
    <w:lvl w:ilvl="5" w:tplc="BE123DFA">
      <w:start w:val="1"/>
      <w:numFmt w:val="lowerRoman"/>
      <w:lvlText w:val="%6."/>
      <w:lvlJc w:val="right"/>
      <w:pPr>
        <w:ind w:left="4320" w:hanging="180"/>
      </w:pPr>
    </w:lvl>
    <w:lvl w:ilvl="6" w:tplc="1E529F8E">
      <w:start w:val="1"/>
      <w:numFmt w:val="decimal"/>
      <w:lvlText w:val="%7."/>
      <w:lvlJc w:val="left"/>
      <w:pPr>
        <w:ind w:left="5040" w:hanging="360"/>
      </w:pPr>
    </w:lvl>
    <w:lvl w:ilvl="7" w:tplc="AB78CE72">
      <w:start w:val="1"/>
      <w:numFmt w:val="lowerLetter"/>
      <w:lvlText w:val="%8."/>
      <w:lvlJc w:val="left"/>
      <w:pPr>
        <w:ind w:left="5760" w:hanging="360"/>
      </w:pPr>
    </w:lvl>
    <w:lvl w:ilvl="8" w:tplc="94F87C08">
      <w:start w:val="1"/>
      <w:numFmt w:val="lowerRoman"/>
      <w:lvlText w:val="%9."/>
      <w:lvlJc w:val="right"/>
      <w:pPr>
        <w:ind w:left="6480" w:hanging="180"/>
      </w:pPr>
    </w:lvl>
  </w:abstractNum>
  <w:abstractNum w:abstractNumId="51" w15:restartNumberingAfterBreak="0">
    <w:nsid w:val="6D9F3959"/>
    <w:multiLevelType w:val="hybridMultilevel"/>
    <w:tmpl w:val="2E1A1360"/>
    <w:lvl w:ilvl="0" w:tplc="EDBE2B30">
      <w:start w:val="1"/>
      <w:numFmt w:val="lowerLetter"/>
      <w:lvlText w:val="%1)"/>
      <w:lvlJc w:val="left"/>
      <w:pPr>
        <w:ind w:left="720" w:hanging="360"/>
      </w:pPr>
    </w:lvl>
    <w:lvl w:ilvl="1" w:tplc="29481230">
      <w:start w:val="1"/>
      <w:numFmt w:val="lowerLetter"/>
      <w:lvlText w:val="%2."/>
      <w:lvlJc w:val="left"/>
      <w:pPr>
        <w:ind w:left="1440" w:hanging="360"/>
      </w:pPr>
    </w:lvl>
    <w:lvl w:ilvl="2" w:tplc="1FA4332A">
      <w:start w:val="1"/>
      <w:numFmt w:val="lowerRoman"/>
      <w:lvlText w:val="%3."/>
      <w:lvlJc w:val="right"/>
      <w:pPr>
        <w:ind w:left="2160" w:hanging="180"/>
      </w:pPr>
    </w:lvl>
    <w:lvl w:ilvl="3" w:tplc="4D4E13E8">
      <w:start w:val="1"/>
      <w:numFmt w:val="decimal"/>
      <w:lvlText w:val="%4."/>
      <w:lvlJc w:val="left"/>
      <w:pPr>
        <w:ind w:left="2880" w:hanging="360"/>
      </w:pPr>
    </w:lvl>
    <w:lvl w:ilvl="4" w:tplc="09928646">
      <w:start w:val="1"/>
      <w:numFmt w:val="lowerLetter"/>
      <w:lvlText w:val="%5."/>
      <w:lvlJc w:val="left"/>
      <w:pPr>
        <w:ind w:left="3600" w:hanging="360"/>
      </w:pPr>
    </w:lvl>
    <w:lvl w:ilvl="5" w:tplc="A6325A86">
      <w:start w:val="1"/>
      <w:numFmt w:val="lowerRoman"/>
      <w:lvlText w:val="%6."/>
      <w:lvlJc w:val="right"/>
      <w:pPr>
        <w:ind w:left="4320" w:hanging="180"/>
      </w:pPr>
    </w:lvl>
    <w:lvl w:ilvl="6" w:tplc="17FC7F5C">
      <w:start w:val="1"/>
      <w:numFmt w:val="decimal"/>
      <w:lvlText w:val="%7."/>
      <w:lvlJc w:val="left"/>
      <w:pPr>
        <w:ind w:left="5040" w:hanging="360"/>
      </w:pPr>
    </w:lvl>
    <w:lvl w:ilvl="7" w:tplc="6E30988E">
      <w:start w:val="1"/>
      <w:numFmt w:val="lowerLetter"/>
      <w:lvlText w:val="%8."/>
      <w:lvlJc w:val="left"/>
      <w:pPr>
        <w:ind w:left="5760" w:hanging="360"/>
      </w:pPr>
    </w:lvl>
    <w:lvl w:ilvl="8" w:tplc="03FC2844">
      <w:start w:val="1"/>
      <w:numFmt w:val="lowerRoman"/>
      <w:lvlText w:val="%9."/>
      <w:lvlJc w:val="right"/>
      <w:pPr>
        <w:ind w:left="6480" w:hanging="180"/>
      </w:pPr>
    </w:lvl>
  </w:abstractNum>
  <w:abstractNum w:abstractNumId="52" w15:restartNumberingAfterBreak="0">
    <w:nsid w:val="6ECF44D0"/>
    <w:multiLevelType w:val="hybridMultilevel"/>
    <w:tmpl w:val="4BB6159A"/>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02C04C3"/>
    <w:multiLevelType w:val="hybridMultilevel"/>
    <w:tmpl w:val="FDA89F5C"/>
    <w:lvl w:ilvl="0" w:tplc="8D522C0A">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AD05F3F"/>
    <w:multiLevelType w:val="hybridMultilevel"/>
    <w:tmpl w:val="8D022870"/>
    <w:lvl w:ilvl="0" w:tplc="DDF24886">
      <w:start w:val="1"/>
      <w:numFmt w:val="lowerLetter"/>
      <w:lvlText w:val="%1)"/>
      <w:lvlJc w:val="left"/>
      <w:pPr>
        <w:ind w:left="720" w:hanging="360"/>
      </w:pPr>
    </w:lvl>
    <w:lvl w:ilvl="1" w:tplc="91E8F46C">
      <w:start w:val="1"/>
      <w:numFmt w:val="lowerLetter"/>
      <w:lvlText w:val="%2."/>
      <w:lvlJc w:val="left"/>
      <w:pPr>
        <w:ind w:left="1440" w:hanging="360"/>
      </w:pPr>
    </w:lvl>
    <w:lvl w:ilvl="2" w:tplc="57281850">
      <w:start w:val="1"/>
      <w:numFmt w:val="lowerRoman"/>
      <w:lvlText w:val="%3."/>
      <w:lvlJc w:val="right"/>
      <w:pPr>
        <w:ind w:left="2160" w:hanging="180"/>
      </w:pPr>
    </w:lvl>
    <w:lvl w:ilvl="3" w:tplc="1856F0F6">
      <w:start w:val="1"/>
      <w:numFmt w:val="decimal"/>
      <w:lvlText w:val="%4."/>
      <w:lvlJc w:val="left"/>
      <w:pPr>
        <w:ind w:left="2880" w:hanging="360"/>
      </w:pPr>
    </w:lvl>
    <w:lvl w:ilvl="4" w:tplc="BC08188E">
      <w:start w:val="1"/>
      <w:numFmt w:val="lowerLetter"/>
      <w:lvlText w:val="%5."/>
      <w:lvlJc w:val="left"/>
      <w:pPr>
        <w:ind w:left="3600" w:hanging="360"/>
      </w:pPr>
    </w:lvl>
    <w:lvl w:ilvl="5" w:tplc="7DBE806C">
      <w:start w:val="1"/>
      <w:numFmt w:val="lowerRoman"/>
      <w:lvlText w:val="%6."/>
      <w:lvlJc w:val="right"/>
      <w:pPr>
        <w:ind w:left="4320" w:hanging="180"/>
      </w:pPr>
    </w:lvl>
    <w:lvl w:ilvl="6" w:tplc="34E0D498">
      <w:start w:val="1"/>
      <w:numFmt w:val="decimal"/>
      <w:lvlText w:val="%7."/>
      <w:lvlJc w:val="left"/>
      <w:pPr>
        <w:ind w:left="5040" w:hanging="360"/>
      </w:pPr>
    </w:lvl>
    <w:lvl w:ilvl="7" w:tplc="841489E0">
      <w:start w:val="1"/>
      <w:numFmt w:val="lowerLetter"/>
      <w:lvlText w:val="%8."/>
      <w:lvlJc w:val="left"/>
      <w:pPr>
        <w:ind w:left="5760" w:hanging="360"/>
      </w:pPr>
    </w:lvl>
    <w:lvl w:ilvl="8" w:tplc="B9360040">
      <w:start w:val="1"/>
      <w:numFmt w:val="lowerRoman"/>
      <w:lvlText w:val="%9."/>
      <w:lvlJc w:val="right"/>
      <w:pPr>
        <w:ind w:left="6480" w:hanging="180"/>
      </w:pPr>
    </w:lvl>
  </w:abstractNum>
  <w:abstractNum w:abstractNumId="55"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141191739">
    <w:abstractNumId w:val="41"/>
  </w:num>
  <w:num w:numId="2" w16cid:durableId="220798735">
    <w:abstractNumId w:val="27"/>
  </w:num>
  <w:num w:numId="3" w16cid:durableId="2086678847">
    <w:abstractNumId w:val="47"/>
  </w:num>
  <w:num w:numId="4" w16cid:durableId="1791364043">
    <w:abstractNumId w:val="23"/>
  </w:num>
  <w:num w:numId="5" w16cid:durableId="1170023138">
    <w:abstractNumId w:val="28"/>
  </w:num>
  <w:num w:numId="6" w16cid:durableId="44254420">
    <w:abstractNumId w:val="18"/>
  </w:num>
  <w:num w:numId="7" w16cid:durableId="1898973235">
    <w:abstractNumId w:val="13"/>
  </w:num>
  <w:num w:numId="8" w16cid:durableId="1407386598">
    <w:abstractNumId w:val="29"/>
  </w:num>
  <w:num w:numId="9" w16cid:durableId="1195658298">
    <w:abstractNumId w:val="40"/>
  </w:num>
  <w:num w:numId="10" w16cid:durableId="440222898">
    <w:abstractNumId w:val="21"/>
  </w:num>
  <w:num w:numId="11" w16cid:durableId="2070570865">
    <w:abstractNumId w:val="35"/>
  </w:num>
  <w:num w:numId="12" w16cid:durableId="1948733608">
    <w:abstractNumId w:val="3"/>
  </w:num>
  <w:num w:numId="13" w16cid:durableId="1107314543">
    <w:abstractNumId w:val="2"/>
  </w:num>
  <w:num w:numId="14" w16cid:durableId="447361934">
    <w:abstractNumId w:val="1"/>
  </w:num>
  <w:num w:numId="15" w16cid:durableId="546474">
    <w:abstractNumId w:val="0"/>
  </w:num>
  <w:num w:numId="16" w16cid:durableId="1536188867">
    <w:abstractNumId w:val="45"/>
  </w:num>
  <w:num w:numId="17" w16cid:durableId="1923026984">
    <w:abstractNumId w:val="6"/>
  </w:num>
  <w:num w:numId="18" w16cid:durableId="591667341">
    <w:abstractNumId w:val="52"/>
  </w:num>
  <w:num w:numId="19" w16cid:durableId="1130050203">
    <w:abstractNumId w:val="38"/>
  </w:num>
  <w:num w:numId="20" w16cid:durableId="267783368">
    <w:abstractNumId w:val="24"/>
  </w:num>
  <w:num w:numId="21" w16cid:durableId="1187986489">
    <w:abstractNumId w:val="50"/>
  </w:num>
  <w:num w:numId="22" w16cid:durableId="895705205">
    <w:abstractNumId w:val="48"/>
  </w:num>
  <w:num w:numId="23" w16cid:durableId="192811246">
    <w:abstractNumId w:val="14"/>
  </w:num>
  <w:num w:numId="24" w16cid:durableId="736978299">
    <w:abstractNumId w:val="42"/>
  </w:num>
  <w:num w:numId="25" w16cid:durableId="956908691">
    <w:abstractNumId w:val="32"/>
  </w:num>
  <w:num w:numId="26" w16cid:durableId="449865112">
    <w:abstractNumId w:val="30"/>
  </w:num>
  <w:num w:numId="27" w16cid:durableId="722798127">
    <w:abstractNumId w:val="26"/>
  </w:num>
  <w:num w:numId="28" w16cid:durableId="1482842960">
    <w:abstractNumId w:val="4"/>
  </w:num>
  <w:num w:numId="29" w16cid:durableId="1679499883">
    <w:abstractNumId w:val="22"/>
  </w:num>
  <w:num w:numId="30" w16cid:durableId="580255904">
    <w:abstractNumId w:val="17"/>
  </w:num>
  <w:num w:numId="31" w16cid:durableId="1772891401">
    <w:abstractNumId w:val="7"/>
  </w:num>
  <w:num w:numId="32" w16cid:durableId="2035226590">
    <w:abstractNumId w:val="51"/>
  </w:num>
  <w:num w:numId="33" w16cid:durableId="1124231114">
    <w:abstractNumId w:val="11"/>
  </w:num>
  <w:num w:numId="34" w16cid:durableId="445855721">
    <w:abstractNumId w:val="44"/>
  </w:num>
  <w:num w:numId="35" w16cid:durableId="1874461863">
    <w:abstractNumId w:val="31"/>
  </w:num>
  <w:num w:numId="36" w16cid:durableId="2124954687">
    <w:abstractNumId w:val="16"/>
  </w:num>
  <w:num w:numId="37" w16cid:durableId="505479873">
    <w:abstractNumId w:val="37"/>
  </w:num>
  <w:num w:numId="38" w16cid:durableId="824860792">
    <w:abstractNumId w:val="46"/>
  </w:num>
  <w:num w:numId="39" w16cid:durableId="802041750">
    <w:abstractNumId w:val="5"/>
  </w:num>
  <w:num w:numId="40" w16cid:durableId="142966308">
    <w:abstractNumId w:val="8"/>
  </w:num>
  <w:num w:numId="41" w16cid:durableId="871651634">
    <w:abstractNumId w:val="49"/>
  </w:num>
  <w:num w:numId="42" w16cid:durableId="906645147">
    <w:abstractNumId w:val="33"/>
  </w:num>
  <w:num w:numId="43" w16cid:durableId="148714347">
    <w:abstractNumId w:val="54"/>
  </w:num>
  <w:num w:numId="44" w16cid:durableId="1749575648">
    <w:abstractNumId w:val="36"/>
  </w:num>
  <w:num w:numId="45" w16cid:durableId="1063019771">
    <w:abstractNumId w:val="12"/>
  </w:num>
  <w:num w:numId="46" w16cid:durableId="14971911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58272835">
    <w:abstractNumId w:val="20"/>
  </w:num>
  <w:num w:numId="48" w16cid:durableId="2112505671">
    <w:abstractNumId w:val="9"/>
  </w:num>
  <w:num w:numId="49" w16cid:durableId="1701666120">
    <w:abstractNumId w:val="19"/>
  </w:num>
  <w:num w:numId="50" w16cid:durableId="1234193593">
    <w:abstractNumId w:val="34"/>
  </w:num>
  <w:num w:numId="51" w16cid:durableId="972250462">
    <w:abstractNumId w:val="25"/>
  </w:num>
  <w:num w:numId="52" w16cid:durableId="1680305928">
    <w:abstractNumId w:val="10"/>
  </w:num>
  <w:num w:numId="53" w16cid:durableId="264074834">
    <w:abstractNumId w:val="43"/>
  </w:num>
  <w:num w:numId="54" w16cid:durableId="978848310">
    <w:abstractNumId w:val="15"/>
  </w:num>
  <w:num w:numId="55" w16cid:durableId="368456914">
    <w:abstractNumId w:val="39"/>
  </w:num>
  <w:num w:numId="56" w16cid:durableId="1675255945">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ocStatus" w:val="Green"/>
    <w:docVar w:name="LW_ACCOMPAGNANT.CP" w:val="to the "/>
    <w:docVar w:name="LW_ANNEX_NBR_FIRST" w:val="1"/>
    <w:docVar w:name="LW_ANNEX_NBR_LAST" w:val="2"/>
    <w:docVar w:name="LW_ANNEX_UNIQUE" w:val="0"/>
    <w:docVar w:name="LW_CORRIGENDUM" w:val="&lt;UNUSED&gt;"/>
    <w:docVar w:name="LW_COVERPAGE_EXISTS" w:val="True"/>
    <w:docVar w:name="LW_COVERPAGE_GUID" w:val="4B915A20-988E-4497-A105-476A82B51752"/>
    <w:docVar w:name="LW_COVERPAGE_TYPE" w:val="1"/>
    <w:docVar w:name="LW_CROSSREFERENCE" w:val="&lt;UNUSED&gt;"/>
    <w:docVar w:name="LW_DocType" w:val="NORMAL"/>
    <w:docVar w:name="LW_EMISSION" w:val="&lt;EMPTY&gt;"/>
    <w:docVar w:name="LW_EMISSION_ISODATE" w:val="&lt;EMPTY&gt;"/>
    <w:docVar w:name="LW_EMISSION_LOCATION" w:val="BRX"/>
    <w:docVar w:name="LW_EMISSION_PREFIX" w:val="Brussels, "/>
    <w:docVar w:name="LW_EMISSION_SUFFIX" w:val=" "/>
    <w:docVar w:name="LW_ID_DOCTYPE_NONLW" w:val="CP-038"/>
    <w:docVar w:name="LW_LANGUE" w:val="EN"/>
    <w:docVar w:name="LW_LEVEL_OF_SENSITIVITY" w:val="Standard treatment"/>
    <w:docVar w:name="LW_NOM.INST" w:val="EUROPEAN COMMISSION"/>
    <w:docVar w:name="LW_NOM.INST_JOINTDOC" w:val="&lt;EMPTY&gt;"/>
    <w:docVar w:name="LW_OBJETACTEPRINCIPAL.CP" w:val="approving the modifications to the Operational Arrangements between the Commission and Latvia pursuant to Regulation (EU) 2021/241"/>
    <w:docVar w:name="LW_PART_NBR" w:val="&lt;UNUSED&gt;"/>
    <w:docVar w:name="LW_PART_NBR_TOTAL" w:val="&lt;UNUSED&gt;"/>
    <w:docVar w:name="LW_REF.INST.NEW" w:val="&lt;EMPTY&gt;"/>
    <w:docVar w:name="LW_REF.INST.NEW_ADOPTED" w:val="draft"/>
    <w:docVar w:name="LW_REF.INST.NEW_TEXT" w:val="(2025) XXX"/>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Commission Decision"/>
  </w:docVars>
  <w:rsids>
    <w:rsidRoot w:val="00BA1475"/>
    <w:rsid w:val="000175B9"/>
    <w:rsid w:val="0006611D"/>
    <w:rsid w:val="001F5984"/>
    <w:rsid w:val="00281824"/>
    <w:rsid w:val="00284E23"/>
    <w:rsid w:val="002C5731"/>
    <w:rsid w:val="00322EF4"/>
    <w:rsid w:val="0033618E"/>
    <w:rsid w:val="00343366"/>
    <w:rsid w:val="00345752"/>
    <w:rsid w:val="003C3B34"/>
    <w:rsid w:val="003C7856"/>
    <w:rsid w:val="004D3CCA"/>
    <w:rsid w:val="00566B83"/>
    <w:rsid w:val="005B1D75"/>
    <w:rsid w:val="005F64D8"/>
    <w:rsid w:val="00610215"/>
    <w:rsid w:val="006170ED"/>
    <w:rsid w:val="006313AA"/>
    <w:rsid w:val="006A70E1"/>
    <w:rsid w:val="006C6C62"/>
    <w:rsid w:val="006F162D"/>
    <w:rsid w:val="00713E68"/>
    <w:rsid w:val="007570C9"/>
    <w:rsid w:val="007802BD"/>
    <w:rsid w:val="007863BD"/>
    <w:rsid w:val="007904E8"/>
    <w:rsid w:val="007E24EB"/>
    <w:rsid w:val="0080639B"/>
    <w:rsid w:val="008507F2"/>
    <w:rsid w:val="00946F34"/>
    <w:rsid w:val="009858F6"/>
    <w:rsid w:val="00986C8C"/>
    <w:rsid w:val="009B5730"/>
    <w:rsid w:val="009C5ECA"/>
    <w:rsid w:val="009F1544"/>
    <w:rsid w:val="00A07E8C"/>
    <w:rsid w:val="00A21A66"/>
    <w:rsid w:val="00A822F1"/>
    <w:rsid w:val="00A946F2"/>
    <w:rsid w:val="00AA1ACD"/>
    <w:rsid w:val="00AA7E7A"/>
    <w:rsid w:val="00AD26CA"/>
    <w:rsid w:val="00B27E64"/>
    <w:rsid w:val="00B36586"/>
    <w:rsid w:val="00B861C2"/>
    <w:rsid w:val="00BA1475"/>
    <w:rsid w:val="00BE157F"/>
    <w:rsid w:val="00BE581E"/>
    <w:rsid w:val="00CE64D2"/>
    <w:rsid w:val="00D06016"/>
    <w:rsid w:val="00D1378C"/>
    <w:rsid w:val="00D91D0A"/>
    <w:rsid w:val="00DC717C"/>
    <w:rsid w:val="00E00596"/>
    <w:rsid w:val="00EB1DD6"/>
    <w:rsid w:val="00ED39A5"/>
    <w:rsid w:val="00F50948"/>
    <w:rsid w:val="00F53D8E"/>
    <w:rsid w:val="00F65EB5"/>
    <w:rsid w:val="00FA2B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B4D215"/>
  <w15:chartTrackingRefBased/>
  <w15:docId w15:val="{22C719FE-0C02-4BD6-B504-CFFDC5121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BA1475"/>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BA1475"/>
    <w:pPr>
      <w:keepNext/>
      <w:keepLines/>
      <w:spacing w:before="40" w:after="0"/>
      <w:outlineLvl w:val="1"/>
    </w:pPr>
    <w:rPr>
      <w:rFonts w:ascii="Times New Roman" w:eastAsia="MS Gothic" w:hAnsi="Times New Roman" w:cs="Times New Roman"/>
      <w:b/>
      <w:bCs/>
      <w:sz w:val="24"/>
      <w:szCs w:val="26"/>
    </w:rPr>
  </w:style>
  <w:style w:type="paragraph" w:styleId="Heading3">
    <w:name w:val="heading 3"/>
    <w:basedOn w:val="Normal"/>
    <w:next w:val="Normal"/>
    <w:link w:val="Heading3Char"/>
    <w:uiPriority w:val="9"/>
    <w:semiHidden/>
    <w:unhideWhenUsed/>
    <w:qFormat/>
    <w:rsid w:val="00BA1475"/>
    <w:pPr>
      <w:keepNext/>
      <w:keepLines/>
      <w:spacing w:before="40" w:after="0"/>
      <w:outlineLvl w:val="2"/>
    </w:pPr>
    <w:rPr>
      <w:rFonts w:ascii="Times New Roman" w:eastAsia="MS Gothic" w:hAnsi="Times New Roman" w:cs="Times New Roman"/>
      <w:bCs/>
      <w:i/>
      <w:sz w:val="24"/>
    </w:rPr>
  </w:style>
  <w:style w:type="paragraph" w:styleId="Heading4">
    <w:name w:val="heading 4"/>
    <w:basedOn w:val="Normal"/>
    <w:next w:val="Normal"/>
    <w:link w:val="Heading4Char"/>
    <w:uiPriority w:val="9"/>
    <w:semiHidden/>
    <w:unhideWhenUsed/>
    <w:qFormat/>
    <w:rsid w:val="00BA1475"/>
    <w:pPr>
      <w:keepNext/>
      <w:keepLines/>
      <w:spacing w:before="40" w:after="0"/>
      <w:outlineLvl w:val="3"/>
    </w:pPr>
    <w:rPr>
      <w:rFonts w:ascii="Times New Roman" w:eastAsia="MS Gothic" w:hAnsi="Times New Roman" w:cs="Times New Roman"/>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A1475"/>
    <w:rPr>
      <w:color w:val="0000FF"/>
      <w:shd w:val="clear" w:color="auto" w:fill="auto"/>
    </w:rPr>
  </w:style>
  <w:style w:type="paragraph" w:styleId="Header">
    <w:name w:val="header"/>
    <w:basedOn w:val="Normal"/>
    <w:link w:val="HeaderChar"/>
    <w:uiPriority w:val="99"/>
    <w:unhideWhenUsed/>
    <w:rsid w:val="00BA1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1475"/>
  </w:style>
  <w:style w:type="paragraph" w:styleId="Footer">
    <w:name w:val="footer"/>
    <w:basedOn w:val="Normal"/>
    <w:link w:val="FooterChar"/>
    <w:uiPriority w:val="99"/>
    <w:unhideWhenUsed/>
    <w:rsid w:val="00BA1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1475"/>
  </w:style>
  <w:style w:type="paragraph" w:customStyle="1" w:styleId="Pagedecouverture">
    <w:name w:val="Page de couverture"/>
    <w:basedOn w:val="Normal"/>
    <w:next w:val="Normal"/>
    <w:rsid w:val="00BA1475"/>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BA147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A1475"/>
    <w:rPr>
      <w:rFonts w:ascii="Times New Roman" w:hAnsi="Times New Roman" w:cs="Times New Roman"/>
      <w:sz w:val="24"/>
    </w:rPr>
  </w:style>
  <w:style w:type="paragraph" w:customStyle="1" w:styleId="FooterSensitivity">
    <w:name w:val="Footer Sensitivity"/>
    <w:basedOn w:val="Normal"/>
    <w:link w:val="FooterSensitivityChar"/>
    <w:rsid w:val="00BA147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A1475"/>
    <w:rPr>
      <w:rFonts w:ascii="Times New Roman" w:hAnsi="Times New Roman" w:cs="Times New Roman"/>
      <w:b/>
      <w:sz w:val="32"/>
    </w:rPr>
  </w:style>
  <w:style w:type="paragraph" w:customStyle="1" w:styleId="HeaderCoverPage">
    <w:name w:val="Header Cover Page"/>
    <w:basedOn w:val="Normal"/>
    <w:link w:val="HeaderCoverPageChar"/>
    <w:rsid w:val="00BA147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A1475"/>
    <w:rPr>
      <w:rFonts w:ascii="Times New Roman" w:hAnsi="Times New Roman" w:cs="Times New Roman"/>
      <w:sz w:val="24"/>
    </w:rPr>
  </w:style>
  <w:style w:type="paragraph" w:customStyle="1" w:styleId="HeaderSensitivity">
    <w:name w:val="Header Sensitivity"/>
    <w:basedOn w:val="Normal"/>
    <w:link w:val="HeaderSensitivityChar"/>
    <w:rsid w:val="00BA147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A1475"/>
    <w:rPr>
      <w:rFonts w:ascii="Times New Roman" w:hAnsi="Times New Roman" w:cs="Times New Roman"/>
      <w:b/>
      <w:sz w:val="32"/>
    </w:rPr>
  </w:style>
  <w:style w:type="paragraph" w:customStyle="1" w:styleId="HeaderSensitivityRight">
    <w:name w:val="Header Sensitivity Right"/>
    <w:basedOn w:val="Normal"/>
    <w:link w:val="HeaderSensitivityRightChar"/>
    <w:rsid w:val="00BA147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A1475"/>
    <w:rPr>
      <w:rFonts w:ascii="Times New Roman" w:hAnsi="Times New Roman" w:cs="Times New Roman"/>
      <w:sz w:val="28"/>
    </w:rPr>
  </w:style>
  <w:style w:type="paragraph" w:customStyle="1" w:styleId="Heading11">
    <w:name w:val="Heading 11"/>
    <w:basedOn w:val="Normal"/>
    <w:next w:val="Normal"/>
    <w:link w:val="Heading1Char"/>
    <w:uiPriority w:val="9"/>
    <w:qFormat/>
    <w:rsid w:val="00BA1475"/>
    <w:pPr>
      <w:keepNext/>
      <w:keepLines/>
      <w:spacing w:before="240" w:after="0" w:line="276" w:lineRule="auto"/>
      <w:outlineLvl w:val="0"/>
    </w:pPr>
    <w:rPr>
      <w:rFonts w:ascii="Cambria" w:eastAsia="MS Gothic" w:hAnsi="Cambria" w:cs="Times New Roman"/>
      <w:color w:val="365F91"/>
      <w:sz w:val="32"/>
      <w:szCs w:val="32"/>
    </w:rPr>
  </w:style>
  <w:style w:type="paragraph" w:customStyle="1" w:styleId="Heading21">
    <w:name w:val="Heading 21"/>
    <w:basedOn w:val="Normal"/>
    <w:next w:val="Text1"/>
    <w:uiPriority w:val="9"/>
    <w:unhideWhenUsed/>
    <w:qFormat/>
    <w:rsid w:val="00BA1475"/>
    <w:pPr>
      <w:keepNext/>
      <w:tabs>
        <w:tab w:val="num" w:pos="850"/>
      </w:tabs>
      <w:spacing w:before="120" w:after="120" w:line="240" w:lineRule="auto"/>
      <w:ind w:left="850" w:hanging="850"/>
      <w:jc w:val="both"/>
      <w:outlineLvl w:val="1"/>
    </w:pPr>
    <w:rPr>
      <w:rFonts w:ascii="Times New Roman" w:eastAsia="MS Gothic" w:hAnsi="Times New Roman" w:cs="Times New Roman"/>
      <w:b/>
      <w:bCs/>
      <w:kern w:val="0"/>
      <w:sz w:val="24"/>
      <w:szCs w:val="26"/>
      <w:lang w:val="en-GB"/>
    </w:rPr>
  </w:style>
  <w:style w:type="paragraph" w:customStyle="1" w:styleId="Heading31">
    <w:name w:val="Heading 31"/>
    <w:basedOn w:val="Normal"/>
    <w:next w:val="Text1"/>
    <w:uiPriority w:val="9"/>
    <w:unhideWhenUsed/>
    <w:qFormat/>
    <w:rsid w:val="00BA1475"/>
    <w:pPr>
      <w:keepNext/>
      <w:tabs>
        <w:tab w:val="num" w:pos="850"/>
      </w:tabs>
      <w:spacing w:before="120" w:after="120" w:line="240" w:lineRule="auto"/>
      <w:ind w:left="850" w:hanging="850"/>
      <w:jc w:val="both"/>
      <w:outlineLvl w:val="2"/>
    </w:pPr>
    <w:rPr>
      <w:rFonts w:ascii="Times New Roman" w:eastAsia="MS Gothic" w:hAnsi="Times New Roman" w:cs="Times New Roman"/>
      <w:bCs/>
      <w:i/>
      <w:kern w:val="0"/>
      <w:sz w:val="24"/>
      <w:lang w:val="en-GB"/>
    </w:rPr>
  </w:style>
  <w:style w:type="paragraph" w:customStyle="1" w:styleId="Heading41">
    <w:name w:val="Heading 41"/>
    <w:basedOn w:val="Normal"/>
    <w:next w:val="Text1"/>
    <w:uiPriority w:val="9"/>
    <w:unhideWhenUsed/>
    <w:qFormat/>
    <w:rsid w:val="00BA1475"/>
    <w:pPr>
      <w:keepNext/>
      <w:tabs>
        <w:tab w:val="num" w:pos="850"/>
      </w:tabs>
      <w:spacing w:before="120" w:after="120" w:line="240" w:lineRule="auto"/>
      <w:ind w:left="850" w:hanging="850"/>
      <w:jc w:val="both"/>
      <w:outlineLvl w:val="3"/>
    </w:pPr>
    <w:rPr>
      <w:rFonts w:ascii="Times New Roman" w:eastAsia="MS Gothic" w:hAnsi="Times New Roman" w:cs="Times New Roman"/>
      <w:bCs/>
      <w:iCs/>
      <w:kern w:val="0"/>
      <w:sz w:val="24"/>
      <w:lang w:val="en-GB"/>
    </w:rPr>
  </w:style>
  <w:style w:type="numbering" w:customStyle="1" w:styleId="NoList1">
    <w:name w:val="No List1"/>
    <w:next w:val="NoList"/>
    <w:uiPriority w:val="99"/>
    <w:semiHidden/>
    <w:unhideWhenUsed/>
    <w:rsid w:val="00BA1475"/>
  </w:style>
  <w:style w:type="paragraph" w:customStyle="1" w:styleId="Parties">
    <w:name w:val="Parties"/>
    <w:basedOn w:val="Normal"/>
    <w:uiPriority w:val="99"/>
    <w:rsid w:val="00BA1475"/>
    <w:pPr>
      <w:spacing w:after="240" w:line="240" w:lineRule="auto"/>
      <w:jc w:val="center"/>
    </w:pPr>
    <w:rPr>
      <w:rFonts w:ascii="Times New Roman" w:eastAsia="SimSun" w:hAnsi="Times New Roman" w:cs="Times New Roman"/>
      <w:caps/>
      <w:kern w:val="0"/>
      <w:sz w:val="24"/>
      <w:szCs w:val="24"/>
      <w:lang w:val="en-GB" w:eastAsia="zh-CN" w:bidi="ar-AE"/>
    </w:rPr>
  </w:style>
  <w:style w:type="table" w:styleId="TableGrid">
    <w:name w:val="Table Grid"/>
    <w:basedOn w:val="TableNormal"/>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1"/>
    <w:uiPriority w:val="9"/>
    <w:rsid w:val="00BA1475"/>
    <w:rPr>
      <w:rFonts w:ascii="Cambria" w:eastAsia="MS Gothic" w:hAnsi="Cambria" w:cs="Times New Roman"/>
      <w:color w:val="365F91"/>
      <w:sz w:val="32"/>
      <w:szCs w:val="32"/>
      <w:lang w:val="en-IE"/>
    </w:rPr>
  </w:style>
  <w:style w:type="paragraph" w:customStyle="1" w:styleId="footnotedescription">
    <w:name w:val="footnote description"/>
    <w:next w:val="Normal"/>
    <w:link w:val="footnotedescriptionChar"/>
    <w:hidden/>
    <w:rsid w:val="00BA1475"/>
    <w:pPr>
      <w:spacing w:after="0"/>
      <w:ind w:left="665"/>
      <w:jc w:val="both"/>
    </w:pPr>
    <w:rPr>
      <w:rFonts w:ascii="Verdana" w:eastAsia="Verdana" w:hAnsi="Verdana" w:cs="Verdana"/>
      <w:color w:val="000000"/>
      <w:kern w:val="0"/>
      <w:sz w:val="16"/>
      <w:lang w:val="en-US"/>
    </w:rPr>
  </w:style>
  <w:style w:type="character" w:customStyle="1" w:styleId="footnotedescriptionChar">
    <w:name w:val="footnote description Char"/>
    <w:link w:val="footnotedescription"/>
    <w:rsid w:val="00BA1475"/>
    <w:rPr>
      <w:rFonts w:ascii="Verdana" w:eastAsia="Verdana" w:hAnsi="Verdana" w:cs="Verdana"/>
      <w:color w:val="000000"/>
      <w:kern w:val="0"/>
      <w:sz w:val="16"/>
      <w:lang w:val="en-US"/>
    </w:rPr>
  </w:style>
  <w:style w:type="character" w:customStyle="1" w:styleId="footnotemark">
    <w:name w:val="footnote mark"/>
    <w:hidden/>
    <w:rsid w:val="00BA1475"/>
    <w:rPr>
      <w:rFonts w:ascii="Verdana" w:eastAsia="Verdana" w:hAnsi="Verdana" w:cs="Verdana"/>
      <w:color w:val="000000"/>
      <w:sz w:val="16"/>
      <w:vertAlign w:val="superscript"/>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Bullet 1"/>
    <w:basedOn w:val="Normal"/>
    <w:link w:val="ListParagraphChar"/>
    <w:uiPriority w:val="34"/>
    <w:qFormat/>
    <w:rsid w:val="00BA1475"/>
    <w:pPr>
      <w:spacing w:after="200" w:line="276" w:lineRule="auto"/>
      <w:ind w:left="720"/>
      <w:contextualSpacing/>
    </w:pPr>
    <w:rPr>
      <w:kern w:val="0"/>
    </w:rPr>
  </w:style>
  <w:style w:type="character" w:styleId="CommentReference">
    <w:name w:val="annotation reference"/>
    <w:basedOn w:val="DefaultParagraphFont"/>
    <w:uiPriority w:val="99"/>
    <w:unhideWhenUsed/>
    <w:rsid w:val="00BA1475"/>
    <w:rPr>
      <w:sz w:val="16"/>
      <w:szCs w:val="16"/>
    </w:rPr>
  </w:style>
  <w:style w:type="paragraph" w:styleId="CommentText">
    <w:name w:val="annotation text"/>
    <w:basedOn w:val="Normal"/>
    <w:link w:val="CommentTextChar"/>
    <w:uiPriority w:val="99"/>
    <w:unhideWhenUsed/>
    <w:rsid w:val="00BA1475"/>
    <w:pPr>
      <w:spacing w:after="200" w:line="240" w:lineRule="auto"/>
    </w:pPr>
    <w:rPr>
      <w:kern w:val="0"/>
      <w:sz w:val="20"/>
      <w:szCs w:val="20"/>
    </w:rPr>
  </w:style>
  <w:style w:type="character" w:customStyle="1" w:styleId="CommentTextChar">
    <w:name w:val="Comment Text Char"/>
    <w:basedOn w:val="DefaultParagraphFont"/>
    <w:link w:val="CommentText"/>
    <w:uiPriority w:val="99"/>
    <w:rsid w:val="00BA1475"/>
    <w:rPr>
      <w:kern w:val="0"/>
      <w:sz w:val="20"/>
      <w:szCs w:val="20"/>
    </w:rPr>
  </w:style>
  <w:style w:type="paragraph" w:styleId="CommentSubject">
    <w:name w:val="annotation subject"/>
    <w:basedOn w:val="CommentText"/>
    <w:next w:val="CommentText"/>
    <w:link w:val="CommentSubjectChar"/>
    <w:uiPriority w:val="99"/>
    <w:semiHidden/>
    <w:unhideWhenUsed/>
    <w:rsid w:val="00BA1475"/>
    <w:rPr>
      <w:b/>
      <w:bCs/>
    </w:rPr>
  </w:style>
  <w:style w:type="character" w:customStyle="1" w:styleId="CommentSubjectChar">
    <w:name w:val="Comment Subject Char"/>
    <w:basedOn w:val="CommentTextChar"/>
    <w:link w:val="CommentSubject"/>
    <w:uiPriority w:val="99"/>
    <w:semiHidden/>
    <w:rsid w:val="00BA1475"/>
    <w:rPr>
      <w:b/>
      <w:bCs/>
      <w:kern w:val="0"/>
      <w:sz w:val="20"/>
      <w:szCs w:val="20"/>
    </w:rPr>
  </w:style>
  <w:style w:type="paragraph" w:styleId="BalloonText">
    <w:name w:val="Balloon Text"/>
    <w:basedOn w:val="Normal"/>
    <w:link w:val="BalloonTextChar"/>
    <w:uiPriority w:val="99"/>
    <w:semiHidden/>
    <w:unhideWhenUsed/>
    <w:rsid w:val="00BA1475"/>
    <w:pPr>
      <w:spacing w:after="0" w:line="240" w:lineRule="auto"/>
    </w:pPr>
    <w:rPr>
      <w:rFonts w:ascii="Segoe UI" w:hAnsi="Segoe UI" w:cs="Segoe UI"/>
      <w:kern w:val="0"/>
      <w:sz w:val="18"/>
      <w:szCs w:val="18"/>
    </w:rPr>
  </w:style>
  <w:style w:type="character" w:customStyle="1" w:styleId="BalloonTextChar">
    <w:name w:val="Balloon Text Char"/>
    <w:basedOn w:val="DefaultParagraphFont"/>
    <w:link w:val="BalloonText"/>
    <w:uiPriority w:val="99"/>
    <w:semiHidden/>
    <w:rsid w:val="00BA1475"/>
    <w:rPr>
      <w:rFonts w:ascii="Segoe UI" w:hAnsi="Segoe UI" w:cs="Segoe UI"/>
      <w:kern w:val="0"/>
      <w:sz w:val="18"/>
      <w:szCs w:val="18"/>
    </w:rPr>
  </w:style>
  <w:style w:type="paragraph" w:styleId="NormalWeb">
    <w:name w:val="Normal (Web)"/>
    <w:basedOn w:val="Normal"/>
    <w:uiPriority w:val="99"/>
    <w:unhideWhenUsed/>
    <w:rsid w:val="00BA1475"/>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paragraph" w:customStyle="1" w:styleId="Text1">
    <w:name w:val="Text 1"/>
    <w:basedOn w:val="Normal"/>
    <w:rsid w:val="00BA1475"/>
    <w:pPr>
      <w:spacing w:before="120" w:after="120" w:line="240" w:lineRule="auto"/>
      <w:ind w:left="850"/>
      <w:jc w:val="both"/>
    </w:pPr>
    <w:rPr>
      <w:rFonts w:ascii="Times New Roman" w:hAnsi="Times New Roman" w:cs="Times New Roman"/>
      <w:kern w:val="0"/>
      <w:sz w:val="24"/>
      <w:lang w:val="en-GB"/>
    </w:rPr>
  </w:style>
  <w:style w:type="character" w:customStyle="1" w:styleId="IntenseEmphasis1">
    <w:name w:val="Intense Emphasis1"/>
    <w:basedOn w:val="DefaultParagraphFont"/>
    <w:uiPriority w:val="21"/>
    <w:qFormat/>
    <w:rsid w:val="00BA1475"/>
    <w:rPr>
      <w:i/>
      <w:iCs/>
      <w:color w:val="4F81BD"/>
    </w:rPr>
  </w:style>
  <w:style w:type="table" w:customStyle="1" w:styleId="TableGrid0">
    <w:name w:val="TableGrid"/>
    <w:rsid w:val="00BA1475"/>
    <w:pPr>
      <w:spacing w:after="0" w:line="240" w:lineRule="auto"/>
    </w:pPr>
    <w:rPr>
      <w:rFonts w:eastAsia="MS Mincho"/>
      <w:kern w:val="0"/>
      <w:lang w:val="en-US"/>
    </w:rPr>
    <w:tblPr>
      <w:tblCellMar>
        <w:top w:w="0" w:type="dxa"/>
        <w:left w:w="0" w:type="dxa"/>
        <w:bottom w:w="0" w:type="dxa"/>
        <w:right w:w="0" w:type="dxa"/>
      </w:tblCellMar>
    </w:tblPr>
  </w:style>
  <w:style w:type="paragraph" w:styleId="Revision">
    <w:name w:val="Revision"/>
    <w:hidden/>
    <w:uiPriority w:val="99"/>
    <w:semiHidden/>
    <w:rsid w:val="00BA1475"/>
    <w:pPr>
      <w:spacing w:after="0" w:line="240" w:lineRule="auto"/>
    </w:pPr>
    <w:rPr>
      <w:kern w:val="0"/>
    </w:rPr>
  </w:style>
  <w:style w:type="paragraph" w:styleId="BodyText">
    <w:name w:val="Body Text"/>
    <w:basedOn w:val="Normal"/>
    <w:link w:val="BodyTextChar"/>
    <w:uiPriority w:val="99"/>
    <w:rsid w:val="00BA1475"/>
    <w:pPr>
      <w:tabs>
        <w:tab w:val="left" w:pos="-720"/>
      </w:tabs>
      <w:suppressAutoHyphens/>
      <w:spacing w:after="0" w:line="240" w:lineRule="auto"/>
      <w:jc w:val="both"/>
    </w:pPr>
    <w:rPr>
      <w:rFonts w:ascii="Times New Roman" w:eastAsia="Times New Roman" w:hAnsi="Times New Roman" w:cs="Times New Roman"/>
      <w:kern w:val="0"/>
      <w:sz w:val="24"/>
      <w:szCs w:val="20"/>
      <w:lang w:val="en-GB"/>
    </w:rPr>
  </w:style>
  <w:style w:type="character" w:customStyle="1" w:styleId="BodyTextChar">
    <w:name w:val="Body Text Char"/>
    <w:basedOn w:val="DefaultParagraphFont"/>
    <w:link w:val="BodyText"/>
    <w:uiPriority w:val="99"/>
    <w:rsid w:val="00BA1475"/>
    <w:rPr>
      <w:rFonts w:ascii="Times New Roman" w:eastAsia="Times New Roman" w:hAnsi="Times New Roman" w:cs="Times New Roman"/>
      <w:kern w:val="0"/>
      <w:sz w:val="24"/>
      <w:szCs w:val="20"/>
      <w:lang w:val="en-GB"/>
    </w:rPr>
  </w:style>
  <w:style w:type="paragraph" w:customStyle="1" w:styleId="Considrant">
    <w:name w:val="Considérant"/>
    <w:basedOn w:val="Normal"/>
    <w:rsid w:val="00BA1475"/>
    <w:pPr>
      <w:tabs>
        <w:tab w:val="num" w:pos="709"/>
      </w:tabs>
      <w:spacing w:before="120" w:after="120" w:line="240" w:lineRule="auto"/>
      <w:ind w:left="709" w:hanging="709"/>
      <w:jc w:val="both"/>
    </w:pPr>
    <w:rPr>
      <w:rFonts w:ascii="Times New Roman" w:eastAsia="Times New Roman" w:hAnsi="Times New Roman" w:cs="Times New Roman"/>
      <w:kern w:val="0"/>
      <w:sz w:val="24"/>
      <w:szCs w:val="24"/>
      <w:lang w:val="en-GB" w:eastAsia="en-GB"/>
    </w:rPr>
  </w:style>
  <w:style w:type="table" w:customStyle="1" w:styleId="PlainTable11">
    <w:name w:val="Plain Table 11"/>
    <w:basedOn w:val="TableNormal"/>
    <w:next w:val="PlainTable1"/>
    <w:uiPriority w:val="41"/>
    <w:rsid w:val="00BA1475"/>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1">
    <w:name w:val="No List11"/>
    <w:next w:val="NoList"/>
    <w:uiPriority w:val="99"/>
    <w:semiHidden/>
    <w:unhideWhenUsed/>
    <w:rsid w:val="00BA1475"/>
  </w:style>
  <w:style w:type="table" w:customStyle="1" w:styleId="TableGrid1">
    <w:name w:val="Table Grid1"/>
    <w:basedOn w:val="TableNormal"/>
    <w:next w:val="TableGrid"/>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BA1475"/>
    <w:pPr>
      <w:spacing w:after="0" w:line="240" w:lineRule="auto"/>
    </w:pPr>
    <w:rPr>
      <w:rFonts w:eastAsia="MS Mincho"/>
      <w:kern w:val="0"/>
      <w:lang w:val="en-US"/>
    </w:rPr>
    <w:tblPr>
      <w:tblCellMar>
        <w:top w:w="0" w:type="dxa"/>
        <w:left w:w="0" w:type="dxa"/>
        <w:bottom w:w="0" w:type="dxa"/>
        <w:right w:w="0" w:type="dxa"/>
      </w:tblCellMar>
    </w:tblPr>
  </w:style>
  <w:style w:type="numbering" w:customStyle="1" w:styleId="NoList2">
    <w:name w:val="No List2"/>
    <w:next w:val="NoList"/>
    <w:uiPriority w:val="99"/>
    <w:semiHidden/>
    <w:unhideWhenUsed/>
    <w:rsid w:val="00BA1475"/>
  </w:style>
  <w:style w:type="table" w:customStyle="1" w:styleId="TableGrid2">
    <w:name w:val="Table Grid2"/>
    <w:basedOn w:val="TableNormal"/>
    <w:next w:val="TableGrid"/>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BA1475"/>
    <w:pPr>
      <w:spacing w:after="0" w:line="240" w:lineRule="auto"/>
    </w:pPr>
    <w:rPr>
      <w:rFonts w:eastAsia="MS Mincho"/>
      <w:kern w:val="0"/>
      <w:lang w:val="en-US"/>
    </w:rPr>
    <w:tblPr>
      <w:tblCellMar>
        <w:top w:w="0" w:type="dxa"/>
        <w:left w:w="0" w:type="dxa"/>
        <w:bottom w:w="0" w:type="dxa"/>
        <w:right w:w="0" w:type="dxa"/>
      </w:tblCellMar>
    </w:tblPr>
  </w:style>
  <w:style w:type="table" w:customStyle="1" w:styleId="PlainTable12">
    <w:name w:val="Plain Table 12"/>
    <w:basedOn w:val="TableNormal"/>
    <w:next w:val="PlainTable1"/>
    <w:uiPriority w:val="41"/>
    <w:rsid w:val="00BA1475"/>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11">
    <w:name w:val="No List111"/>
    <w:next w:val="NoList"/>
    <w:uiPriority w:val="99"/>
    <w:semiHidden/>
    <w:unhideWhenUsed/>
    <w:rsid w:val="00BA1475"/>
  </w:style>
  <w:style w:type="table" w:customStyle="1" w:styleId="TableGrid11">
    <w:name w:val="Table Grid11"/>
    <w:basedOn w:val="TableNormal"/>
    <w:next w:val="TableGrid"/>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Grid11"/>
    <w:rsid w:val="00BA1475"/>
    <w:pPr>
      <w:spacing w:after="0" w:line="240" w:lineRule="auto"/>
    </w:pPr>
    <w:rPr>
      <w:rFonts w:eastAsia="MS Mincho"/>
      <w:kern w:val="0"/>
      <w:lang w:val="en-US"/>
    </w:rPr>
    <w:tblPr>
      <w:tblCellMar>
        <w:top w:w="0" w:type="dxa"/>
        <w:left w:w="0" w:type="dxa"/>
        <w:bottom w:w="0" w:type="dxa"/>
        <w:right w:w="0" w:type="dxa"/>
      </w:tblCellMar>
    </w:tblPr>
  </w:style>
  <w:style w:type="table" w:customStyle="1" w:styleId="PlainTable111">
    <w:name w:val="Plain Table 111"/>
    <w:basedOn w:val="TableNormal"/>
    <w:next w:val="PlainTable1"/>
    <w:uiPriority w:val="41"/>
    <w:rsid w:val="00BA1475"/>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unhideWhenUsed/>
    <w:rsid w:val="00BA1475"/>
    <w:pPr>
      <w:spacing w:after="0" w:line="240" w:lineRule="auto"/>
    </w:pPr>
    <w:rPr>
      <w:kern w:val="0"/>
      <w:sz w:val="20"/>
      <w:szCs w:val="20"/>
      <w:lang w:val="en-GB"/>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BA1475"/>
    <w:rPr>
      <w:kern w:val="0"/>
      <w:sz w:val="20"/>
      <w:szCs w:val="20"/>
      <w:lang w:val="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basedOn w:val="DefaultParagraphFont"/>
    <w:link w:val="1"/>
    <w:uiPriority w:val="99"/>
    <w:unhideWhenUsed/>
    <w:rsid w:val="00BA1475"/>
    <w:rPr>
      <w:vertAlign w:val="superscript"/>
    </w:rPr>
  </w:style>
  <w:style w:type="character" w:customStyle="1" w:styleId="Hyperlink1">
    <w:name w:val="Hyperlink1"/>
    <w:basedOn w:val="DefaultParagraphFont"/>
    <w:uiPriority w:val="99"/>
    <w:unhideWhenUsed/>
    <w:rsid w:val="00BA1475"/>
    <w:rPr>
      <w:color w:val="0000FF"/>
      <w:u w:val="single"/>
    </w:rPr>
  </w:style>
  <w:style w:type="character" w:styleId="PlaceholderText">
    <w:name w:val="Placeholder Text"/>
    <w:basedOn w:val="DefaultParagraphFont"/>
    <w:uiPriority w:val="99"/>
    <w:semiHidden/>
    <w:rsid w:val="00BA1475"/>
    <w:rPr>
      <w:color w:val="808080"/>
    </w:rPr>
  </w:style>
  <w:style w:type="paragraph" w:styleId="HTMLPreformatted">
    <w:name w:val="HTML Preformatted"/>
    <w:basedOn w:val="Normal"/>
    <w:link w:val="HTMLPreformattedChar"/>
    <w:uiPriority w:val="99"/>
    <w:unhideWhenUsed/>
    <w:rsid w:val="00BA1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s-ES" w:eastAsia="es-ES"/>
    </w:rPr>
  </w:style>
  <w:style w:type="character" w:customStyle="1" w:styleId="HTMLPreformattedChar">
    <w:name w:val="HTML Preformatted Char"/>
    <w:basedOn w:val="DefaultParagraphFont"/>
    <w:link w:val="HTMLPreformatted"/>
    <w:uiPriority w:val="99"/>
    <w:rsid w:val="00BA1475"/>
    <w:rPr>
      <w:rFonts w:ascii="Courier New" w:eastAsia="Times New Roman" w:hAnsi="Courier New" w:cs="Courier New"/>
      <w:kern w:val="0"/>
      <w:sz w:val="20"/>
      <w:szCs w:val="20"/>
      <w:lang w:val="es-ES" w:eastAsia="es-ES"/>
    </w:rPr>
  </w:style>
  <w:style w:type="character" w:customStyle="1" w:styleId="normaltextrun">
    <w:name w:val="normaltextrun"/>
    <w:basedOn w:val="DefaultParagraphFont"/>
    <w:rsid w:val="00BA1475"/>
  </w:style>
  <w:style w:type="numbering" w:customStyle="1" w:styleId="NoList3">
    <w:name w:val="No List3"/>
    <w:next w:val="NoList"/>
    <w:uiPriority w:val="99"/>
    <w:semiHidden/>
    <w:unhideWhenUsed/>
    <w:rsid w:val="00BA1475"/>
  </w:style>
  <w:style w:type="table" w:customStyle="1" w:styleId="TableGrid3">
    <w:name w:val="Table Grid3"/>
    <w:basedOn w:val="TableNormal"/>
    <w:next w:val="TableGrid"/>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BA1475"/>
    <w:pPr>
      <w:spacing w:after="0" w:line="240" w:lineRule="auto"/>
    </w:pPr>
    <w:rPr>
      <w:rFonts w:eastAsia="MS Mincho"/>
      <w:kern w:val="0"/>
      <w:lang w:val="en-US"/>
    </w:rPr>
    <w:tblPr>
      <w:tblCellMar>
        <w:top w:w="0" w:type="dxa"/>
        <w:left w:w="0" w:type="dxa"/>
        <w:bottom w:w="0" w:type="dxa"/>
        <w:right w:w="0" w:type="dxa"/>
      </w:tblCellMar>
    </w:tblPr>
  </w:style>
  <w:style w:type="table" w:customStyle="1" w:styleId="PlainTable13">
    <w:name w:val="Plain Table 13"/>
    <w:basedOn w:val="TableNormal"/>
    <w:next w:val="PlainTable1"/>
    <w:uiPriority w:val="41"/>
    <w:rsid w:val="00BA1475"/>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2">
    <w:name w:val="No List12"/>
    <w:next w:val="NoList"/>
    <w:uiPriority w:val="99"/>
    <w:semiHidden/>
    <w:unhideWhenUsed/>
    <w:rsid w:val="00BA1475"/>
  </w:style>
  <w:style w:type="table" w:customStyle="1" w:styleId="TableGrid12">
    <w:name w:val="Table Grid12"/>
    <w:basedOn w:val="TableNormal"/>
    <w:next w:val="TableGrid"/>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Grid12"/>
    <w:rsid w:val="00BA1475"/>
    <w:pPr>
      <w:spacing w:after="0" w:line="240" w:lineRule="auto"/>
    </w:pPr>
    <w:rPr>
      <w:rFonts w:eastAsia="MS Mincho"/>
      <w:kern w:val="0"/>
      <w:lang w:val="en-US"/>
    </w:rPr>
    <w:tblPr>
      <w:tblCellMar>
        <w:top w:w="0" w:type="dxa"/>
        <w:left w:w="0" w:type="dxa"/>
        <w:bottom w:w="0" w:type="dxa"/>
        <w:right w:w="0" w:type="dxa"/>
      </w:tblCellMar>
    </w:tblPr>
  </w:style>
  <w:style w:type="table" w:customStyle="1" w:styleId="PlainTable112">
    <w:name w:val="Plain Table 112"/>
    <w:basedOn w:val="TableNormal"/>
    <w:next w:val="PlainTable1"/>
    <w:uiPriority w:val="41"/>
    <w:rsid w:val="00BA1475"/>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BA1475"/>
  </w:style>
  <w:style w:type="table" w:customStyle="1" w:styleId="TableGrid21">
    <w:name w:val="Table Grid21"/>
    <w:basedOn w:val="TableNormal"/>
    <w:next w:val="TableGrid"/>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BA1475"/>
    <w:pPr>
      <w:spacing w:after="0" w:line="240" w:lineRule="auto"/>
    </w:pPr>
    <w:rPr>
      <w:rFonts w:eastAsia="MS Mincho"/>
      <w:kern w:val="0"/>
      <w:lang w:val="en-US"/>
    </w:rPr>
    <w:tblPr>
      <w:tblCellMar>
        <w:top w:w="0" w:type="dxa"/>
        <w:left w:w="0" w:type="dxa"/>
        <w:bottom w:w="0" w:type="dxa"/>
        <w:right w:w="0" w:type="dxa"/>
      </w:tblCellMar>
    </w:tblPr>
  </w:style>
  <w:style w:type="table" w:customStyle="1" w:styleId="PlainTable121">
    <w:name w:val="Plain Table 121"/>
    <w:basedOn w:val="TableNormal"/>
    <w:next w:val="PlainTable1"/>
    <w:uiPriority w:val="41"/>
    <w:rsid w:val="00BA1475"/>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111">
    <w:name w:val="No List1111"/>
    <w:next w:val="NoList"/>
    <w:uiPriority w:val="99"/>
    <w:semiHidden/>
    <w:unhideWhenUsed/>
    <w:rsid w:val="00BA1475"/>
  </w:style>
  <w:style w:type="table" w:customStyle="1" w:styleId="TableGrid111">
    <w:name w:val="Table Grid111"/>
    <w:basedOn w:val="TableNormal"/>
    <w:next w:val="TableGrid"/>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Grid111"/>
    <w:rsid w:val="00BA1475"/>
    <w:pPr>
      <w:spacing w:after="0" w:line="240" w:lineRule="auto"/>
    </w:pPr>
    <w:rPr>
      <w:rFonts w:eastAsia="MS Mincho"/>
      <w:kern w:val="0"/>
      <w:lang w:val="en-US"/>
    </w:rPr>
    <w:tblPr>
      <w:tblCellMar>
        <w:top w:w="0" w:type="dxa"/>
        <w:left w:w="0" w:type="dxa"/>
        <w:bottom w:w="0" w:type="dxa"/>
        <w:right w:w="0" w:type="dxa"/>
      </w:tblCellMar>
    </w:tblPr>
  </w:style>
  <w:style w:type="table" w:customStyle="1" w:styleId="PlainTable1111">
    <w:name w:val="Plain Table 1111"/>
    <w:basedOn w:val="TableNormal"/>
    <w:next w:val="PlainTable1"/>
    <w:uiPriority w:val="41"/>
    <w:rsid w:val="00BA1475"/>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basedOn w:val="DefaultParagraphFont"/>
    <w:uiPriority w:val="99"/>
    <w:semiHidden/>
    <w:unhideWhenUsed/>
    <w:rsid w:val="00BA1475"/>
    <w:rPr>
      <w:color w:val="954F72"/>
      <w:u w:val="single"/>
    </w:rPr>
  </w:style>
  <w:style w:type="paragraph" w:customStyle="1" w:styleId="msonormal0">
    <w:name w:val="msonormal"/>
    <w:basedOn w:val="Normal"/>
    <w:rsid w:val="00BA1475"/>
    <w:pPr>
      <w:spacing w:before="100" w:beforeAutospacing="1" w:after="100" w:afterAutospacing="1" w:line="240" w:lineRule="auto"/>
    </w:pPr>
    <w:rPr>
      <w:rFonts w:ascii="Times New Roman" w:eastAsia="Times New Roman" w:hAnsi="Times New Roman" w:cs="Times New Roman"/>
      <w:kern w:val="0"/>
      <w:sz w:val="24"/>
      <w:szCs w:val="24"/>
      <w:lang w:val="fr-BE" w:eastAsia="fr-BE"/>
    </w:rPr>
  </w:style>
  <w:style w:type="paragraph" w:customStyle="1" w:styleId="font5">
    <w:name w:val="font5"/>
    <w:basedOn w:val="Normal"/>
    <w:rsid w:val="00BA1475"/>
    <w:pPr>
      <w:spacing w:before="100" w:beforeAutospacing="1" w:after="100" w:afterAutospacing="1" w:line="240" w:lineRule="auto"/>
    </w:pPr>
    <w:rPr>
      <w:rFonts w:ascii="Times New Roman" w:eastAsia="Times New Roman" w:hAnsi="Times New Roman" w:cs="Times New Roman"/>
      <w:color w:val="000000"/>
      <w:kern w:val="0"/>
      <w:lang w:val="fr-BE" w:eastAsia="fr-BE"/>
    </w:rPr>
  </w:style>
  <w:style w:type="paragraph" w:customStyle="1" w:styleId="font6">
    <w:name w:val="font6"/>
    <w:basedOn w:val="Normal"/>
    <w:rsid w:val="00BA1475"/>
    <w:pPr>
      <w:spacing w:before="100" w:beforeAutospacing="1" w:after="100" w:afterAutospacing="1" w:line="240" w:lineRule="auto"/>
    </w:pPr>
    <w:rPr>
      <w:rFonts w:ascii="Times New Roman" w:eastAsia="Times New Roman" w:hAnsi="Times New Roman" w:cs="Times New Roman"/>
      <w:i/>
      <w:iCs/>
      <w:color w:val="000000"/>
      <w:kern w:val="0"/>
      <w:lang w:val="fr-BE" w:eastAsia="fr-BE"/>
    </w:rPr>
  </w:style>
  <w:style w:type="paragraph" w:customStyle="1" w:styleId="xl65">
    <w:name w:val="xl65"/>
    <w:basedOn w:val="Normal"/>
    <w:rsid w:val="00BA147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val="fr-BE" w:eastAsia="fr-BE"/>
    </w:rPr>
  </w:style>
  <w:style w:type="paragraph" w:customStyle="1" w:styleId="xl66">
    <w:name w:val="xl66"/>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Times New Roman" w:eastAsia="Times New Roman" w:hAnsi="Times New Roman" w:cs="Times New Roman"/>
      <w:i/>
      <w:iCs/>
      <w:color w:val="FF0000"/>
      <w:kern w:val="0"/>
      <w:sz w:val="24"/>
      <w:szCs w:val="24"/>
      <w:lang w:val="fr-BE" w:eastAsia="fr-BE"/>
    </w:rPr>
  </w:style>
  <w:style w:type="paragraph" w:customStyle="1" w:styleId="xl67">
    <w:name w:val="xl67"/>
    <w:basedOn w:val="Normal"/>
    <w:rsid w:val="00BA1475"/>
    <w:pPr>
      <w:spacing w:before="100" w:beforeAutospacing="1" w:after="100" w:afterAutospacing="1" w:line="240" w:lineRule="auto"/>
    </w:pPr>
    <w:rPr>
      <w:rFonts w:ascii="Times New Roman" w:eastAsia="Times New Roman" w:hAnsi="Times New Roman" w:cs="Times New Roman"/>
      <w:kern w:val="0"/>
      <w:sz w:val="24"/>
      <w:szCs w:val="24"/>
      <w:lang w:val="fr-BE" w:eastAsia="fr-BE"/>
    </w:rPr>
  </w:style>
  <w:style w:type="paragraph" w:customStyle="1" w:styleId="xl68">
    <w:name w:val="xl68"/>
    <w:basedOn w:val="Normal"/>
    <w:rsid w:val="00BA1475"/>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val="fr-BE" w:eastAsia="fr-BE"/>
    </w:rPr>
  </w:style>
  <w:style w:type="paragraph" w:customStyle="1" w:styleId="xl69">
    <w:name w:val="xl69"/>
    <w:basedOn w:val="Normal"/>
    <w:rsid w:val="00BA1475"/>
    <w:pPr>
      <w:pBdr>
        <w:top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val="fr-BE" w:eastAsia="fr-BE"/>
    </w:rPr>
  </w:style>
  <w:style w:type="paragraph" w:customStyle="1" w:styleId="xl70">
    <w:name w:val="xl70"/>
    <w:basedOn w:val="Normal"/>
    <w:rsid w:val="00BA147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fr-BE" w:eastAsia="fr-BE"/>
    </w:rPr>
  </w:style>
  <w:style w:type="paragraph" w:customStyle="1" w:styleId="xl71">
    <w:name w:val="xl71"/>
    <w:basedOn w:val="Normal"/>
    <w:rsid w:val="00BA1475"/>
    <w:pPr>
      <w:spacing w:before="100" w:beforeAutospacing="1" w:after="100" w:afterAutospacing="1" w:line="240" w:lineRule="auto"/>
    </w:pPr>
    <w:rPr>
      <w:rFonts w:ascii="Times New Roman" w:eastAsia="Times New Roman" w:hAnsi="Times New Roman" w:cs="Times New Roman"/>
      <w:kern w:val="0"/>
      <w:sz w:val="24"/>
      <w:szCs w:val="24"/>
      <w:lang w:val="fr-BE" w:eastAsia="fr-BE"/>
    </w:rPr>
  </w:style>
  <w:style w:type="paragraph" w:customStyle="1" w:styleId="xl72">
    <w:name w:val="xl72"/>
    <w:basedOn w:val="Normal"/>
    <w:rsid w:val="00BA1475"/>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val="fr-BE" w:eastAsia="fr-BE"/>
    </w:rPr>
  </w:style>
  <w:style w:type="paragraph" w:customStyle="1" w:styleId="xl73">
    <w:name w:val="xl73"/>
    <w:basedOn w:val="Normal"/>
    <w:rsid w:val="00BA1475"/>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kern w:val="0"/>
      <w:sz w:val="24"/>
      <w:szCs w:val="24"/>
      <w:lang w:val="fr-BE" w:eastAsia="fr-BE"/>
    </w:rPr>
  </w:style>
  <w:style w:type="paragraph" w:customStyle="1" w:styleId="xl74">
    <w:name w:val="xl74"/>
    <w:basedOn w:val="Normal"/>
    <w:rsid w:val="00BA1475"/>
    <w:pPr>
      <w:pBdr>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kern w:val="0"/>
      <w:sz w:val="24"/>
      <w:szCs w:val="24"/>
      <w:lang w:val="fr-BE" w:eastAsia="fr-BE"/>
    </w:rPr>
  </w:style>
  <w:style w:type="paragraph" w:customStyle="1" w:styleId="xl75">
    <w:name w:val="xl75"/>
    <w:basedOn w:val="Normal"/>
    <w:rsid w:val="00BA147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kern w:val="0"/>
      <w:sz w:val="24"/>
      <w:szCs w:val="24"/>
      <w:lang w:val="fr-BE" w:eastAsia="fr-BE"/>
    </w:rPr>
  </w:style>
  <w:style w:type="paragraph" w:customStyle="1" w:styleId="xl76">
    <w:name w:val="xl76"/>
    <w:basedOn w:val="Normal"/>
    <w:rsid w:val="00BA1475"/>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Times New Roman" w:eastAsia="Times New Roman" w:hAnsi="Times New Roman" w:cs="Times New Roman"/>
      <w:color w:val="006100"/>
      <w:kern w:val="0"/>
      <w:sz w:val="24"/>
      <w:szCs w:val="24"/>
      <w:lang w:val="fr-BE" w:eastAsia="fr-BE"/>
    </w:rPr>
  </w:style>
  <w:style w:type="paragraph" w:customStyle="1" w:styleId="xl77">
    <w:name w:val="xl77"/>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Times New Roman" w:eastAsia="Times New Roman" w:hAnsi="Times New Roman" w:cs="Times New Roman"/>
      <w:color w:val="006100"/>
      <w:kern w:val="0"/>
      <w:sz w:val="24"/>
      <w:szCs w:val="24"/>
      <w:lang w:val="fr-BE" w:eastAsia="fr-BE"/>
    </w:rPr>
  </w:style>
  <w:style w:type="paragraph" w:customStyle="1" w:styleId="xl78">
    <w:name w:val="xl78"/>
    <w:basedOn w:val="Normal"/>
    <w:rsid w:val="00BA1475"/>
    <w:pPr>
      <w:pBdr>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Times New Roman" w:eastAsia="Times New Roman" w:hAnsi="Times New Roman" w:cs="Times New Roman"/>
      <w:color w:val="006100"/>
      <w:kern w:val="0"/>
      <w:sz w:val="24"/>
      <w:szCs w:val="24"/>
      <w:lang w:val="fr-BE" w:eastAsia="fr-BE"/>
    </w:rPr>
  </w:style>
  <w:style w:type="paragraph" w:customStyle="1" w:styleId="xl79">
    <w:name w:val="xl79"/>
    <w:basedOn w:val="Normal"/>
    <w:rsid w:val="00BA1475"/>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Times New Roman" w:eastAsia="Times New Roman" w:hAnsi="Times New Roman" w:cs="Times New Roman"/>
      <w:color w:val="006100"/>
      <w:kern w:val="0"/>
      <w:sz w:val="24"/>
      <w:szCs w:val="24"/>
      <w:lang w:val="fr-BE" w:eastAsia="fr-BE"/>
    </w:rPr>
  </w:style>
  <w:style w:type="paragraph" w:customStyle="1" w:styleId="xl80">
    <w:name w:val="xl80"/>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Times New Roman" w:eastAsia="Times New Roman" w:hAnsi="Times New Roman" w:cs="Times New Roman"/>
      <w:color w:val="006100"/>
      <w:kern w:val="0"/>
      <w:sz w:val="24"/>
      <w:szCs w:val="24"/>
      <w:lang w:val="fr-BE" w:eastAsia="fr-BE"/>
    </w:rPr>
  </w:style>
  <w:style w:type="paragraph" w:customStyle="1" w:styleId="xl81">
    <w:name w:val="xl81"/>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Times New Roman" w:eastAsia="Times New Roman" w:hAnsi="Times New Roman" w:cs="Times New Roman"/>
      <w:color w:val="006100"/>
      <w:kern w:val="0"/>
      <w:sz w:val="24"/>
      <w:szCs w:val="24"/>
      <w:lang w:val="fr-BE" w:eastAsia="fr-BE"/>
    </w:rPr>
  </w:style>
  <w:style w:type="paragraph" w:customStyle="1" w:styleId="xl82">
    <w:name w:val="xl82"/>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right"/>
    </w:pPr>
    <w:rPr>
      <w:rFonts w:ascii="Times New Roman" w:eastAsia="Times New Roman" w:hAnsi="Times New Roman" w:cs="Times New Roman"/>
      <w:color w:val="006100"/>
      <w:kern w:val="0"/>
      <w:sz w:val="24"/>
      <w:szCs w:val="24"/>
      <w:lang w:val="fr-BE" w:eastAsia="fr-BE"/>
    </w:rPr>
  </w:style>
  <w:style w:type="paragraph" w:customStyle="1" w:styleId="xl83">
    <w:name w:val="xl83"/>
    <w:basedOn w:val="Normal"/>
    <w:rsid w:val="00BA14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006100"/>
      <w:kern w:val="0"/>
      <w:sz w:val="24"/>
      <w:szCs w:val="24"/>
      <w:lang w:val="fr-BE" w:eastAsia="fr-BE"/>
    </w:rPr>
  </w:style>
  <w:style w:type="paragraph" w:customStyle="1" w:styleId="xl84">
    <w:name w:val="xl84"/>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Times New Roman" w:eastAsia="Times New Roman" w:hAnsi="Times New Roman" w:cs="Times New Roman"/>
      <w:color w:val="006100"/>
      <w:kern w:val="0"/>
      <w:sz w:val="24"/>
      <w:szCs w:val="24"/>
      <w:lang w:val="fr-BE" w:eastAsia="fr-BE"/>
    </w:rPr>
  </w:style>
  <w:style w:type="paragraph" w:customStyle="1" w:styleId="xl85">
    <w:name w:val="xl85"/>
    <w:basedOn w:val="Normal"/>
    <w:rsid w:val="00BA1475"/>
    <w:pPr>
      <w:pBdr>
        <w:top w:val="single" w:sz="8" w:space="0" w:color="auto"/>
        <w:left w:val="single" w:sz="8" w:space="0" w:color="auto"/>
        <w:right w:val="single" w:sz="8" w:space="0" w:color="auto"/>
      </w:pBdr>
      <w:shd w:val="clear" w:color="000000" w:fill="C6EFCE"/>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fr-BE" w:eastAsia="fr-BE"/>
    </w:rPr>
  </w:style>
  <w:style w:type="paragraph" w:customStyle="1" w:styleId="xl86">
    <w:name w:val="xl86"/>
    <w:basedOn w:val="Normal"/>
    <w:rsid w:val="00BA14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006100"/>
      <w:kern w:val="0"/>
      <w:sz w:val="24"/>
      <w:szCs w:val="24"/>
      <w:lang w:val="fr-BE" w:eastAsia="fr-BE"/>
    </w:rPr>
  </w:style>
  <w:style w:type="paragraph" w:customStyle="1" w:styleId="xl87">
    <w:name w:val="xl87"/>
    <w:basedOn w:val="Normal"/>
    <w:rsid w:val="00BA14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006100"/>
      <w:kern w:val="0"/>
      <w:sz w:val="24"/>
      <w:szCs w:val="24"/>
      <w:lang w:val="fr-BE" w:eastAsia="fr-BE"/>
    </w:rPr>
  </w:style>
  <w:style w:type="paragraph" w:customStyle="1" w:styleId="xl88">
    <w:name w:val="xl88"/>
    <w:basedOn w:val="Normal"/>
    <w:rsid w:val="00BA1475"/>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ascii="Times New Roman" w:eastAsia="Times New Roman" w:hAnsi="Times New Roman" w:cs="Times New Roman"/>
      <w:color w:val="006100"/>
      <w:kern w:val="0"/>
      <w:sz w:val="24"/>
      <w:szCs w:val="24"/>
      <w:lang w:val="fr-BE" w:eastAsia="fr-BE"/>
    </w:rPr>
  </w:style>
  <w:style w:type="paragraph" w:customStyle="1" w:styleId="xl89">
    <w:name w:val="xl89"/>
    <w:basedOn w:val="Normal"/>
    <w:rsid w:val="00BA1475"/>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kern w:val="0"/>
      <w:sz w:val="24"/>
      <w:szCs w:val="24"/>
      <w:lang w:val="fr-BE" w:eastAsia="fr-BE"/>
    </w:rPr>
  </w:style>
  <w:style w:type="paragraph" w:customStyle="1" w:styleId="xl90">
    <w:name w:val="xl90"/>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kern w:val="0"/>
      <w:sz w:val="24"/>
      <w:szCs w:val="24"/>
      <w:lang w:val="fr-BE" w:eastAsia="fr-BE"/>
    </w:rPr>
  </w:style>
  <w:style w:type="paragraph" w:customStyle="1" w:styleId="xl91">
    <w:name w:val="xl91"/>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ascii="Times New Roman" w:eastAsia="Times New Roman" w:hAnsi="Times New Roman" w:cs="Times New Roman"/>
      <w:color w:val="006100"/>
      <w:kern w:val="0"/>
      <w:sz w:val="24"/>
      <w:szCs w:val="24"/>
      <w:lang w:val="fr-BE" w:eastAsia="fr-BE"/>
    </w:rPr>
  </w:style>
  <w:style w:type="paragraph" w:customStyle="1" w:styleId="xl92">
    <w:name w:val="xl92"/>
    <w:basedOn w:val="Normal"/>
    <w:rsid w:val="00BA1475"/>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ascii="Times New Roman" w:eastAsia="Times New Roman" w:hAnsi="Times New Roman" w:cs="Times New Roman"/>
      <w:color w:val="006100"/>
      <w:kern w:val="0"/>
      <w:sz w:val="24"/>
      <w:szCs w:val="24"/>
      <w:lang w:val="fr-BE" w:eastAsia="fr-BE"/>
    </w:rPr>
  </w:style>
  <w:style w:type="paragraph" w:customStyle="1" w:styleId="xl93">
    <w:name w:val="xl93"/>
    <w:basedOn w:val="Normal"/>
    <w:rsid w:val="00BA1475"/>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kern w:val="0"/>
      <w:sz w:val="24"/>
      <w:szCs w:val="24"/>
      <w:lang w:val="fr-BE" w:eastAsia="fr-BE"/>
    </w:rPr>
  </w:style>
  <w:style w:type="paragraph" w:customStyle="1" w:styleId="xl94">
    <w:name w:val="xl94"/>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kern w:val="0"/>
      <w:sz w:val="24"/>
      <w:szCs w:val="24"/>
      <w:lang w:val="fr-BE" w:eastAsia="fr-BE"/>
    </w:rPr>
  </w:style>
  <w:style w:type="paragraph" w:customStyle="1" w:styleId="xl95">
    <w:name w:val="xl95"/>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kern w:val="0"/>
      <w:sz w:val="24"/>
      <w:szCs w:val="24"/>
      <w:lang w:val="fr-BE" w:eastAsia="fr-BE"/>
    </w:rPr>
  </w:style>
  <w:style w:type="paragraph" w:customStyle="1" w:styleId="xl96">
    <w:name w:val="xl96"/>
    <w:basedOn w:val="Normal"/>
    <w:rsid w:val="00BA1475"/>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kern w:val="0"/>
      <w:sz w:val="24"/>
      <w:szCs w:val="24"/>
      <w:lang w:val="fr-BE" w:eastAsia="fr-BE"/>
    </w:rPr>
  </w:style>
  <w:style w:type="paragraph" w:customStyle="1" w:styleId="xl97">
    <w:name w:val="xl97"/>
    <w:basedOn w:val="Normal"/>
    <w:rsid w:val="00BA1475"/>
    <w:pPr>
      <w:spacing w:before="100" w:beforeAutospacing="1" w:after="100" w:afterAutospacing="1" w:line="240" w:lineRule="auto"/>
      <w:textAlignment w:val="center"/>
    </w:pPr>
    <w:rPr>
      <w:rFonts w:ascii="Times New Roman" w:eastAsia="Times New Roman" w:hAnsi="Times New Roman" w:cs="Times New Roman"/>
      <w:kern w:val="0"/>
      <w:sz w:val="24"/>
      <w:szCs w:val="24"/>
      <w:lang w:val="fr-BE" w:eastAsia="fr-BE"/>
    </w:rPr>
  </w:style>
  <w:style w:type="paragraph" w:customStyle="1" w:styleId="xl98">
    <w:name w:val="xl98"/>
    <w:basedOn w:val="Normal"/>
    <w:rsid w:val="00BA1475"/>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val="fr-BE" w:eastAsia="fr-BE"/>
    </w:rPr>
  </w:style>
  <w:style w:type="paragraph" w:customStyle="1" w:styleId="xl99">
    <w:name w:val="xl99"/>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val="fr-BE" w:eastAsia="fr-BE"/>
    </w:rPr>
  </w:style>
  <w:style w:type="paragraph" w:customStyle="1" w:styleId="xl100">
    <w:name w:val="xl100"/>
    <w:basedOn w:val="Normal"/>
    <w:rsid w:val="00BA1475"/>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kern w:val="0"/>
      <w:sz w:val="24"/>
      <w:szCs w:val="24"/>
      <w:lang w:val="fr-BE" w:eastAsia="fr-BE"/>
    </w:rPr>
  </w:style>
  <w:style w:type="paragraph" w:customStyle="1" w:styleId="xl101">
    <w:name w:val="xl101"/>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kern w:val="0"/>
      <w:sz w:val="24"/>
      <w:szCs w:val="24"/>
      <w:lang w:val="fr-BE" w:eastAsia="fr-BE"/>
    </w:rPr>
  </w:style>
  <w:style w:type="paragraph" w:customStyle="1" w:styleId="xl102">
    <w:name w:val="xl102"/>
    <w:basedOn w:val="Normal"/>
    <w:rsid w:val="00BA1475"/>
    <w:pPr>
      <w:spacing w:before="100" w:beforeAutospacing="1" w:after="100" w:afterAutospacing="1" w:line="240" w:lineRule="auto"/>
      <w:textAlignment w:val="top"/>
    </w:pPr>
    <w:rPr>
      <w:rFonts w:ascii="Times New Roman" w:eastAsia="Times New Roman" w:hAnsi="Times New Roman" w:cs="Times New Roman"/>
      <w:kern w:val="0"/>
      <w:sz w:val="24"/>
      <w:szCs w:val="24"/>
      <w:lang w:val="fr-BE" w:eastAsia="fr-BE"/>
    </w:rPr>
  </w:style>
  <w:style w:type="paragraph" w:customStyle="1" w:styleId="xl103">
    <w:name w:val="xl103"/>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kern w:val="0"/>
      <w:sz w:val="24"/>
      <w:szCs w:val="24"/>
      <w:lang w:val="fr-BE" w:eastAsia="fr-BE"/>
    </w:rPr>
  </w:style>
  <w:style w:type="paragraph" w:customStyle="1" w:styleId="xl104">
    <w:name w:val="xl104"/>
    <w:basedOn w:val="Normal"/>
    <w:rsid w:val="00BA1475"/>
    <w:pPr>
      <w:spacing w:before="100" w:beforeAutospacing="1" w:after="100" w:afterAutospacing="1" w:line="240" w:lineRule="auto"/>
      <w:jc w:val="center"/>
    </w:pPr>
    <w:rPr>
      <w:rFonts w:ascii="Times New Roman" w:eastAsia="Times New Roman" w:hAnsi="Times New Roman" w:cs="Times New Roman"/>
      <w:kern w:val="0"/>
      <w:sz w:val="24"/>
      <w:szCs w:val="24"/>
      <w:lang w:val="fr-BE" w:eastAsia="fr-BE"/>
    </w:rPr>
  </w:style>
  <w:style w:type="paragraph" w:customStyle="1" w:styleId="xl105">
    <w:name w:val="xl105"/>
    <w:basedOn w:val="Normal"/>
    <w:rsid w:val="00BA1475"/>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val="fr-BE" w:eastAsia="fr-BE"/>
    </w:rPr>
  </w:style>
  <w:style w:type="paragraph" w:customStyle="1" w:styleId="xl106">
    <w:name w:val="xl106"/>
    <w:basedOn w:val="Normal"/>
    <w:rsid w:val="00BA1475"/>
    <w:pPr>
      <w:pBdr>
        <w:top w:val="single" w:sz="4"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val="fr-BE" w:eastAsia="fr-BE"/>
    </w:rPr>
  </w:style>
  <w:style w:type="paragraph" w:customStyle="1" w:styleId="xl107">
    <w:name w:val="xl107"/>
    <w:basedOn w:val="Normal"/>
    <w:rsid w:val="00BA1475"/>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val="fr-BE" w:eastAsia="fr-BE"/>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BA1475"/>
    <w:rPr>
      <w:kern w:val="0"/>
    </w:rPr>
  </w:style>
  <w:style w:type="paragraph" w:customStyle="1" w:styleId="Default">
    <w:name w:val="Default"/>
    <w:rsid w:val="00BA1475"/>
    <w:pPr>
      <w:autoSpaceDE w:val="0"/>
      <w:autoSpaceDN w:val="0"/>
      <w:adjustRightInd w:val="0"/>
      <w:spacing w:after="0" w:line="240" w:lineRule="auto"/>
    </w:pPr>
    <w:rPr>
      <w:rFonts w:ascii="Times New Roman" w:hAnsi="Times New Roman" w:cs="Times New Roman"/>
      <w:color w:val="000000"/>
      <w:kern w:val="0"/>
      <w:sz w:val="24"/>
      <w:szCs w:val="24"/>
      <w:lang w:val="fr-FR"/>
    </w:rPr>
  </w:style>
  <w:style w:type="paragraph" w:styleId="NoSpacing">
    <w:name w:val="No Spacing"/>
    <w:uiPriority w:val="1"/>
    <w:qFormat/>
    <w:rsid w:val="00BA1475"/>
    <w:pPr>
      <w:spacing w:after="0" w:line="240" w:lineRule="auto"/>
    </w:pPr>
    <w:rPr>
      <w:kern w:val="0"/>
      <w:lang w:val="fr-FR"/>
    </w:rPr>
  </w:style>
  <w:style w:type="character" w:customStyle="1" w:styleId="eop">
    <w:name w:val="eop"/>
    <w:basedOn w:val="DefaultParagraphFont"/>
    <w:rsid w:val="00BA1475"/>
  </w:style>
  <w:style w:type="numbering" w:customStyle="1" w:styleId="NoList4">
    <w:name w:val="No List4"/>
    <w:next w:val="NoList"/>
    <w:uiPriority w:val="99"/>
    <w:semiHidden/>
    <w:unhideWhenUsed/>
    <w:rsid w:val="00BA1475"/>
  </w:style>
  <w:style w:type="table" w:customStyle="1" w:styleId="TableGrid4">
    <w:name w:val="Table Grid4"/>
    <w:basedOn w:val="TableNormal"/>
    <w:next w:val="TableGrid"/>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BA1475"/>
    <w:pPr>
      <w:spacing w:after="0" w:line="240" w:lineRule="auto"/>
    </w:pPr>
    <w:rPr>
      <w:rFonts w:eastAsia="MS Mincho"/>
      <w:kern w:val="0"/>
      <w:lang w:val="en-US"/>
    </w:rPr>
    <w:tblPr>
      <w:tblCellMar>
        <w:top w:w="0" w:type="dxa"/>
        <w:left w:w="0" w:type="dxa"/>
        <w:bottom w:w="0" w:type="dxa"/>
        <w:right w:w="0" w:type="dxa"/>
      </w:tblCellMar>
    </w:tblPr>
  </w:style>
  <w:style w:type="table" w:customStyle="1" w:styleId="PlainTable14">
    <w:name w:val="Plain Table 14"/>
    <w:basedOn w:val="TableNormal"/>
    <w:next w:val="PlainTable1"/>
    <w:uiPriority w:val="41"/>
    <w:rsid w:val="00BA1475"/>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3">
    <w:name w:val="No List13"/>
    <w:next w:val="NoList"/>
    <w:uiPriority w:val="99"/>
    <w:semiHidden/>
    <w:unhideWhenUsed/>
    <w:rsid w:val="00BA1475"/>
  </w:style>
  <w:style w:type="table" w:customStyle="1" w:styleId="TableGrid13">
    <w:name w:val="Table Grid13"/>
    <w:basedOn w:val="TableNormal"/>
    <w:next w:val="TableGrid"/>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BA1475"/>
    <w:pPr>
      <w:spacing w:after="0" w:line="240" w:lineRule="auto"/>
    </w:pPr>
    <w:rPr>
      <w:rFonts w:eastAsia="MS Mincho"/>
      <w:kern w:val="0"/>
      <w:lang w:val="en-US"/>
    </w:rPr>
    <w:tblPr>
      <w:tblCellMar>
        <w:top w:w="0" w:type="dxa"/>
        <w:left w:w="0" w:type="dxa"/>
        <w:bottom w:w="0" w:type="dxa"/>
        <w:right w:w="0" w:type="dxa"/>
      </w:tblCellMar>
    </w:tblPr>
  </w:style>
  <w:style w:type="table" w:customStyle="1" w:styleId="PlainTable113">
    <w:name w:val="Plain Table 113"/>
    <w:basedOn w:val="TableNormal"/>
    <w:next w:val="PlainTable1"/>
    <w:uiPriority w:val="41"/>
    <w:rsid w:val="00BA1475"/>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2">
    <w:name w:val="No List22"/>
    <w:next w:val="NoList"/>
    <w:uiPriority w:val="99"/>
    <w:semiHidden/>
    <w:unhideWhenUsed/>
    <w:rsid w:val="00BA1475"/>
  </w:style>
  <w:style w:type="table" w:customStyle="1" w:styleId="TableGrid22">
    <w:name w:val="Table Grid22"/>
    <w:basedOn w:val="TableNormal"/>
    <w:next w:val="TableGrid"/>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BA1475"/>
    <w:pPr>
      <w:spacing w:after="0" w:line="240" w:lineRule="auto"/>
    </w:pPr>
    <w:rPr>
      <w:rFonts w:eastAsia="MS Mincho"/>
      <w:kern w:val="0"/>
      <w:lang w:val="en-US"/>
    </w:rPr>
    <w:tblPr>
      <w:tblCellMar>
        <w:top w:w="0" w:type="dxa"/>
        <w:left w:w="0" w:type="dxa"/>
        <w:bottom w:w="0" w:type="dxa"/>
        <w:right w:w="0" w:type="dxa"/>
      </w:tblCellMar>
    </w:tblPr>
  </w:style>
  <w:style w:type="table" w:customStyle="1" w:styleId="PlainTable122">
    <w:name w:val="Plain Table 122"/>
    <w:basedOn w:val="TableNormal"/>
    <w:next w:val="PlainTable1"/>
    <w:uiPriority w:val="41"/>
    <w:rsid w:val="00BA1475"/>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12">
    <w:name w:val="No List112"/>
    <w:next w:val="NoList"/>
    <w:uiPriority w:val="99"/>
    <w:semiHidden/>
    <w:unhideWhenUsed/>
    <w:rsid w:val="00BA1475"/>
  </w:style>
  <w:style w:type="table" w:customStyle="1" w:styleId="TableGrid112">
    <w:name w:val="Table Grid112"/>
    <w:basedOn w:val="TableNormal"/>
    <w:next w:val="TableGrid"/>
    <w:uiPriority w:val="59"/>
    <w:rsid w:val="00BA147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Grid112"/>
    <w:rsid w:val="00BA1475"/>
    <w:pPr>
      <w:spacing w:after="0" w:line="240" w:lineRule="auto"/>
    </w:pPr>
    <w:rPr>
      <w:rFonts w:eastAsia="MS Mincho"/>
      <w:kern w:val="0"/>
      <w:lang w:val="en-US"/>
    </w:rPr>
    <w:tblPr>
      <w:tblCellMar>
        <w:top w:w="0" w:type="dxa"/>
        <w:left w:w="0" w:type="dxa"/>
        <w:bottom w:w="0" w:type="dxa"/>
        <w:right w:w="0" w:type="dxa"/>
      </w:tblCellMar>
    </w:tblPr>
  </w:style>
  <w:style w:type="table" w:customStyle="1" w:styleId="PlainTable1112">
    <w:name w:val="Plain Table 1112"/>
    <w:basedOn w:val="TableNormal"/>
    <w:next w:val="PlainTable1"/>
    <w:uiPriority w:val="41"/>
    <w:rsid w:val="00BA1475"/>
    <w:pPr>
      <w:spacing w:after="0" w:line="240" w:lineRule="auto"/>
    </w:pPr>
    <w:rPr>
      <w:kern w:val="0"/>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xl63">
    <w:name w:val="xl63"/>
    <w:basedOn w:val="Normal"/>
    <w:rsid w:val="00BA147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val="fr-BE" w:eastAsia="fr-BE"/>
    </w:rPr>
  </w:style>
  <w:style w:type="paragraph" w:customStyle="1" w:styleId="xl64">
    <w:name w:val="xl64"/>
    <w:basedOn w:val="Normal"/>
    <w:rsid w:val="00BA1475"/>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kern w:val="0"/>
      <w:sz w:val="24"/>
      <w:szCs w:val="24"/>
      <w:lang w:val="fr-BE" w:eastAsia="fr-BE"/>
    </w:rPr>
  </w:style>
  <w:style w:type="character" w:customStyle="1" w:styleId="Heading2Char">
    <w:name w:val="Heading 2 Char"/>
    <w:basedOn w:val="DefaultParagraphFont"/>
    <w:link w:val="Heading2"/>
    <w:uiPriority w:val="9"/>
    <w:rsid w:val="00BA1475"/>
    <w:rPr>
      <w:rFonts w:ascii="Times New Roman" w:eastAsia="MS Gothic" w:hAnsi="Times New Roman" w:cs="Times New Roman"/>
      <w:b/>
      <w:bCs/>
      <w:sz w:val="24"/>
      <w:szCs w:val="26"/>
    </w:rPr>
  </w:style>
  <w:style w:type="character" w:customStyle="1" w:styleId="Heading3Char">
    <w:name w:val="Heading 3 Char"/>
    <w:basedOn w:val="DefaultParagraphFont"/>
    <w:link w:val="Heading3"/>
    <w:uiPriority w:val="9"/>
    <w:rsid w:val="00BA1475"/>
    <w:rPr>
      <w:rFonts w:ascii="Times New Roman" w:eastAsia="MS Gothic" w:hAnsi="Times New Roman" w:cs="Times New Roman"/>
      <w:bCs/>
      <w:i/>
      <w:sz w:val="24"/>
    </w:rPr>
  </w:style>
  <w:style w:type="character" w:customStyle="1" w:styleId="Heading4Char">
    <w:name w:val="Heading 4 Char"/>
    <w:basedOn w:val="DefaultParagraphFont"/>
    <w:link w:val="Heading4"/>
    <w:uiPriority w:val="9"/>
    <w:rsid w:val="00BA1475"/>
    <w:rPr>
      <w:rFonts w:ascii="Times New Roman" w:eastAsia="MS Gothic" w:hAnsi="Times New Roman" w:cs="Times New Roman"/>
      <w:bCs/>
      <w:iCs/>
      <w:sz w:val="24"/>
    </w:rPr>
  </w:style>
  <w:style w:type="numbering" w:customStyle="1" w:styleId="NoList5">
    <w:name w:val="No List5"/>
    <w:next w:val="NoList"/>
    <w:uiPriority w:val="99"/>
    <w:semiHidden/>
    <w:unhideWhenUsed/>
    <w:rsid w:val="00BA1475"/>
  </w:style>
  <w:style w:type="numbering" w:customStyle="1" w:styleId="NoList14">
    <w:name w:val="No List14"/>
    <w:next w:val="NoList"/>
    <w:uiPriority w:val="99"/>
    <w:semiHidden/>
    <w:unhideWhenUsed/>
    <w:rsid w:val="00BA1475"/>
  </w:style>
  <w:style w:type="character" w:customStyle="1" w:styleId="Heading1Char1">
    <w:name w:val="Heading 1 Char1"/>
    <w:basedOn w:val="DefaultParagraphFont"/>
    <w:link w:val="Heading1"/>
    <w:uiPriority w:val="9"/>
    <w:rsid w:val="00BA1475"/>
    <w:rPr>
      <w:rFonts w:asciiTheme="majorHAnsi" w:eastAsiaTheme="majorEastAsia" w:hAnsiTheme="majorHAnsi" w:cstheme="majorBidi"/>
      <w:color w:val="0F4761" w:themeColor="accent1" w:themeShade="BF"/>
      <w:sz w:val="32"/>
      <w:szCs w:val="32"/>
    </w:rPr>
  </w:style>
  <w:style w:type="paragraph" w:styleId="TOCHeading">
    <w:name w:val="TOC Heading"/>
    <w:basedOn w:val="Normal"/>
    <w:next w:val="Normal"/>
    <w:uiPriority w:val="39"/>
    <w:semiHidden/>
    <w:unhideWhenUsed/>
    <w:qFormat/>
    <w:rsid w:val="00BA1475"/>
    <w:pPr>
      <w:spacing w:before="120" w:after="240" w:line="240" w:lineRule="auto"/>
      <w:jc w:val="center"/>
    </w:pPr>
    <w:rPr>
      <w:rFonts w:ascii="Times New Roman" w:hAnsi="Times New Roman" w:cs="Times New Roman"/>
      <w:b/>
      <w:kern w:val="0"/>
      <w:sz w:val="28"/>
      <w:lang w:val="en-GB"/>
    </w:rPr>
  </w:style>
  <w:style w:type="paragraph" w:styleId="TOC1">
    <w:name w:val="toc 1"/>
    <w:basedOn w:val="Normal"/>
    <w:next w:val="Normal"/>
    <w:uiPriority w:val="39"/>
    <w:semiHidden/>
    <w:unhideWhenUsed/>
    <w:rsid w:val="00BA1475"/>
    <w:pPr>
      <w:tabs>
        <w:tab w:val="right" w:leader="dot" w:pos="9071"/>
      </w:tabs>
      <w:spacing w:before="60" w:after="120" w:line="240" w:lineRule="auto"/>
      <w:ind w:left="850" w:hanging="850"/>
    </w:pPr>
    <w:rPr>
      <w:rFonts w:ascii="Times New Roman" w:hAnsi="Times New Roman" w:cs="Times New Roman"/>
      <w:kern w:val="0"/>
      <w:sz w:val="24"/>
      <w:lang w:val="en-GB"/>
    </w:rPr>
  </w:style>
  <w:style w:type="paragraph" w:styleId="TOC2">
    <w:name w:val="toc 2"/>
    <w:basedOn w:val="Normal"/>
    <w:next w:val="Normal"/>
    <w:uiPriority w:val="39"/>
    <w:semiHidden/>
    <w:unhideWhenUsed/>
    <w:rsid w:val="00BA1475"/>
    <w:pPr>
      <w:tabs>
        <w:tab w:val="right" w:leader="dot" w:pos="9071"/>
      </w:tabs>
      <w:spacing w:before="60" w:after="120" w:line="240" w:lineRule="auto"/>
      <w:ind w:left="850" w:hanging="850"/>
    </w:pPr>
    <w:rPr>
      <w:rFonts w:ascii="Times New Roman" w:hAnsi="Times New Roman" w:cs="Times New Roman"/>
      <w:kern w:val="0"/>
      <w:sz w:val="24"/>
      <w:lang w:val="en-GB"/>
    </w:rPr>
  </w:style>
  <w:style w:type="paragraph" w:styleId="TOC3">
    <w:name w:val="toc 3"/>
    <w:basedOn w:val="Normal"/>
    <w:next w:val="Normal"/>
    <w:uiPriority w:val="39"/>
    <w:semiHidden/>
    <w:unhideWhenUsed/>
    <w:rsid w:val="00BA1475"/>
    <w:pPr>
      <w:tabs>
        <w:tab w:val="right" w:leader="dot" w:pos="9071"/>
      </w:tabs>
      <w:spacing w:before="60" w:after="120" w:line="240" w:lineRule="auto"/>
      <w:ind w:left="850" w:hanging="850"/>
    </w:pPr>
    <w:rPr>
      <w:rFonts w:ascii="Times New Roman" w:hAnsi="Times New Roman" w:cs="Times New Roman"/>
      <w:kern w:val="0"/>
      <w:sz w:val="24"/>
      <w:lang w:val="en-GB"/>
    </w:rPr>
  </w:style>
  <w:style w:type="paragraph" w:styleId="TOC4">
    <w:name w:val="toc 4"/>
    <w:basedOn w:val="Normal"/>
    <w:next w:val="Normal"/>
    <w:uiPriority w:val="39"/>
    <w:semiHidden/>
    <w:unhideWhenUsed/>
    <w:rsid w:val="00BA1475"/>
    <w:pPr>
      <w:tabs>
        <w:tab w:val="right" w:leader="dot" w:pos="9071"/>
      </w:tabs>
      <w:spacing w:before="60" w:after="120" w:line="240" w:lineRule="auto"/>
      <w:ind w:left="850" w:hanging="850"/>
    </w:pPr>
    <w:rPr>
      <w:rFonts w:ascii="Times New Roman" w:hAnsi="Times New Roman" w:cs="Times New Roman"/>
      <w:kern w:val="0"/>
      <w:sz w:val="24"/>
      <w:lang w:val="en-GB"/>
    </w:rPr>
  </w:style>
  <w:style w:type="paragraph" w:styleId="TOC5">
    <w:name w:val="toc 5"/>
    <w:basedOn w:val="Normal"/>
    <w:next w:val="Normal"/>
    <w:uiPriority w:val="39"/>
    <w:semiHidden/>
    <w:unhideWhenUsed/>
    <w:rsid w:val="00BA1475"/>
    <w:pPr>
      <w:tabs>
        <w:tab w:val="right" w:leader="dot" w:pos="9071"/>
      </w:tabs>
      <w:spacing w:before="300" w:after="120" w:line="240" w:lineRule="auto"/>
    </w:pPr>
    <w:rPr>
      <w:rFonts w:ascii="Times New Roman" w:hAnsi="Times New Roman" w:cs="Times New Roman"/>
      <w:kern w:val="0"/>
      <w:sz w:val="24"/>
      <w:lang w:val="en-GB"/>
    </w:rPr>
  </w:style>
  <w:style w:type="paragraph" w:styleId="TOC6">
    <w:name w:val="toc 6"/>
    <w:basedOn w:val="Normal"/>
    <w:next w:val="Normal"/>
    <w:uiPriority w:val="39"/>
    <w:semiHidden/>
    <w:unhideWhenUsed/>
    <w:rsid w:val="00BA1475"/>
    <w:pPr>
      <w:tabs>
        <w:tab w:val="right" w:leader="dot" w:pos="9071"/>
      </w:tabs>
      <w:spacing w:before="240" w:after="120" w:line="240" w:lineRule="auto"/>
    </w:pPr>
    <w:rPr>
      <w:rFonts w:ascii="Times New Roman" w:hAnsi="Times New Roman" w:cs="Times New Roman"/>
      <w:kern w:val="0"/>
      <w:sz w:val="24"/>
      <w:lang w:val="en-GB"/>
    </w:rPr>
  </w:style>
  <w:style w:type="paragraph" w:styleId="TOC7">
    <w:name w:val="toc 7"/>
    <w:basedOn w:val="Normal"/>
    <w:next w:val="Normal"/>
    <w:uiPriority w:val="39"/>
    <w:semiHidden/>
    <w:unhideWhenUsed/>
    <w:rsid w:val="00BA1475"/>
    <w:pPr>
      <w:tabs>
        <w:tab w:val="right" w:leader="dot" w:pos="9071"/>
      </w:tabs>
      <w:spacing w:before="180" w:after="120" w:line="240" w:lineRule="auto"/>
    </w:pPr>
    <w:rPr>
      <w:rFonts w:ascii="Times New Roman" w:hAnsi="Times New Roman" w:cs="Times New Roman"/>
      <w:kern w:val="0"/>
      <w:sz w:val="24"/>
      <w:lang w:val="en-GB"/>
    </w:rPr>
  </w:style>
  <w:style w:type="paragraph" w:styleId="TOC8">
    <w:name w:val="toc 8"/>
    <w:basedOn w:val="Normal"/>
    <w:next w:val="Normal"/>
    <w:uiPriority w:val="39"/>
    <w:semiHidden/>
    <w:unhideWhenUsed/>
    <w:rsid w:val="00BA1475"/>
    <w:pPr>
      <w:tabs>
        <w:tab w:val="right" w:leader="dot" w:pos="9071"/>
      </w:tabs>
      <w:spacing w:before="120" w:after="120" w:line="240" w:lineRule="auto"/>
    </w:pPr>
    <w:rPr>
      <w:rFonts w:ascii="Times New Roman" w:hAnsi="Times New Roman" w:cs="Times New Roman"/>
      <w:kern w:val="0"/>
      <w:sz w:val="24"/>
      <w:lang w:val="en-GB"/>
    </w:rPr>
  </w:style>
  <w:style w:type="paragraph" w:styleId="TOC9">
    <w:name w:val="toc 9"/>
    <w:basedOn w:val="Normal"/>
    <w:next w:val="Normal"/>
    <w:uiPriority w:val="39"/>
    <w:semiHidden/>
    <w:unhideWhenUsed/>
    <w:rsid w:val="00BA1475"/>
    <w:pPr>
      <w:tabs>
        <w:tab w:val="right" w:leader="dot" w:pos="9071"/>
      </w:tabs>
      <w:spacing w:before="120" w:after="120" w:line="240" w:lineRule="auto"/>
      <w:jc w:val="both"/>
    </w:pPr>
    <w:rPr>
      <w:rFonts w:ascii="Times New Roman" w:hAnsi="Times New Roman" w:cs="Times New Roman"/>
      <w:kern w:val="0"/>
      <w:sz w:val="24"/>
      <w:lang w:val="en-GB"/>
    </w:rPr>
  </w:style>
  <w:style w:type="paragraph" w:customStyle="1" w:styleId="HeaderLandscape">
    <w:name w:val="HeaderLandscape"/>
    <w:basedOn w:val="Normal"/>
    <w:rsid w:val="00BA1475"/>
    <w:pPr>
      <w:tabs>
        <w:tab w:val="center" w:pos="7285"/>
        <w:tab w:val="right" w:pos="14003"/>
      </w:tabs>
      <w:spacing w:after="120" w:line="240" w:lineRule="auto"/>
      <w:jc w:val="both"/>
    </w:pPr>
    <w:rPr>
      <w:rFonts w:ascii="Times New Roman" w:hAnsi="Times New Roman" w:cs="Times New Roman"/>
      <w:kern w:val="0"/>
      <w:sz w:val="24"/>
      <w:lang w:val="en-GB"/>
    </w:rPr>
  </w:style>
  <w:style w:type="paragraph" w:customStyle="1" w:styleId="FooterLandscape">
    <w:name w:val="FooterLandscape"/>
    <w:basedOn w:val="Normal"/>
    <w:rsid w:val="00BA1475"/>
    <w:pPr>
      <w:tabs>
        <w:tab w:val="center" w:pos="7285"/>
        <w:tab w:val="center" w:pos="10913"/>
        <w:tab w:val="right" w:pos="15137"/>
      </w:tabs>
      <w:spacing w:before="360" w:after="0" w:line="240" w:lineRule="auto"/>
      <w:ind w:left="-567" w:right="-567"/>
    </w:pPr>
    <w:rPr>
      <w:rFonts w:ascii="Times New Roman" w:hAnsi="Times New Roman" w:cs="Times New Roman"/>
      <w:kern w:val="0"/>
      <w:sz w:val="24"/>
      <w:lang w:val="en-GB"/>
    </w:rPr>
  </w:style>
  <w:style w:type="paragraph" w:customStyle="1" w:styleId="Text2">
    <w:name w:val="Text 2"/>
    <w:basedOn w:val="Normal"/>
    <w:rsid w:val="00BA1475"/>
    <w:pPr>
      <w:spacing w:before="120" w:after="120" w:line="240" w:lineRule="auto"/>
      <w:ind w:left="1417"/>
      <w:jc w:val="both"/>
    </w:pPr>
    <w:rPr>
      <w:rFonts w:ascii="Times New Roman" w:hAnsi="Times New Roman" w:cs="Times New Roman"/>
      <w:kern w:val="0"/>
      <w:sz w:val="24"/>
      <w:lang w:val="en-GB"/>
    </w:rPr>
  </w:style>
  <w:style w:type="paragraph" w:customStyle="1" w:styleId="Text3">
    <w:name w:val="Text 3"/>
    <w:basedOn w:val="Normal"/>
    <w:rsid w:val="00BA1475"/>
    <w:pPr>
      <w:spacing w:before="120" w:after="120" w:line="240" w:lineRule="auto"/>
      <w:ind w:left="1984"/>
      <w:jc w:val="both"/>
    </w:pPr>
    <w:rPr>
      <w:rFonts w:ascii="Times New Roman" w:hAnsi="Times New Roman" w:cs="Times New Roman"/>
      <w:kern w:val="0"/>
      <w:sz w:val="24"/>
      <w:lang w:val="en-GB"/>
    </w:rPr>
  </w:style>
  <w:style w:type="paragraph" w:customStyle="1" w:styleId="Text4">
    <w:name w:val="Text 4"/>
    <w:basedOn w:val="Normal"/>
    <w:rsid w:val="00BA1475"/>
    <w:pPr>
      <w:spacing w:before="120" w:after="120" w:line="240" w:lineRule="auto"/>
      <w:ind w:left="2551"/>
      <w:jc w:val="both"/>
    </w:pPr>
    <w:rPr>
      <w:rFonts w:ascii="Times New Roman" w:hAnsi="Times New Roman" w:cs="Times New Roman"/>
      <w:kern w:val="0"/>
      <w:sz w:val="24"/>
      <w:lang w:val="en-GB"/>
    </w:rPr>
  </w:style>
  <w:style w:type="paragraph" w:customStyle="1" w:styleId="NormalCentered">
    <w:name w:val="Normal Centered"/>
    <w:basedOn w:val="Normal"/>
    <w:rsid w:val="00BA1475"/>
    <w:pPr>
      <w:spacing w:before="120" w:after="120" w:line="240" w:lineRule="auto"/>
      <w:jc w:val="center"/>
    </w:pPr>
    <w:rPr>
      <w:rFonts w:ascii="Times New Roman" w:hAnsi="Times New Roman" w:cs="Times New Roman"/>
      <w:kern w:val="0"/>
      <w:sz w:val="24"/>
      <w:lang w:val="en-GB"/>
    </w:rPr>
  </w:style>
  <w:style w:type="paragraph" w:customStyle="1" w:styleId="NormalLeft">
    <w:name w:val="Normal Left"/>
    <w:basedOn w:val="Normal"/>
    <w:rsid w:val="00BA1475"/>
    <w:pPr>
      <w:spacing w:before="120" w:after="120" w:line="240" w:lineRule="auto"/>
    </w:pPr>
    <w:rPr>
      <w:rFonts w:ascii="Times New Roman" w:hAnsi="Times New Roman" w:cs="Times New Roman"/>
      <w:kern w:val="0"/>
      <w:sz w:val="24"/>
      <w:lang w:val="en-GB"/>
    </w:rPr>
  </w:style>
  <w:style w:type="paragraph" w:customStyle="1" w:styleId="NormalRight">
    <w:name w:val="Normal Right"/>
    <w:basedOn w:val="Normal"/>
    <w:rsid w:val="00BA1475"/>
    <w:pPr>
      <w:spacing w:before="120" w:after="120" w:line="240" w:lineRule="auto"/>
      <w:jc w:val="right"/>
    </w:pPr>
    <w:rPr>
      <w:rFonts w:ascii="Times New Roman" w:hAnsi="Times New Roman" w:cs="Times New Roman"/>
      <w:kern w:val="0"/>
      <w:sz w:val="24"/>
      <w:lang w:val="en-GB"/>
    </w:rPr>
  </w:style>
  <w:style w:type="paragraph" w:customStyle="1" w:styleId="QuotedText">
    <w:name w:val="Quoted Text"/>
    <w:basedOn w:val="Normal"/>
    <w:rsid w:val="00BA1475"/>
    <w:pPr>
      <w:spacing w:before="120" w:after="120" w:line="240" w:lineRule="auto"/>
      <w:ind w:left="1417"/>
      <w:jc w:val="both"/>
    </w:pPr>
    <w:rPr>
      <w:rFonts w:ascii="Times New Roman" w:hAnsi="Times New Roman" w:cs="Times New Roman"/>
      <w:kern w:val="0"/>
      <w:sz w:val="24"/>
      <w:lang w:val="en-GB"/>
    </w:rPr>
  </w:style>
  <w:style w:type="paragraph" w:customStyle="1" w:styleId="Point0">
    <w:name w:val="Point 0"/>
    <w:basedOn w:val="Normal"/>
    <w:rsid w:val="00BA1475"/>
    <w:pPr>
      <w:spacing w:before="120" w:after="120" w:line="240" w:lineRule="auto"/>
      <w:ind w:left="850" w:hanging="850"/>
      <w:jc w:val="both"/>
    </w:pPr>
    <w:rPr>
      <w:rFonts w:ascii="Times New Roman" w:hAnsi="Times New Roman" w:cs="Times New Roman"/>
      <w:kern w:val="0"/>
      <w:sz w:val="24"/>
      <w:lang w:val="en-GB"/>
    </w:rPr>
  </w:style>
  <w:style w:type="paragraph" w:customStyle="1" w:styleId="Point1">
    <w:name w:val="Point 1"/>
    <w:basedOn w:val="Normal"/>
    <w:rsid w:val="00BA1475"/>
    <w:pPr>
      <w:spacing w:before="120" w:after="120" w:line="240" w:lineRule="auto"/>
      <w:ind w:left="1417" w:hanging="567"/>
      <w:jc w:val="both"/>
    </w:pPr>
    <w:rPr>
      <w:rFonts w:ascii="Times New Roman" w:hAnsi="Times New Roman" w:cs="Times New Roman"/>
      <w:kern w:val="0"/>
      <w:sz w:val="24"/>
      <w:lang w:val="en-GB"/>
    </w:rPr>
  </w:style>
  <w:style w:type="paragraph" w:customStyle="1" w:styleId="Point2">
    <w:name w:val="Point 2"/>
    <w:basedOn w:val="Normal"/>
    <w:rsid w:val="00BA1475"/>
    <w:pPr>
      <w:spacing w:before="120" w:after="120" w:line="240" w:lineRule="auto"/>
      <w:ind w:left="1984" w:hanging="567"/>
      <w:jc w:val="both"/>
    </w:pPr>
    <w:rPr>
      <w:rFonts w:ascii="Times New Roman" w:hAnsi="Times New Roman" w:cs="Times New Roman"/>
      <w:kern w:val="0"/>
      <w:sz w:val="24"/>
      <w:lang w:val="en-GB"/>
    </w:rPr>
  </w:style>
  <w:style w:type="paragraph" w:customStyle="1" w:styleId="Point3">
    <w:name w:val="Point 3"/>
    <w:basedOn w:val="Normal"/>
    <w:rsid w:val="00BA1475"/>
    <w:pPr>
      <w:spacing w:before="120" w:after="120" w:line="240" w:lineRule="auto"/>
      <w:ind w:left="2551" w:hanging="567"/>
      <w:jc w:val="both"/>
    </w:pPr>
    <w:rPr>
      <w:rFonts w:ascii="Times New Roman" w:hAnsi="Times New Roman" w:cs="Times New Roman"/>
      <w:kern w:val="0"/>
      <w:sz w:val="24"/>
      <w:lang w:val="en-GB"/>
    </w:rPr>
  </w:style>
  <w:style w:type="paragraph" w:customStyle="1" w:styleId="Point4">
    <w:name w:val="Point 4"/>
    <w:basedOn w:val="Normal"/>
    <w:rsid w:val="00BA1475"/>
    <w:pPr>
      <w:spacing w:before="120" w:after="120" w:line="240" w:lineRule="auto"/>
      <w:ind w:left="3118" w:hanging="567"/>
      <w:jc w:val="both"/>
    </w:pPr>
    <w:rPr>
      <w:rFonts w:ascii="Times New Roman" w:hAnsi="Times New Roman" w:cs="Times New Roman"/>
      <w:kern w:val="0"/>
      <w:sz w:val="24"/>
      <w:lang w:val="en-GB"/>
    </w:rPr>
  </w:style>
  <w:style w:type="paragraph" w:customStyle="1" w:styleId="Tiret0">
    <w:name w:val="Tiret 0"/>
    <w:basedOn w:val="Point0"/>
    <w:rsid w:val="00BA1475"/>
    <w:pPr>
      <w:numPr>
        <w:numId w:val="1"/>
      </w:numPr>
    </w:pPr>
  </w:style>
  <w:style w:type="paragraph" w:customStyle="1" w:styleId="Tiret1">
    <w:name w:val="Tiret 1"/>
    <w:basedOn w:val="Point1"/>
    <w:rsid w:val="00BA1475"/>
    <w:pPr>
      <w:numPr>
        <w:numId w:val="2"/>
      </w:numPr>
    </w:pPr>
  </w:style>
  <w:style w:type="paragraph" w:customStyle="1" w:styleId="Tiret2">
    <w:name w:val="Tiret 2"/>
    <w:basedOn w:val="Point2"/>
    <w:rsid w:val="00BA1475"/>
    <w:pPr>
      <w:numPr>
        <w:numId w:val="3"/>
      </w:numPr>
    </w:pPr>
  </w:style>
  <w:style w:type="paragraph" w:customStyle="1" w:styleId="Tiret3">
    <w:name w:val="Tiret 3"/>
    <w:basedOn w:val="Point3"/>
    <w:rsid w:val="00BA1475"/>
    <w:pPr>
      <w:numPr>
        <w:numId w:val="4"/>
      </w:numPr>
    </w:pPr>
  </w:style>
  <w:style w:type="paragraph" w:customStyle="1" w:styleId="Tiret4">
    <w:name w:val="Tiret 4"/>
    <w:basedOn w:val="Point4"/>
    <w:rsid w:val="00BA1475"/>
    <w:pPr>
      <w:numPr>
        <w:numId w:val="5"/>
      </w:numPr>
    </w:pPr>
  </w:style>
  <w:style w:type="paragraph" w:customStyle="1" w:styleId="PointDouble0">
    <w:name w:val="PointDouble 0"/>
    <w:basedOn w:val="Normal"/>
    <w:rsid w:val="00BA1475"/>
    <w:pPr>
      <w:tabs>
        <w:tab w:val="left" w:pos="850"/>
      </w:tabs>
      <w:spacing w:before="120" w:after="120" w:line="240" w:lineRule="auto"/>
      <w:ind w:left="1417" w:hanging="1417"/>
      <w:jc w:val="both"/>
    </w:pPr>
    <w:rPr>
      <w:rFonts w:ascii="Times New Roman" w:hAnsi="Times New Roman" w:cs="Times New Roman"/>
      <w:kern w:val="0"/>
      <w:sz w:val="24"/>
      <w:lang w:val="en-GB"/>
    </w:rPr>
  </w:style>
  <w:style w:type="paragraph" w:customStyle="1" w:styleId="PointDouble1">
    <w:name w:val="PointDouble 1"/>
    <w:basedOn w:val="Normal"/>
    <w:rsid w:val="00BA1475"/>
    <w:pPr>
      <w:tabs>
        <w:tab w:val="left" w:pos="1417"/>
      </w:tabs>
      <w:spacing w:before="120" w:after="120" w:line="240" w:lineRule="auto"/>
      <w:ind w:left="1984" w:hanging="1134"/>
      <w:jc w:val="both"/>
    </w:pPr>
    <w:rPr>
      <w:rFonts w:ascii="Times New Roman" w:hAnsi="Times New Roman" w:cs="Times New Roman"/>
      <w:kern w:val="0"/>
      <w:sz w:val="24"/>
      <w:lang w:val="en-GB"/>
    </w:rPr>
  </w:style>
  <w:style w:type="paragraph" w:customStyle="1" w:styleId="PointDouble2">
    <w:name w:val="PointDouble 2"/>
    <w:basedOn w:val="Normal"/>
    <w:rsid w:val="00BA1475"/>
    <w:pPr>
      <w:tabs>
        <w:tab w:val="left" w:pos="1984"/>
      </w:tabs>
      <w:spacing w:before="120" w:after="120" w:line="240" w:lineRule="auto"/>
      <w:ind w:left="2551" w:hanging="1134"/>
      <w:jc w:val="both"/>
    </w:pPr>
    <w:rPr>
      <w:rFonts w:ascii="Times New Roman" w:hAnsi="Times New Roman" w:cs="Times New Roman"/>
      <w:kern w:val="0"/>
      <w:sz w:val="24"/>
      <w:lang w:val="en-GB"/>
    </w:rPr>
  </w:style>
  <w:style w:type="paragraph" w:customStyle="1" w:styleId="PointDouble3">
    <w:name w:val="PointDouble 3"/>
    <w:basedOn w:val="Normal"/>
    <w:rsid w:val="00BA1475"/>
    <w:pPr>
      <w:tabs>
        <w:tab w:val="left" w:pos="2551"/>
      </w:tabs>
      <w:spacing w:before="120" w:after="120" w:line="240" w:lineRule="auto"/>
      <w:ind w:left="3118" w:hanging="1134"/>
      <w:jc w:val="both"/>
    </w:pPr>
    <w:rPr>
      <w:rFonts w:ascii="Times New Roman" w:hAnsi="Times New Roman" w:cs="Times New Roman"/>
      <w:kern w:val="0"/>
      <w:sz w:val="24"/>
      <w:lang w:val="en-GB"/>
    </w:rPr>
  </w:style>
  <w:style w:type="paragraph" w:customStyle="1" w:styleId="PointDouble4">
    <w:name w:val="PointDouble 4"/>
    <w:basedOn w:val="Normal"/>
    <w:rsid w:val="00BA1475"/>
    <w:pPr>
      <w:tabs>
        <w:tab w:val="left" w:pos="3118"/>
      </w:tabs>
      <w:spacing w:before="120" w:after="120" w:line="240" w:lineRule="auto"/>
      <w:ind w:left="3685" w:hanging="1134"/>
      <w:jc w:val="both"/>
    </w:pPr>
    <w:rPr>
      <w:rFonts w:ascii="Times New Roman" w:hAnsi="Times New Roman" w:cs="Times New Roman"/>
      <w:kern w:val="0"/>
      <w:sz w:val="24"/>
      <w:lang w:val="en-GB"/>
    </w:rPr>
  </w:style>
  <w:style w:type="paragraph" w:customStyle="1" w:styleId="PointTriple0">
    <w:name w:val="PointTriple 0"/>
    <w:basedOn w:val="Normal"/>
    <w:rsid w:val="00BA1475"/>
    <w:pPr>
      <w:tabs>
        <w:tab w:val="left" w:pos="850"/>
        <w:tab w:val="left" w:pos="1417"/>
      </w:tabs>
      <w:spacing w:before="120" w:after="120" w:line="240" w:lineRule="auto"/>
      <w:ind w:left="1984" w:hanging="1984"/>
      <w:jc w:val="both"/>
    </w:pPr>
    <w:rPr>
      <w:rFonts w:ascii="Times New Roman" w:hAnsi="Times New Roman" w:cs="Times New Roman"/>
      <w:kern w:val="0"/>
      <w:sz w:val="24"/>
      <w:lang w:val="en-GB"/>
    </w:rPr>
  </w:style>
  <w:style w:type="paragraph" w:customStyle="1" w:styleId="PointTriple1">
    <w:name w:val="PointTriple 1"/>
    <w:basedOn w:val="Normal"/>
    <w:rsid w:val="00BA1475"/>
    <w:pPr>
      <w:tabs>
        <w:tab w:val="left" w:pos="1417"/>
        <w:tab w:val="left" w:pos="1984"/>
      </w:tabs>
      <w:spacing w:before="120" w:after="120" w:line="240" w:lineRule="auto"/>
      <w:ind w:left="2551" w:hanging="1701"/>
      <w:jc w:val="both"/>
    </w:pPr>
    <w:rPr>
      <w:rFonts w:ascii="Times New Roman" w:hAnsi="Times New Roman" w:cs="Times New Roman"/>
      <w:kern w:val="0"/>
      <w:sz w:val="24"/>
      <w:lang w:val="en-GB"/>
    </w:rPr>
  </w:style>
  <w:style w:type="paragraph" w:customStyle="1" w:styleId="PointTriple2">
    <w:name w:val="PointTriple 2"/>
    <w:basedOn w:val="Normal"/>
    <w:rsid w:val="00BA1475"/>
    <w:pPr>
      <w:tabs>
        <w:tab w:val="left" w:pos="1984"/>
        <w:tab w:val="left" w:pos="2551"/>
      </w:tabs>
      <w:spacing w:before="120" w:after="120" w:line="240" w:lineRule="auto"/>
      <w:ind w:left="3118" w:hanging="1701"/>
      <w:jc w:val="both"/>
    </w:pPr>
    <w:rPr>
      <w:rFonts w:ascii="Times New Roman" w:hAnsi="Times New Roman" w:cs="Times New Roman"/>
      <w:kern w:val="0"/>
      <w:sz w:val="24"/>
      <w:lang w:val="en-GB"/>
    </w:rPr>
  </w:style>
  <w:style w:type="paragraph" w:customStyle="1" w:styleId="PointTriple3">
    <w:name w:val="PointTriple 3"/>
    <w:basedOn w:val="Normal"/>
    <w:rsid w:val="00BA1475"/>
    <w:pPr>
      <w:tabs>
        <w:tab w:val="left" w:pos="2551"/>
        <w:tab w:val="left" w:pos="3118"/>
      </w:tabs>
      <w:spacing w:before="120" w:after="120" w:line="240" w:lineRule="auto"/>
      <w:ind w:left="3685" w:hanging="1701"/>
      <w:jc w:val="both"/>
    </w:pPr>
    <w:rPr>
      <w:rFonts w:ascii="Times New Roman" w:hAnsi="Times New Roman" w:cs="Times New Roman"/>
      <w:kern w:val="0"/>
      <w:sz w:val="24"/>
      <w:lang w:val="en-GB"/>
    </w:rPr>
  </w:style>
  <w:style w:type="paragraph" w:customStyle="1" w:styleId="PointTriple4">
    <w:name w:val="PointTriple 4"/>
    <w:basedOn w:val="Normal"/>
    <w:rsid w:val="00BA1475"/>
    <w:pPr>
      <w:tabs>
        <w:tab w:val="left" w:pos="3118"/>
        <w:tab w:val="left" w:pos="3685"/>
      </w:tabs>
      <w:spacing w:before="120" w:after="120" w:line="240" w:lineRule="auto"/>
      <w:ind w:left="4252" w:hanging="1701"/>
      <w:jc w:val="both"/>
    </w:pPr>
    <w:rPr>
      <w:rFonts w:ascii="Times New Roman" w:hAnsi="Times New Roman" w:cs="Times New Roman"/>
      <w:kern w:val="0"/>
      <w:sz w:val="24"/>
      <w:lang w:val="en-GB"/>
    </w:rPr>
  </w:style>
  <w:style w:type="paragraph" w:customStyle="1" w:styleId="NumPar1">
    <w:name w:val="NumPar 1"/>
    <w:basedOn w:val="Normal"/>
    <w:next w:val="Text1"/>
    <w:rsid w:val="00BA1475"/>
    <w:pPr>
      <w:numPr>
        <w:numId w:val="6"/>
      </w:numPr>
      <w:spacing w:before="120" w:after="120" w:line="240" w:lineRule="auto"/>
      <w:jc w:val="both"/>
    </w:pPr>
    <w:rPr>
      <w:rFonts w:ascii="Times New Roman" w:hAnsi="Times New Roman" w:cs="Times New Roman"/>
      <w:kern w:val="0"/>
      <w:sz w:val="24"/>
      <w:lang w:val="en-GB"/>
    </w:rPr>
  </w:style>
  <w:style w:type="paragraph" w:customStyle="1" w:styleId="NumPar2">
    <w:name w:val="NumPar 2"/>
    <w:basedOn w:val="Normal"/>
    <w:next w:val="Text1"/>
    <w:rsid w:val="00BA1475"/>
    <w:pPr>
      <w:numPr>
        <w:ilvl w:val="1"/>
        <w:numId w:val="6"/>
      </w:numPr>
      <w:spacing w:before="120" w:after="120" w:line="240" w:lineRule="auto"/>
      <w:jc w:val="both"/>
    </w:pPr>
    <w:rPr>
      <w:rFonts w:ascii="Times New Roman" w:hAnsi="Times New Roman" w:cs="Times New Roman"/>
      <w:kern w:val="0"/>
      <w:sz w:val="24"/>
      <w:lang w:val="en-GB"/>
    </w:rPr>
  </w:style>
  <w:style w:type="paragraph" w:customStyle="1" w:styleId="NumPar3">
    <w:name w:val="NumPar 3"/>
    <w:basedOn w:val="Normal"/>
    <w:next w:val="Text1"/>
    <w:rsid w:val="00BA1475"/>
    <w:pPr>
      <w:numPr>
        <w:ilvl w:val="2"/>
        <w:numId w:val="6"/>
      </w:numPr>
      <w:spacing w:before="120" w:after="120" w:line="240" w:lineRule="auto"/>
      <w:jc w:val="both"/>
    </w:pPr>
    <w:rPr>
      <w:rFonts w:ascii="Times New Roman" w:hAnsi="Times New Roman" w:cs="Times New Roman"/>
      <w:kern w:val="0"/>
      <w:sz w:val="24"/>
      <w:lang w:val="en-GB"/>
    </w:rPr>
  </w:style>
  <w:style w:type="paragraph" w:customStyle="1" w:styleId="NumPar4">
    <w:name w:val="NumPar 4"/>
    <w:basedOn w:val="Normal"/>
    <w:next w:val="Text1"/>
    <w:rsid w:val="00BA1475"/>
    <w:pPr>
      <w:numPr>
        <w:ilvl w:val="3"/>
        <w:numId w:val="6"/>
      </w:numPr>
      <w:spacing w:before="120" w:after="120" w:line="240" w:lineRule="auto"/>
      <w:jc w:val="both"/>
    </w:pPr>
    <w:rPr>
      <w:rFonts w:ascii="Times New Roman" w:hAnsi="Times New Roman" w:cs="Times New Roman"/>
      <w:kern w:val="0"/>
      <w:sz w:val="24"/>
      <w:lang w:val="en-GB"/>
    </w:rPr>
  </w:style>
  <w:style w:type="paragraph" w:customStyle="1" w:styleId="ManualNumPar1">
    <w:name w:val="Manual NumPar 1"/>
    <w:basedOn w:val="Normal"/>
    <w:next w:val="Text1"/>
    <w:rsid w:val="00BA1475"/>
    <w:pPr>
      <w:spacing w:before="120" w:after="120" w:line="240" w:lineRule="auto"/>
      <w:ind w:left="850" w:hanging="850"/>
      <w:jc w:val="both"/>
    </w:pPr>
    <w:rPr>
      <w:rFonts w:ascii="Times New Roman" w:hAnsi="Times New Roman" w:cs="Times New Roman"/>
      <w:kern w:val="0"/>
      <w:sz w:val="24"/>
      <w:lang w:val="en-GB"/>
    </w:rPr>
  </w:style>
  <w:style w:type="paragraph" w:customStyle="1" w:styleId="ManualNumPar2">
    <w:name w:val="Manual NumPar 2"/>
    <w:basedOn w:val="Normal"/>
    <w:next w:val="Text1"/>
    <w:rsid w:val="00BA1475"/>
    <w:pPr>
      <w:spacing w:before="120" w:after="120" w:line="240" w:lineRule="auto"/>
      <w:ind w:left="850" w:hanging="850"/>
      <w:jc w:val="both"/>
    </w:pPr>
    <w:rPr>
      <w:rFonts w:ascii="Times New Roman" w:hAnsi="Times New Roman" w:cs="Times New Roman"/>
      <w:kern w:val="0"/>
      <w:sz w:val="24"/>
      <w:lang w:val="en-GB"/>
    </w:rPr>
  </w:style>
  <w:style w:type="paragraph" w:customStyle="1" w:styleId="ManualNumPar3">
    <w:name w:val="Manual NumPar 3"/>
    <w:basedOn w:val="Normal"/>
    <w:next w:val="Text1"/>
    <w:rsid w:val="00BA1475"/>
    <w:pPr>
      <w:spacing w:before="120" w:after="120" w:line="240" w:lineRule="auto"/>
      <w:ind w:left="850" w:hanging="850"/>
      <w:jc w:val="both"/>
    </w:pPr>
    <w:rPr>
      <w:rFonts w:ascii="Times New Roman" w:hAnsi="Times New Roman" w:cs="Times New Roman"/>
      <w:kern w:val="0"/>
      <w:sz w:val="24"/>
      <w:lang w:val="en-GB"/>
    </w:rPr>
  </w:style>
  <w:style w:type="paragraph" w:customStyle="1" w:styleId="ManualNumPar4">
    <w:name w:val="Manual NumPar 4"/>
    <w:basedOn w:val="Normal"/>
    <w:next w:val="Text1"/>
    <w:rsid w:val="00BA1475"/>
    <w:pPr>
      <w:spacing w:before="120" w:after="120" w:line="240" w:lineRule="auto"/>
      <w:ind w:left="850" w:hanging="850"/>
      <w:jc w:val="both"/>
    </w:pPr>
    <w:rPr>
      <w:rFonts w:ascii="Times New Roman" w:hAnsi="Times New Roman" w:cs="Times New Roman"/>
      <w:kern w:val="0"/>
      <w:sz w:val="24"/>
      <w:lang w:val="en-GB"/>
    </w:rPr>
  </w:style>
  <w:style w:type="paragraph" w:customStyle="1" w:styleId="QuotedNumPar">
    <w:name w:val="Quoted NumPar"/>
    <w:basedOn w:val="Normal"/>
    <w:rsid w:val="00BA1475"/>
    <w:pPr>
      <w:spacing w:before="120" w:after="120" w:line="240" w:lineRule="auto"/>
      <w:ind w:left="1417" w:hanging="567"/>
      <w:jc w:val="both"/>
    </w:pPr>
    <w:rPr>
      <w:rFonts w:ascii="Times New Roman" w:hAnsi="Times New Roman" w:cs="Times New Roman"/>
      <w:kern w:val="0"/>
      <w:sz w:val="24"/>
      <w:lang w:val="en-GB"/>
    </w:rPr>
  </w:style>
  <w:style w:type="paragraph" w:customStyle="1" w:styleId="ManualHeading1">
    <w:name w:val="Manual Heading 1"/>
    <w:basedOn w:val="Normal"/>
    <w:next w:val="Text1"/>
    <w:rsid w:val="00BA1475"/>
    <w:pPr>
      <w:keepNext/>
      <w:tabs>
        <w:tab w:val="left" w:pos="850"/>
      </w:tabs>
      <w:spacing w:before="360" w:after="120" w:line="240" w:lineRule="auto"/>
      <w:ind w:left="850" w:hanging="850"/>
      <w:jc w:val="both"/>
      <w:outlineLvl w:val="0"/>
    </w:pPr>
    <w:rPr>
      <w:rFonts w:ascii="Times New Roman" w:hAnsi="Times New Roman" w:cs="Times New Roman"/>
      <w:b/>
      <w:smallCaps/>
      <w:kern w:val="0"/>
      <w:sz w:val="24"/>
      <w:lang w:val="en-GB"/>
    </w:rPr>
  </w:style>
  <w:style w:type="paragraph" w:customStyle="1" w:styleId="ManualHeading2">
    <w:name w:val="Manual Heading 2"/>
    <w:basedOn w:val="Normal"/>
    <w:next w:val="Text1"/>
    <w:rsid w:val="00BA1475"/>
    <w:pPr>
      <w:keepNext/>
      <w:tabs>
        <w:tab w:val="left" w:pos="850"/>
      </w:tabs>
      <w:spacing w:before="120" w:after="120" w:line="240" w:lineRule="auto"/>
      <w:ind w:left="850" w:hanging="850"/>
      <w:jc w:val="both"/>
      <w:outlineLvl w:val="1"/>
    </w:pPr>
    <w:rPr>
      <w:rFonts w:ascii="Times New Roman" w:hAnsi="Times New Roman" w:cs="Times New Roman"/>
      <w:b/>
      <w:kern w:val="0"/>
      <w:sz w:val="24"/>
      <w:lang w:val="en-GB"/>
    </w:rPr>
  </w:style>
  <w:style w:type="paragraph" w:customStyle="1" w:styleId="ManualHeading3">
    <w:name w:val="Manual Heading 3"/>
    <w:basedOn w:val="Normal"/>
    <w:next w:val="Text1"/>
    <w:rsid w:val="00BA1475"/>
    <w:pPr>
      <w:keepNext/>
      <w:tabs>
        <w:tab w:val="left" w:pos="850"/>
      </w:tabs>
      <w:spacing w:before="120" w:after="120" w:line="240" w:lineRule="auto"/>
      <w:ind w:left="850" w:hanging="850"/>
      <w:jc w:val="both"/>
      <w:outlineLvl w:val="2"/>
    </w:pPr>
    <w:rPr>
      <w:rFonts w:ascii="Times New Roman" w:hAnsi="Times New Roman" w:cs="Times New Roman"/>
      <w:i/>
      <w:kern w:val="0"/>
      <w:sz w:val="24"/>
      <w:lang w:val="en-GB"/>
    </w:rPr>
  </w:style>
  <w:style w:type="paragraph" w:customStyle="1" w:styleId="ManualHeading4">
    <w:name w:val="Manual Heading 4"/>
    <w:basedOn w:val="Normal"/>
    <w:next w:val="Text1"/>
    <w:rsid w:val="00BA1475"/>
    <w:pPr>
      <w:keepNext/>
      <w:tabs>
        <w:tab w:val="left" w:pos="850"/>
      </w:tabs>
      <w:spacing w:before="120" w:after="120" w:line="240" w:lineRule="auto"/>
      <w:ind w:left="850" w:hanging="850"/>
      <w:jc w:val="both"/>
      <w:outlineLvl w:val="3"/>
    </w:pPr>
    <w:rPr>
      <w:rFonts w:ascii="Times New Roman" w:hAnsi="Times New Roman" w:cs="Times New Roman"/>
      <w:kern w:val="0"/>
      <w:sz w:val="24"/>
      <w:lang w:val="en-GB"/>
    </w:rPr>
  </w:style>
  <w:style w:type="paragraph" w:customStyle="1" w:styleId="ChapterTitle">
    <w:name w:val="ChapterTitle"/>
    <w:basedOn w:val="Normal"/>
    <w:next w:val="Normal"/>
    <w:rsid w:val="00BA1475"/>
    <w:pPr>
      <w:keepNext/>
      <w:spacing w:before="120" w:after="360" w:line="240" w:lineRule="auto"/>
      <w:jc w:val="center"/>
    </w:pPr>
    <w:rPr>
      <w:rFonts w:ascii="Times New Roman" w:hAnsi="Times New Roman" w:cs="Times New Roman"/>
      <w:b/>
      <w:kern w:val="0"/>
      <w:sz w:val="32"/>
      <w:lang w:val="en-GB"/>
    </w:rPr>
  </w:style>
  <w:style w:type="paragraph" w:customStyle="1" w:styleId="PartTitle">
    <w:name w:val="PartTitle"/>
    <w:basedOn w:val="Normal"/>
    <w:next w:val="ChapterTitle"/>
    <w:rsid w:val="00BA1475"/>
    <w:pPr>
      <w:keepNext/>
      <w:pageBreakBefore/>
      <w:spacing w:before="120" w:after="360" w:line="240" w:lineRule="auto"/>
      <w:jc w:val="center"/>
    </w:pPr>
    <w:rPr>
      <w:rFonts w:ascii="Times New Roman" w:hAnsi="Times New Roman" w:cs="Times New Roman"/>
      <w:b/>
      <w:kern w:val="0"/>
      <w:sz w:val="36"/>
      <w:lang w:val="en-GB"/>
    </w:rPr>
  </w:style>
  <w:style w:type="paragraph" w:customStyle="1" w:styleId="SectionTitle">
    <w:name w:val="SectionTitle"/>
    <w:basedOn w:val="Normal"/>
    <w:next w:val="Heading1"/>
    <w:rsid w:val="00BA1475"/>
    <w:pPr>
      <w:keepNext/>
      <w:spacing w:before="120" w:after="360" w:line="240" w:lineRule="auto"/>
      <w:jc w:val="center"/>
    </w:pPr>
    <w:rPr>
      <w:rFonts w:ascii="Times New Roman" w:hAnsi="Times New Roman" w:cs="Times New Roman"/>
      <w:b/>
      <w:smallCaps/>
      <w:kern w:val="0"/>
      <w:sz w:val="28"/>
      <w:lang w:val="en-GB"/>
    </w:rPr>
  </w:style>
  <w:style w:type="paragraph" w:customStyle="1" w:styleId="TableTitle">
    <w:name w:val="Table Title"/>
    <w:basedOn w:val="Normal"/>
    <w:next w:val="Normal"/>
    <w:rsid w:val="00BA1475"/>
    <w:pPr>
      <w:spacing w:before="120" w:after="120" w:line="240" w:lineRule="auto"/>
      <w:jc w:val="center"/>
    </w:pPr>
    <w:rPr>
      <w:rFonts w:ascii="Times New Roman" w:hAnsi="Times New Roman" w:cs="Times New Roman"/>
      <w:b/>
      <w:kern w:val="0"/>
      <w:sz w:val="24"/>
      <w:lang w:val="en-GB"/>
    </w:rPr>
  </w:style>
  <w:style w:type="character" w:customStyle="1" w:styleId="Marker1">
    <w:name w:val="Marker1"/>
    <w:basedOn w:val="DefaultParagraphFont"/>
    <w:rsid w:val="00BA1475"/>
    <w:rPr>
      <w:color w:val="008000"/>
      <w:shd w:val="clear" w:color="auto" w:fill="auto"/>
    </w:rPr>
  </w:style>
  <w:style w:type="character" w:customStyle="1" w:styleId="Marker2">
    <w:name w:val="Marker2"/>
    <w:basedOn w:val="DefaultParagraphFont"/>
    <w:rsid w:val="00BA1475"/>
    <w:rPr>
      <w:color w:val="FF0000"/>
      <w:shd w:val="clear" w:color="auto" w:fill="auto"/>
    </w:rPr>
  </w:style>
  <w:style w:type="paragraph" w:customStyle="1" w:styleId="Point0number">
    <w:name w:val="Point 0 (number)"/>
    <w:basedOn w:val="Normal"/>
    <w:rsid w:val="00BA1475"/>
    <w:pPr>
      <w:numPr>
        <w:numId w:val="7"/>
      </w:numPr>
      <w:spacing w:before="120" w:after="120" w:line="240" w:lineRule="auto"/>
      <w:jc w:val="both"/>
    </w:pPr>
    <w:rPr>
      <w:rFonts w:ascii="Times New Roman" w:hAnsi="Times New Roman" w:cs="Times New Roman"/>
      <w:kern w:val="0"/>
      <w:sz w:val="24"/>
      <w:lang w:val="en-GB"/>
    </w:rPr>
  </w:style>
  <w:style w:type="paragraph" w:customStyle="1" w:styleId="Point1number">
    <w:name w:val="Point 1 (number)"/>
    <w:basedOn w:val="Normal"/>
    <w:rsid w:val="00BA1475"/>
    <w:pPr>
      <w:numPr>
        <w:ilvl w:val="2"/>
        <w:numId w:val="7"/>
      </w:numPr>
      <w:spacing w:before="120" w:after="120" w:line="240" w:lineRule="auto"/>
      <w:jc w:val="both"/>
    </w:pPr>
    <w:rPr>
      <w:rFonts w:ascii="Times New Roman" w:hAnsi="Times New Roman" w:cs="Times New Roman"/>
      <w:kern w:val="0"/>
      <w:sz w:val="24"/>
      <w:lang w:val="en-GB"/>
    </w:rPr>
  </w:style>
  <w:style w:type="paragraph" w:customStyle="1" w:styleId="Point2number">
    <w:name w:val="Point 2 (number)"/>
    <w:basedOn w:val="Normal"/>
    <w:rsid w:val="00BA1475"/>
    <w:pPr>
      <w:numPr>
        <w:ilvl w:val="4"/>
        <w:numId w:val="7"/>
      </w:numPr>
      <w:spacing w:before="120" w:after="120" w:line="240" w:lineRule="auto"/>
      <w:jc w:val="both"/>
    </w:pPr>
    <w:rPr>
      <w:rFonts w:ascii="Times New Roman" w:hAnsi="Times New Roman" w:cs="Times New Roman"/>
      <w:kern w:val="0"/>
      <w:sz w:val="24"/>
      <w:lang w:val="en-GB"/>
    </w:rPr>
  </w:style>
  <w:style w:type="paragraph" w:customStyle="1" w:styleId="Point3number">
    <w:name w:val="Point 3 (number)"/>
    <w:basedOn w:val="Normal"/>
    <w:rsid w:val="00BA1475"/>
    <w:pPr>
      <w:numPr>
        <w:ilvl w:val="6"/>
        <w:numId w:val="7"/>
      </w:numPr>
      <w:spacing w:before="120" w:after="120" w:line="240" w:lineRule="auto"/>
      <w:jc w:val="both"/>
    </w:pPr>
    <w:rPr>
      <w:rFonts w:ascii="Times New Roman" w:hAnsi="Times New Roman" w:cs="Times New Roman"/>
      <w:kern w:val="0"/>
      <w:sz w:val="24"/>
      <w:lang w:val="en-GB"/>
    </w:rPr>
  </w:style>
  <w:style w:type="paragraph" w:customStyle="1" w:styleId="Point0letter">
    <w:name w:val="Point 0 (letter)"/>
    <w:basedOn w:val="Normal"/>
    <w:rsid w:val="00BA1475"/>
    <w:pPr>
      <w:numPr>
        <w:ilvl w:val="1"/>
        <w:numId w:val="7"/>
      </w:numPr>
      <w:spacing w:before="120" w:after="120" w:line="240" w:lineRule="auto"/>
      <w:jc w:val="both"/>
    </w:pPr>
    <w:rPr>
      <w:rFonts w:ascii="Times New Roman" w:hAnsi="Times New Roman" w:cs="Times New Roman"/>
      <w:kern w:val="0"/>
      <w:sz w:val="24"/>
      <w:lang w:val="en-GB"/>
    </w:rPr>
  </w:style>
  <w:style w:type="paragraph" w:customStyle="1" w:styleId="Point1letter">
    <w:name w:val="Point 1 (letter)"/>
    <w:basedOn w:val="Normal"/>
    <w:rsid w:val="00BA1475"/>
    <w:pPr>
      <w:numPr>
        <w:ilvl w:val="3"/>
        <w:numId w:val="7"/>
      </w:numPr>
      <w:spacing w:before="120" w:after="120" w:line="240" w:lineRule="auto"/>
      <w:jc w:val="both"/>
    </w:pPr>
    <w:rPr>
      <w:rFonts w:ascii="Times New Roman" w:hAnsi="Times New Roman" w:cs="Times New Roman"/>
      <w:kern w:val="0"/>
      <w:sz w:val="24"/>
      <w:lang w:val="en-GB"/>
    </w:rPr>
  </w:style>
  <w:style w:type="paragraph" w:customStyle="1" w:styleId="Point2letter">
    <w:name w:val="Point 2 (letter)"/>
    <w:basedOn w:val="Normal"/>
    <w:rsid w:val="00BA1475"/>
    <w:pPr>
      <w:numPr>
        <w:ilvl w:val="5"/>
        <w:numId w:val="7"/>
      </w:numPr>
      <w:spacing w:before="120" w:after="120" w:line="240" w:lineRule="auto"/>
      <w:jc w:val="both"/>
    </w:pPr>
    <w:rPr>
      <w:rFonts w:ascii="Times New Roman" w:hAnsi="Times New Roman" w:cs="Times New Roman"/>
      <w:kern w:val="0"/>
      <w:sz w:val="24"/>
      <w:lang w:val="en-GB"/>
    </w:rPr>
  </w:style>
  <w:style w:type="paragraph" w:customStyle="1" w:styleId="Point3letter">
    <w:name w:val="Point 3 (letter)"/>
    <w:basedOn w:val="Normal"/>
    <w:rsid w:val="00BA1475"/>
    <w:pPr>
      <w:numPr>
        <w:ilvl w:val="7"/>
        <w:numId w:val="7"/>
      </w:numPr>
      <w:spacing w:before="120" w:after="120" w:line="240" w:lineRule="auto"/>
      <w:jc w:val="both"/>
    </w:pPr>
    <w:rPr>
      <w:rFonts w:ascii="Times New Roman" w:hAnsi="Times New Roman" w:cs="Times New Roman"/>
      <w:kern w:val="0"/>
      <w:sz w:val="24"/>
      <w:lang w:val="en-GB"/>
    </w:rPr>
  </w:style>
  <w:style w:type="paragraph" w:customStyle="1" w:styleId="Point4letter">
    <w:name w:val="Point 4 (letter)"/>
    <w:basedOn w:val="Normal"/>
    <w:rsid w:val="00BA1475"/>
    <w:pPr>
      <w:numPr>
        <w:ilvl w:val="8"/>
        <w:numId w:val="7"/>
      </w:numPr>
      <w:spacing w:before="120" w:after="120" w:line="240" w:lineRule="auto"/>
      <w:jc w:val="both"/>
    </w:pPr>
    <w:rPr>
      <w:rFonts w:ascii="Times New Roman" w:hAnsi="Times New Roman" w:cs="Times New Roman"/>
      <w:kern w:val="0"/>
      <w:sz w:val="24"/>
      <w:lang w:val="en-GB"/>
    </w:rPr>
  </w:style>
  <w:style w:type="paragraph" w:customStyle="1" w:styleId="Bullet0">
    <w:name w:val="Bullet 0"/>
    <w:basedOn w:val="Normal"/>
    <w:rsid w:val="00BA1475"/>
    <w:pPr>
      <w:numPr>
        <w:numId w:val="8"/>
      </w:numPr>
      <w:spacing w:before="120" w:after="120" w:line="240" w:lineRule="auto"/>
      <w:jc w:val="both"/>
    </w:pPr>
    <w:rPr>
      <w:rFonts w:ascii="Times New Roman" w:hAnsi="Times New Roman" w:cs="Times New Roman"/>
      <w:kern w:val="0"/>
      <w:sz w:val="24"/>
      <w:lang w:val="en-GB"/>
    </w:rPr>
  </w:style>
  <w:style w:type="paragraph" w:customStyle="1" w:styleId="Bullet2">
    <w:name w:val="Bullet 2"/>
    <w:basedOn w:val="Normal"/>
    <w:rsid w:val="00BA1475"/>
    <w:pPr>
      <w:numPr>
        <w:numId w:val="9"/>
      </w:numPr>
      <w:spacing w:before="120" w:after="120" w:line="240" w:lineRule="auto"/>
      <w:jc w:val="both"/>
    </w:pPr>
    <w:rPr>
      <w:rFonts w:ascii="Times New Roman" w:hAnsi="Times New Roman" w:cs="Times New Roman"/>
      <w:kern w:val="0"/>
      <w:sz w:val="24"/>
      <w:lang w:val="en-GB"/>
    </w:rPr>
  </w:style>
  <w:style w:type="paragraph" w:customStyle="1" w:styleId="Bullet3">
    <w:name w:val="Bullet 3"/>
    <w:basedOn w:val="Normal"/>
    <w:rsid w:val="00BA1475"/>
    <w:pPr>
      <w:numPr>
        <w:numId w:val="10"/>
      </w:numPr>
      <w:spacing w:before="120" w:after="120" w:line="240" w:lineRule="auto"/>
      <w:jc w:val="both"/>
    </w:pPr>
    <w:rPr>
      <w:rFonts w:ascii="Times New Roman" w:hAnsi="Times New Roman" w:cs="Times New Roman"/>
      <w:kern w:val="0"/>
      <w:sz w:val="24"/>
      <w:lang w:val="en-GB"/>
    </w:rPr>
  </w:style>
  <w:style w:type="paragraph" w:customStyle="1" w:styleId="Bullet4">
    <w:name w:val="Bullet 4"/>
    <w:basedOn w:val="Normal"/>
    <w:rsid w:val="00BA1475"/>
    <w:pPr>
      <w:numPr>
        <w:numId w:val="11"/>
      </w:numPr>
      <w:spacing w:before="120" w:after="120" w:line="240" w:lineRule="auto"/>
      <w:jc w:val="both"/>
    </w:pPr>
    <w:rPr>
      <w:rFonts w:ascii="Times New Roman" w:hAnsi="Times New Roman" w:cs="Times New Roman"/>
      <w:kern w:val="0"/>
      <w:sz w:val="24"/>
      <w:lang w:val="en-GB"/>
    </w:rPr>
  </w:style>
  <w:style w:type="paragraph" w:customStyle="1" w:styleId="Langue">
    <w:name w:val="Langue"/>
    <w:basedOn w:val="Normal"/>
    <w:next w:val="Rfrenceinterne"/>
    <w:rsid w:val="00BA1475"/>
    <w:pPr>
      <w:framePr w:wrap="around" w:vAnchor="page" w:hAnchor="text" w:xAlign="center" w:y="14741"/>
      <w:spacing w:after="600" w:line="240" w:lineRule="auto"/>
      <w:jc w:val="center"/>
    </w:pPr>
    <w:rPr>
      <w:rFonts w:ascii="Times New Roman" w:hAnsi="Times New Roman" w:cs="Times New Roman"/>
      <w:b/>
      <w:caps/>
      <w:kern w:val="0"/>
      <w:sz w:val="24"/>
      <w:lang w:val="en-GB"/>
    </w:rPr>
  </w:style>
  <w:style w:type="paragraph" w:customStyle="1" w:styleId="Nomdelinstitution">
    <w:name w:val="Nom de l'institution"/>
    <w:basedOn w:val="Normal"/>
    <w:next w:val="Emission"/>
    <w:rsid w:val="00BA1475"/>
    <w:pPr>
      <w:spacing w:after="0" w:line="240" w:lineRule="auto"/>
    </w:pPr>
    <w:rPr>
      <w:rFonts w:ascii="Arial" w:hAnsi="Arial" w:cs="Arial"/>
      <w:kern w:val="0"/>
      <w:sz w:val="24"/>
      <w:lang w:val="en-GB"/>
    </w:rPr>
  </w:style>
  <w:style w:type="paragraph" w:customStyle="1" w:styleId="Emission">
    <w:name w:val="Emission"/>
    <w:basedOn w:val="Normal"/>
    <w:next w:val="Rfrenceinstitutionnelle"/>
    <w:rsid w:val="00BA1475"/>
    <w:pPr>
      <w:spacing w:after="0" w:line="240" w:lineRule="auto"/>
      <w:ind w:left="5103"/>
    </w:pPr>
    <w:rPr>
      <w:rFonts w:ascii="Times New Roman" w:hAnsi="Times New Roman" w:cs="Times New Roman"/>
      <w:kern w:val="0"/>
      <w:sz w:val="24"/>
      <w:lang w:val="en-GB"/>
    </w:rPr>
  </w:style>
  <w:style w:type="paragraph" w:customStyle="1" w:styleId="Rfrenceinstitutionnelle">
    <w:name w:val="Référence institutionnelle"/>
    <w:basedOn w:val="Normal"/>
    <w:next w:val="Confidentialit"/>
    <w:rsid w:val="00BA1475"/>
    <w:pPr>
      <w:spacing w:after="240" w:line="240" w:lineRule="auto"/>
      <w:ind w:left="5103"/>
    </w:pPr>
    <w:rPr>
      <w:rFonts w:ascii="Times New Roman" w:hAnsi="Times New Roman" w:cs="Times New Roman"/>
      <w:kern w:val="0"/>
      <w:sz w:val="24"/>
      <w:lang w:val="en-GB"/>
    </w:rPr>
  </w:style>
  <w:style w:type="paragraph" w:customStyle="1" w:styleId="Declassification">
    <w:name w:val="Declassification"/>
    <w:basedOn w:val="Normal"/>
    <w:next w:val="Normal"/>
    <w:rsid w:val="00BA1475"/>
    <w:pPr>
      <w:spacing w:after="0" w:line="240" w:lineRule="auto"/>
      <w:jc w:val="both"/>
    </w:pPr>
    <w:rPr>
      <w:rFonts w:ascii="Times New Roman" w:hAnsi="Times New Roman" w:cs="Times New Roman"/>
      <w:kern w:val="0"/>
      <w:sz w:val="24"/>
      <w:lang w:val="en-GB"/>
    </w:rPr>
  </w:style>
  <w:style w:type="paragraph" w:customStyle="1" w:styleId="Disclaimer">
    <w:name w:val="Disclaimer"/>
    <w:basedOn w:val="Normal"/>
    <w:rsid w:val="00BA147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lang w:val="en-GB"/>
    </w:rPr>
  </w:style>
  <w:style w:type="paragraph" w:customStyle="1" w:styleId="SecurityMarking">
    <w:name w:val="SecurityMarking"/>
    <w:basedOn w:val="Normal"/>
    <w:rsid w:val="00BA1475"/>
    <w:pPr>
      <w:spacing w:after="0" w:line="276" w:lineRule="auto"/>
      <w:ind w:left="5103"/>
    </w:pPr>
    <w:rPr>
      <w:rFonts w:ascii="Times New Roman" w:hAnsi="Times New Roman" w:cs="Times New Roman"/>
      <w:kern w:val="0"/>
      <w:sz w:val="28"/>
      <w:lang w:val="en-GB"/>
    </w:rPr>
  </w:style>
  <w:style w:type="paragraph" w:customStyle="1" w:styleId="DateMarking">
    <w:name w:val="DateMarking"/>
    <w:basedOn w:val="Normal"/>
    <w:rsid w:val="00BA1475"/>
    <w:pPr>
      <w:spacing w:after="0" w:line="276" w:lineRule="auto"/>
      <w:ind w:left="5103"/>
    </w:pPr>
    <w:rPr>
      <w:rFonts w:ascii="Times New Roman" w:hAnsi="Times New Roman" w:cs="Times New Roman"/>
      <w:i/>
      <w:kern w:val="0"/>
      <w:sz w:val="28"/>
      <w:lang w:val="en-GB"/>
    </w:rPr>
  </w:style>
  <w:style w:type="paragraph" w:customStyle="1" w:styleId="ReleasableTo">
    <w:name w:val="ReleasableTo"/>
    <w:basedOn w:val="Normal"/>
    <w:rsid w:val="00BA1475"/>
    <w:pPr>
      <w:spacing w:after="0" w:line="276" w:lineRule="auto"/>
      <w:ind w:left="5103"/>
    </w:pPr>
    <w:rPr>
      <w:rFonts w:ascii="Times New Roman" w:hAnsi="Times New Roman" w:cs="Times New Roman"/>
      <w:i/>
      <w:kern w:val="0"/>
      <w:sz w:val="28"/>
      <w:lang w:val="en-GB"/>
    </w:rPr>
  </w:style>
  <w:style w:type="paragraph" w:customStyle="1" w:styleId="Annexetitreexpos">
    <w:name w:val="Annexe titre (exposé)"/>
    <w:basedOn w:val="Normal"/>
    <w:next w:val="Normal"/>
    <w:rsid w:val="00BA1475"/>
    <w:pPr>
      <w:spacing w:before="120" w:after="120" w:line="240" w:lineRule="auto"/>
      <w:jc w:val="center"/>
    </w:pPr>
    <w:rPr>
      <w:rFonts w:ascii="Times New Roman" w:hAnsi="Times New Roman" w:cs="Times New Roman"/>
      <w:b/>
      <w:kern w:val="0"/>
      <w:sz w:val="24"/>
      <w:u w:val="single"/>
      <w:lang w:val="en-GB"/>
    </w:rPr>
  </w:style>
  <w:style w:type="paragraph" w:customStyle="1" w:styleId="Annexetitre">
    <w:name w:val="Annexe titre"/>
    <w:basedOn w:val="Normal"/>
    <w:next w:val="Normal"/>
    <w:rsid w:val="00BA1475"/>
    <w:pPr>
      <w:spacing w:before="120" w:after="120" w:line="240" w:lineRule="auto"/>
      <w:jc w:val="center"/>
    </w:pPr>
    <w:rPr>
      <w:rFonts w:ascii="Times New Roman" w:hAnsi="Times New Roman" w:cs="Times New Roman"/>
      <w:b/>
      <w:kern w:val="0"/>
      <w:sz w:val="24"/>
      <w:u w:val="single"/>
      <w:lang w:val="en-GB"/>
    </w:rPr>
  </w:style>
  <w:style w:type="paragraph" w:customStyle="1" w:styleId="Annexetitrefichefinancire">
    <w:name w:val="Annexe titre (fiche financière)"/>
    <w:basedOn w:val="Normal"/>
    <w:next w:val="Normal"/>
    <w:rsid w:val="00BA1475"/>
    <w:pPr>
      <w:spacing w:before="120" w:after="120" w:line="240" w:lineRule="auto"/>
      <w:jc w:val="center"/>
    </w:pPr>
    <w:rPr>
      <w:rFonts w:ascii="Times New Roman" w:hAnsi="Times New Roman" w:cs="Times New Roman"/>
      <w:b/>
      <w:kern w:val="0"/>
      <w:sz w:val="24"/>
      <w:u w:val="single"/>
      <w:lang w:val="en-GB"/>
    </w:rPr>
  </w:style>
  <w:style w:type="paragraph" w:customStyle="1" w:styleId="Applicationdirecte">
    <w:name w:val="Application directe"/>
    <w:basedOn w:val="Normal"/>
    <w:next w:val="Fait"/>
    <w:rsid w:val="00BA1475"/>
    <w:pPr>
      <w:spacing w:before="480" w:after="120" w:line="240" w:lineRule="auto"/>
      <w:jc w:val="both"/>
    </w:pPr>
    <w:rPr>
      <w:rFonts w:ascii="Times New Roman" w:hAnsi="Times New Roman" w:cs="Times New Roman"/>
      <w:kern w:val="0"/>
      <w:sz w:val="24"/>
      <w:lang w:val="en-GB"/>
    </w:rPr>
  </w:style>
  <w:style w:type="paragraph" w:customStyle="1" w:styleId="Avertissementtitre">
    <w:name w:val="Avertissement titre"/>
    <w:basedOn w:val="Normal"/>
    <w:next w:val="Normal"/>
    <w:rsid w:val="00BA1475"/>
    <w:pPr>
      <w:keepNext/>
      <w:spacing w:before="480" w:after="120" w:line="240" w:lineRule="auto"/>
      <w:jc w:val="both"/>
    </w:pPr>
    <w:rPr>
      <w:rFonts w:ascii="Times New Roman" w:hAnsi="Times New Roman" w:cs="Times New Roman"/>
      <w:kern w:val="0"/>
      <w:sz w:val="24"/>
      <w:u w:val="single"/>
      <w:lang w:val="en-GB"/>
    </w:rPr>
  </w:style>
  <w:style w:type="paragraph" w:customStyle="1" w:styleId="Confidence">
    <w:name w:val="Confidence"/>
    <w:basedOn w:val="Normal"/>
    <w:next w:val="Normal"/>
    <w:rsid w:val="00BA1475"/>
    <w:pPr>
      <w:spacing w:before="360" w:after="120" w:line="240" w:lineRule="auto"/>
      <w:jc w:val="center"/>
    </w:pPr>
    <w:rPr>
      <w:rFonts w:ascii="Times New Roman" w:hAnsi="Times New Roman" w:cs="Times New Roman"/>
      <w:kern w:val="0"/>
      <w:sz w:val="24"/>
      <w:lang w:val="en-GB"/>
    </w:rPr>
  </w:style>
  <w:style w:type="paragraph" w:customStyle="1" w:styleId="Confidentialit">
    <w:name w:val="Confidentialité"/>
    <w:basedOn w:val="Normal"/>
    <w:next w:val="TypedudocumentPagedecouverture"/>
    <w:rsid w:val="00BA1475"/>
    <w:pPr>
      <w:spacing w:before="240" w:after="240" w:line="240" w:lineRule="auto"/>
      <w:ind w:left="5103"/>
    </w:pPr>
    <w:rPr>
      <w:rFonts w:ascii="Times New Roman" w:hAnsi="Times New Roman" w:cs="Times New Roman"/>
      <w:i/>
      <w:kern w:val="0"/>
      <w:sz w:val="32"/>
      <w:lang w:val="en-GB"/>
    </w:rPr>
  </w:style>
  <w:style w:type="paragraph" w:customStyle="1" w:styleId="Corrigendum">
    <w:name w:val="Corrigendum"/>
    <w:basedOn w:val="Normal"/>
    <w:next w:val="Normal"/>
    <w:rsid w:val="00BA1475"/>
    <w:pPr>
      <w:spacing w:after="240" w:line="240" w:lineRule="auto"/>
    </w:pPr>
    <w:rPr>
      <w:rFonts w:ascii="Times New Roman" w:hAnsi="Times New Roman" w:cs="Times New Roman"/>
      <w:kern w:val="0"/>
      <w:sz w:val="24"/>
      <w:lang w:val="en-GB"/>
    </w:rPr>
  </w:style>
  <w:style w:type="paragraph" w:customStyle="1" w:styleId="Datedadoption">
    <w:name w:val="Date d'adoption"/>
    <w:basedOn w:val="Normal"/>
    <w:next w:val="IntrtEEE"/>
    <w:rsid w:val="00BA1475"/>
    <w:pPr>
      <w:spacing w:before="360" w:after="0" w:line="240" w:lineRule="auto"/>
      <w:jc w:val="center"/>
    </w:pPr>
    <w:rPr>
      <w:rFonts w:ascii="Times New Roman" w:hAnsi="Times New Roman" w:cs="Times New Roman"/>
      <w:b/>
      <w:kern w:val="0"/>
      <w:sz w:val="24"/>
      <w:lang w:val="en-GB"/>
    </w:rPr>
  </w:style>
  <w:style w:type="paragraph" w:customStyle="1" w:styleId="Exposdesmotifstitre">
    <w:name w:val="Exposé des motifs titre"/>
    <w:basedOn w:val="Normal"/>
    <w:next w:val="Normal"/>
    <w:rsid w:val="00BA1475"/>
    <w:pPr>
      <w:spacing w:before="120" w:after="120" w:line="240" w:lineRule="auto"/>
      <w:jc w:val="center"/>
    </w:pPr>
    <w:rPr>
      <w:rFonts w:ascii="Times New Roman" w:hAnsi="Times New Roman" w:cs="Times New Roman"/>
      <w:b/>
      <w:kern w:val="0"/>
      <w:sz w:val="24"/>
      <w:u w:val="single"/>
      <w:lang w:val="en-GB"/>
    </w:rPr>
  </w:style>
  <w:style w:type="paragraph" w:customStyle="1" w:styleId="Fait">
    <w:name w:val="Fait à"/>
    <w:basedOn w:val="Normal"/>
    <w:next w:val="Institutionquisigne"/>
    <w:rsid w:val="00BA1475"/>
    <w:pPr>
      <w:keepNext/>
      <w:spacing w:before="120" w:after="0" w:line="240" w:lineRule="auto"/>
      <w:jc w:val="both"/>
    </w:pPr>
    <w:rPr>
      <w:rFonts w:ascii="Times New Roman" w:hAnsi="Times New Roman" w:cs="Times New Roman"/>
      <w:kern w:val="0"/>
      <w:sz w:val="24"/>
      <w:lang w:val="en-GB"/>
    </w:rPr>
  </w:style>
  <w:style w:type="paragraph" w:customStyle="1" w:styleId="Formuledadoption">
    <w:name w:val="Formule d'adoption"/>
    <w:basedOn w:val="Normal"/>
    <w:next w:val="Titrearticle"/>
    <w:rsid w:val="00BA1475"/>
    <w:pPr>
      <w:keepNext/>
      <w:spacing w:before="120" w:after="120" w:line="240" w:lineRule="auto"/>
      <w:jc w:val="both"/>
    </w:pPr>
    <w:rPr>
      <w:rFonts w:ascii="Times New Roman" w:hAnsi="Times New Roman" w:cs="Times New Roman"/>
      <w:kern w:val="0"/>
      <w:sz w:val="24"/>
      <w:lang w:val="en-GB"/>
    </w:rPr>
  </w:style>
  <w:style w:type="paragraph" w:customStyle="1" w:styleId="Institutionquiagit">
    <w:name w:val="Institution qui agit"/>
    <w:basedOn w:val="Normal"/>
    <w:next w:val="Normal"/>
    <w:rsid w:val="00BA1475"/>
    <w:pPr>
      <w:keepNext/>
      <w:spacing w:before="600" w:after="120" w:line="240" w:lineRule="auto"/>
      <w:jc w:val="both"/>
    </w:pPr>
    <w:rPr>
      <w:rFonts w:ascii="Times New Roman" w:hAnsi="Times New Roman" w:cs="Times New Roman"/>
      <w:kern w:val="0"/>
      <w:sz w:val="24"/>
      <w:lang w:val="en-GB"/>
    </w:rPr>
  </w:style>
  <w:style w:type="paragraph" w:customStyle="1" w:styleId="Institutionquisigne">
    <w:name w:val="Institution qui signe"/>
    <w:basedOn w:val="Normal"/>
    <w:next w:val="Personnequisigne"/>
    <w:rsid w:val="00BA1475"/>
    <w:pPr>
      <w:keepNext/>
      <w:tabs>
        <w:tab w:val="left" w:pos="4252"/>
      </w:tabs>
      <w:spacing w:before="720" w:after="0" w:line="240" w:lineRule="auto"/>
      <w:jc w:val="both"/>
    </w:pPr>
    <w:rPr>
      <w:rFonts w:ascii="Times New Roman" w:hAnsi="Times New Roman" w:cs="Times New Roman"/>
      <w:i/>
      <w:kern w:val="0"/>
      <w:sz w:val="24"/>
      <w:lang w:val="en-GB"/>
    </w:rPr>
  </w:style>
  <w:style w:type="paragraph" w:customStyle="1" w:styleId="ManualConsidrant">
    <w:name w:val="Manual Considérant"/>
    <w:basedOn w:val="Normal"/>
    <w:rsid w:val="00BA1475"/>
    <w:pPr>
      <w:spacing w:before="120" w:after="120" w:line="240" w:lineRule="auto"/>
      <w:ind w:left="709" w:hanging="709"/>
      <w:jc w:val="both"/>
    </w:pPr>
    <w:rPr>
      <w:rFonts w:ascii="Times New Roman" w:hAnsi="Times New Roman" w:cs="Times New Roman"/>
      <w:kern w:val="0"/>
      <w:sz w:val="24"/>
      <w:lang w:val="en-GB"/>
    </w:rPr>
  </w:style>
  <w:style w:type="paragraph" w:customStyle="1" w:styleId="Personnequisigne">
    <w:name w:val="Personne qui signe"/>
    <w:basedOn w:val="Normal"/>
    <w:next w:val="Institutionquisigne"/>
    <w:rsid w:val="00BA1475"/>
    <w:pPr>
      <w:tabs>
        <w:tab w:val="left" w:pos="4252"/>
      </w:tabs>
      <w:spacing w:after="0" w:line="240" w:lineRule="auto"/>
    </w:pPr>
    <w:rPr>
      <w:rFonts w:ascii="Times New Roman" w:hAnsi="Times New Roman" w:cs="Times New Roman"/>
      <w:i/>
      <w:kern w:val="0"/>
      <w:sz w:val="24"/>
      <w:lang w:val="en-GB"/>
    </w:rPr>
  </w:style>
  <w:style w:type="paragraph" w:customStyle="1" w:styleId="Rfrenceinterinstitutionnelle">
    <w:name w:val="Référence interinstitutionnelle"/>
    <w:basedOn w:val="Normal"/>
    <w:next w:val="Statut"/>
    <w:rsid w:val="00BA1475"/>
    <w:pPr>
      <w:spacing w:after="0" w:line="240" w:lineRule="auto"/>
      <w:ind w:left="5103"/>
    </w:pPr>
    <w:rPr>
      <w:rFonts w:ascii="Times New Roman" w:hAnsi="Times New Roman" w:cs="Times New Roman"/>
      <w:kern w:val="0"/>
      <w:sz w:val="24"/>
      <w:lang w:val="en-GB"/>
    </w:rPr>
  </w:style>
  <w:style w:type="paragraph" w:customStyle="1" w:styleId="Rfrenceinterne">
    <w:name w:val="Référence interne"/>
    <w:basedOn w:val="Normal"/>
    <w:next w:val="Rfrenceinterinstitutionnelle"/>
    <w:rsid w:val="00BA1475"/>
    <w:pPr>
      <w:spacing w:after="0" w:line="240" w:lineRule="auto"/>
      <w:ind w:left="5103"/>
    </w:pPr>
    <w:rPr>
      <w:rFonts w:ascii="Times New Roman" w:hAnsi="Times New Roman" w:cs="Times New Roman"/>
      <w:kern w:val="0"/>
      <w:sz w:val="24"/>
      <w:lang w:val="en-GB"/>
    </w:rPr>
  </w:style>
  <w:style w:type="paragraph" w:customStyle="1" w:styleId="Statut">
    <w:name w:val="Statut"/>
    <w:basedOn w:val="Normal"/>
    <w:next w:val="Typedudocument"/>
    <w:rsid w:val="00BA1475"/>
    <w:pPr>
      <w:spacing w:after="240" w:line="240" w:lineRule="auto"/>
      <w:jc w:val="center"/>
    </w:pPr>
    <w:rPr>
      <w:rFonts w:ascii="Times New Roman" w:hAnsi="Times New Roman" w:cs="Times New Roman"/>
      <w:kern w:val="0"/>
      <w:sz w:val="24"/>
      <w:lang w:val="en-GB"/>
    </w:rPr>
  </w:style>
  <w:style w:type="paragraph" w:customStyle="1" w:styleId="Titrearticle">
    <w:name w:val="Titre article"/>
    <w:basedOn w:val="Normal"/>
    <w:next w:val="Normal"/>
    <w:rsid w:val="00BA1475"/>
    <w:pPr>
      <w:keepNext/>
      <w:spacing w:before="360" w:after="120" w:line="240" w:lineRule="auto"/>
      <w:jc w:val="center"/>
    </w:pPr>
    <w:rPr>
      <w:rFonts w:ascii="Times New Roman" w:hAnsi="Times New Roman" w:cs="Times New Roman"/>
      <w:i/>
      <w:kern w:val="0"/>
      <w:sz w:val="24"/>
      <w:lang w:val="en-GB"/>
    </w:rPr>
  </w:style>
  <w:style w:type="paragraph" w:customStyle="1" w:styleId="Typedudocument">
    <w:name w:val="Type du document"/>
    <w:basedOn w:val="Normal"/>
    <w:next w:val="Accompagnant"/>
    <w:rsid w:val="00BA1475"/>
    <w:pPr>
      <w:spacing w:before="360" w:after="180" w:line="240" w:lineRule="auto"/>
      <w:jc w:val="center"/>
    </w:pPr>
    <w:rPr>
      <w:rFonts w:ascii="Times New Roman" w:hAnsi="Times New Roman" w:cs="Times New Roman"/>
      <w:b/>
      <w:kern w:val="0"/>
      <w:sz w:val="24"/>
      <w:lang w:val="en-GB"/>
    </w:rPr>
  </w:style>
  <w:style w:type="character" w:customStyle="1" w:styleId="Added">
    <w:name w:val="Added"/>
    <w:basedOn w:val="DefaultParagraphFont"/>
    <w:rsid w:val="00BA1475"/>
    <w:rPr>
      <w:b/>
      <w:u w:val="single"/>
      <w:shd w:val="clear" w:color="auto" w:fill="auto"/>
    </w:rPr>
  </w:style>
  <w:style w:type="character" w:customStyle="1" w:styleId="Deleted">
    <w:name w:val="Deleted"/>
    <w:basedOn w:val="DefaultParagraphFont"/>
    <w:rsid w:val="00BA1475"/>
    <w:rPr>
      <w:strike/>
      <w:dstrike w:val="0"/>
      <w:shd w:val="clear" w:color="auto" w:fill="auto"/>
    </w:rPr>
  </w:style>
  <w:style w:type="paragraph" w:customStyle="1" w:styleId="Address">
    <w:name w:val="Address"/>
    <w:basedOn w:val="Normal"/>
    <w:next w:val="Normal"/>
    <w:rsid w:val="00BA1475"/>
    <w:pPr>
      <w:keepLines/>
      <w:spacing w:before="120" w:after="120" w:line="360" w:lineRule="auto"/>
      <w:ind w:left="3402"/>
    </w:pPr>
    <w:rPr>
      <w:rFonts w:ascii="Times New Roman" w:hAnsi="Times New Roman" w:cs="Times New Roman"/>
      <w:kern w:val="0"/>
      <w:sz w:val="24"/>
      <w:lang w:val="en-GB"/>
    </w:rPr>
  </w:style>
  <w:style w:type="paragraph" w:customStyle="1" w:styleId="Objetexterne">
    <w:name w:val="Objet externe"/>
    <w:basedOn w:val="Normal"/>
    <w:next w:val="Normal"/>
    <w:rsid w:val="00BA1475"/>
    <w:pPr>
      <w:spacing w:before="120" w:after="120" w:line="240" w:lineRule="auto"/>
      <w:jc w:val="both"/>
    </w:pPr>
    <w:rPr>
      <w:rFonts w:ascii="Times New Roman" w:hAnsi="Times New Roman" w:cs="Times New Roman"/>
      <w:i/>
      <w:caps/>
      <w:kern w:val="0"/>
      <w:sz w:val="24"/>
      <w:lang w:val="en-GB"/>
    </w:rPr>
  </w:style>
  <w:style w:type="paragraph" w:customStyle="1" w:styleId="Supertitre">
    <w:name w:val="Supertitre"/>
    <w:basedOn w:val="Normal"/>
    <w:next w:val="Normal"/>
    <w:rsid w:val="00BA1475"/>
    <w:pPr>
      <w:spacing w:after="600" w:line="240" w:lineRule="auto"/>
      <w:jc w:val="center"/>
    </w:pPr>
    <w:rPr>
      <w:rFonts w:ascii="Times New Roman" w:hAnsi="Times New Roman" w:cs="Times New Roman"/>
      <w:b/>
      <w:kern w:val="0"/>
      <w:sz w:val="24"/>
      <w:lang w:val="en-GB"/>
    </w:rPr>
  </w:style>
  <w:style w:type="paragraph" w:customStyle="1" w:styleId="Languesfaisantfoi">
    <w:name w:val="Langues faisant foi"/>
    <w:basedOn w:val="Normal"/>
    <w:next w:val="Normal"/>
    <w:rsid w:val="00BA1475"/>
    <w:pPr>
      <w:spacing w:before="360" w:after="0" w:line="240" w:lineRule="auto"/>
      <w:jc w:val="center"/>
    </w:pPr>
    <w:rPr>
      <w:rFonts w:ascii="Times New Roman" w:hAnsi="Times New Roman" w:cs="Times New Roman"/>
      <w:kern w:val="0"/>
      <w:sz w:val="24"/>
      <w:lang w:val="en-GB"/>
    </w:rPr>
  </w:style>
  <w:style w:type="paragraph" w:customStyle="1" w:styleId="Rfrencecroise">
    <w:name w:val="Référence croisée"/>
    <w:basedOn w:val="Normal"/>
    <w:rsid w:val="00BA1475"/>
    <w:pPr>
      <w:spacing w:after="0" w:line="240" w:lineRule="auto"/>
      <w:jc w:val="center"/>
    </w:pPr>
    <w:rPr>
      <w:rFonts w:ascii="Times New Roman" w:hAnsi="Times New Roman" w:cs="Times New Roman"/>
      <w:kern w:val="0"/>
      <w:sz w:val="24"/>
      <w:lang w:val="en-GB"/>
    </w:rPr>
  </w:style>
  <w:style w:type="paragraph" w:customStyle="1" w:styleId="Fichefinanciretitre">
    <w:name w:val="Fiche financière titre"/>
    <w:basedOn w:val="Normal"/>
    <w:next w:val="Normal"/>
    <w:rsid w:val="00BA1475"/>
    <w:pPr>
      <w:spacing w:before="120" w:after="120" w:line="240" w:lineRule="auto"/>
      <w:jc w:val="center"/>
    </w:pPr>
    <w:rPr>
      <w:rFonts w:ascii="Times New Roman" w:hAnsi="Times New Roman" w:cs="Times New Roman"/>
      <w:b/>
      <w:kern w:val="0"/>
      <w:sz w:val="24"/>
      <w:u w:val="single"/>
      <w:lang w:val="en-GB"/>
    </w:rPr>
  </w:style>
  <w:style w:type="paragraph" w:customStyle="1" w:styleId="DatedadoptionPagedecouverture">
    <w:name w:val="Date d'adoption (Page de couverture)"/>
    <w:basedOn w:val="Datedadoption"/>
    <w:next w:val="IntrtEEEPagedecouverture"/>
    <w:rsid w:val="00BA1475"/>
  </w:style>
  <w:style w:type="paragraph" w:customStyle="1" w:styleId="RfrenceinterinstitutionnellePagedecouverture">
    <w:name w:val="Référence interinstitutionnelle (Page de couverture)"/>
    <w:basedOn w:val="Rfrenceinterinstitutionnelle"/>
    <w:next w:val="Confidentialit"/>
    <w:rsid w:val="00BA1475"/>
  </w:style>
  <w:style w:type="paragraph" w:customStyle="1" w:styleId="StatutPagedecouverture">
    <w:name w:val="Statut (Page de couverture)"/>
    <w:basedOn w:val="Statut"/>
    <w:next w:val="TypedudocumentPagedecouverture"/>
    <w:rsid w:val="00BA1475"/>
  </w:style>
  <w:style w:type="paragraph" w:customStyle="1" w:styleId="TypedudocumentPagedecouverture">
    <w:name w:val="Type du document (Page de couverture)"/>
    <w:basedOn w:val="Typedudocument"/>
    <w:next w:val="AccompagnantPagedecouverture"/>
    <w:rsid w:val="00BA1475"/>
  </w:style>
  <w:style w:type="paragraph" w:customStyle="1" w:styleId="Volume">
    <w:name w:val="Volume"/>
    <w:basedOn w:val="Normal"/>
    <w:next w:val="Confidentialit"/>
    <w:rsid w:val="00BA1475"/>
    <w:pPr>
      <w:spacing w:after="240" w:line="240" w:lineRule="auto"/>
      <w:ind w:left="5103"/>
    </w:pPr>
    <w:rPr>
      <w:rFonts w:ascii="Times New Roman" w:hAnsi="Times New Roman" w:cs="Times New Roman"/>
      <w:kern w:val="0"/>
      <w:sz w:val="24"/>
      <w:lang w:val="en-GB"/>
    </w:rPr>
  </w:style>
  <w:style w:type="paragraph" w:customStyle="1" w:styleId="IntrtEEE">
    <w:name w:val="Intérêt EEE"/>
    <w:basedOn w:val="Languesfaisantfoi"/>
    <w:next w:val="Normal"/>
    <w:rsid w:val="00BA1475"/>
    <w:pPr>
      <w:spacing w:after="240"/>
    </w:pPr>
  </w:style>
  <w:style w:type="paragraph" w:customStyle="1" w:styleId="Accompagnant">
    <w:name w:val="Accompagnant"/>
    <w:basedOn w:val="Normal"/>
    <w:next w:val="Typeacteprincipal"/>
    <w:rsid w:val="00BA1475"/>
    <w:pPr>
      <w:spacing w:before="180" w:after="240" w:line="240" w:lineRule="auto"/>
      <w:jc w:val="center"/>
    </w:pPr>
    <w:rPr>
      <w:rFonts w:ascii="Times New Roman" w:hAnsi="Times New Roman" w:cs="Times New Roman"/>
      <w:b/>
      <w:kern w:val="0"/>
      <w:sz w:val="24"/>
      <w:lang w:val="en-GB"/>
    </w:rPr>
  </w:style>
  <w:style w:type="paragraph" w:customStyle="1" w:styleId="Typeacteprincipal">
    <w:name w:val="Type acte principal"/>
    <w:basedOn w:val="Normal"/>
    <w:next w:val="Objetacteprincipal"/>
    <w:rsid w:val="00BA1475"/>
    <w:pPr>
      <w:spacing w:after="240" w:line="240" w:lineRule="auto"/>
      <w:jc w:val="center"/>
    </w:pPr>
    <w:rPr>
      <w:rFonts w:ascii="Times New Roman" w:hAnsi="Times New Roman" w:cs="Times New Roman"/>
      <w:b/>
      <w:kern w:val="0"/>
      <w:sz w:val="24"/>
      <w:lang w:val="en-GB"/>
    </w:rPr>
  </w:style>
  <w:style w:type="paragraph" w:customStyle="1" w:styleId="Objetacteprincipal">
    <w:name w:val="Objet acte principal"/>
    <w:basedOn w:val="Normal"/>
    <w:next w:val="Titrearticle"/>
    <w:rsid w:val="00BA1475"/>
    <w:pPr>
      <w:spacing w:after="360" w:line="240" w:lineRule="auto"/>
      <w:jc w:val="center"/>
    </w:pPr>
    <w:rPr>
      <w:rFonts w:ascii="Times New Roman" w:hAnsi="Times New Roman" w:cs="Times New Roman"/>
      <w:b/>
      <w:kern w:val="0"/>
      <w:sz w:val="24"/>
      <w:lang w:val="en-GB"/>
    </w:rPr>
  </w:style>
  <w:style w:type="paragraph" w:customStyle="1" w:styleId="IntrtEEEPagedecouverture">
    <w:name w:val="Intérêt EEE (Page de couverture)"/>
    <w:basedOn w:val="IntrtEEE"/>
    <w:next w:val="Rfrencecroise"/>
    <w:rsid w:val="00BA1475"/>
  </w:style>
  <w:style w:type="paragraph" w:customStyle="1" w:styleId="AccompagnantPagedecouverture">
    <w:name w:val="Accompagnant (Page de couverture)"/>
    <w:basedOn w:val="Accompagnant"/>
    <w:next w:val="TypeacteprincipalPagedecouverture"/>
    <w:rsid w:val="00BA1475"/>
  </w:style>
  <w:style w:type="paragraph" w:customStyle="1" w:styleId="TypeacteprincipalPagedecouverture">
    <w:name w:val="Type acte principal (Page de couverture)"/>
    <w:basedOn w:val="Typeacteprincipal"/>
    <w:next w:val="ObjetacteprincipalPagedecouverture"/>
    <w:rsid w:val="00BA1475"/>
  </w:style>
  <w:style w:type="paragraph" w:customStyle="1" w:styleId="ObjetacteprincipalPagedecouverture">
    <w:name w:val="Objet acte principal (Page de couverture)"/>
    <w:basedOn w:val="Objetacteprincipal"/>
    <w:next w:val="Rfrencecroise"/>
    <w:rsid w:val="00BA1475"/>
  </w:style>
  <w:style w:type="paragraph" w:customStyle="1" w:styleId="LanguesfaisantfoiPagedecouverture">
    <w:name w:val="Langues faisant foi (Page de couverture)"/>
    <w:basedOn w:val="Normal"/>
    <w:next w:val="Normal"/>
    <w:rsid w:val="00BA1475"/>
    <w:pPr>
      <w:spacing w:before="360" w:after="0" w:line="240" w:lineRule="auto"/>
      <w:jc w:val="center"/>
    </w:pPr>
    <w:rPr>
      <w:rFonts w:ascii="Times New Roman" w:hAnsi="Times New Roman" w:cs="Times New Roman"/>
      <w:kern w:val="0"/>
      <w:sz w:val="24"/>
      <w:lang w:val="en-GB"/>
    </w:rPr>
  </w:style>
  <w:style w:type="paragraph" w:styleId="ListBullet">
    <w:name w:val="List Bullet"/>
    <w:basedOn w:val="Normal"/>
    <w:uiPriority w:val="99"/>
    <w:semiHidden/>
    <w:unhideWhenUsed/>
    <w:rsid w:val="00BA1475"/>
    <w:pPr>
      <w:numPr>
        <w:numId w:val="12"/>
      </w:numPr>
      <w:spacing w:before="120" w:after="120" w:line="240" w:lineRule="auto"/>
      <w:contextualSpacing/>
      <w:jc w:val="both"/>
    </w:pPr>
    <w:rPr>
      <w:rFonts w:ascii="Times New Roman" w:hAnsi="Times New Roman" w:cs="Times New Roman"/>
      <w:kern w:val="0"/>
      <w:sz w:val="24"/>
      <w:lang w:val="en-GB"/>
    </w:rPr>
  </w:style>
  <w:style w:type="paragraph" w:styleId="ListBullet2">
    <w:name w:val="List Bullet 2"/>
    <w:basedOn w:val="Normal"/>
    <w:uiPriority w:val="99"/>
    <w:semiHidden/>
    <w:unhideWhenUsed/>
    <w:rsid w:val="00BA1475"/>
    <w:pPr>
      <w:numPr>
        <w:numId w:val="13"/>
      </w:numPr>
      <w:spacing w:before="120" w:after="120" w:line="240" w:lineRule="auto"/>
      <w:contextualSpacing/>
      <w:jc w:val="both"/>
    </w:pPr>
    <w:rPr>
      <w:rFonts w:ascii="Times New Roman" w:hAnsi="Times New Roman" w:cs="Times New Roman"/>
      <w:kern w:val="0"/>
      <w:sz w:val="24"/>
      <w:lang w:val="en-GB"/>
    </w:rPr>
  </w:style>
  <w:style w:type="paragraph" w:styleId="ListBullet3">
    <w:name w:val="List Bullet 3"/>
    <w:basedOn w:val="Normal"/>
    <w:uiPriority w:val="99"/>
    <w:semiHidden/>
    <w:unhideWhenUsed/>
    <w:rsid w:val="00BA1475"/>
    <w:pPr>
      <w:numPr>
        <w:numId w:val="14"/>
      </w:numPr>
      <w:spacing w:before="120" w:after="120" w:line="240" w:lineRule="auto"/>
      <w:contextualSpacing/>
      <w:jc w:val="both"/>
    </w:pPr>
    <w:rPr>
      <w:rFonts w:ascii="Times New Roman" w:hAnsi="Times New Roman" w:cs="Times New Roman"/>
      <w:kern w:val="0"/>
      <w:sz w:val="24"/>
      <w:lang w:val="en-GB"/>
    </w:rPr>
  </w:style>
  <w:style w:type="paragraph" w:styleId="ListBullet4">
    <w:name w:val="List Bullet 4"/>
    <w:basedOn w:val="Normal"/>
    <w:uiPriority w:val="99"/>
    <w:semiHidden/>
    <w:unhideWhenUsed/>
    <w:rsid w:val="00BA1475"/>
    <w:pPr>
      <w:numPr>
        <w:numId w:val="15"/>
      </w:numPr>
      <w:spacing w:before="120" w:after="120" w:line="240" w:lineRule="auto"/>
      <w:contextualSpacing/>
      <w:jc w:val="both"/>
    </w:pPr>
    <w:rPr>
      <w:rFonts w:ascii="Times New Roman" w:hAnsi="Times New Roman" w:cs="Times New Roman"/>
      <w:kern w:val="0"/>
      <w:sz w:val="24"/>
      <w:lang w:val="en-GB"/>
    </w:rPr>
  </w:style>
  <w:style w:type="paragraph" w:customStyle="1" w:styleId="paragraph">
    <w:name w:val="paragraph"/>
    <w:basedOn w:val="Normal"/>
    <w:rsid w:val="00BA1475"/>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table" w:customStyle="1" w:styleId="TableGrid5">
    <w:name w:val="Table Grid5"/>
    <w:basedOn w:val="TableNormal"/>
    <w:next w:val="TableGrid"/>
    <w:uiPriority w:val="59"/>
    <w:rsid w:val="00BA1475"/>
    <w:pPr>
      <w:spacing w:after="0" w:line="240" w:lineRule="auto"/>
    </w:pPr>
    <w:rPr>
      <w:kern w:val="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basedOn w:val="DefaultParagraphFont"/>
    <w:uiPriority w:val="99"/>
    <w:unhideWhenUsed/>
    <w:rsid w:val="00BA1475"/>
    <w:rPr>
      <w:color w:val="2B579A"/>
      <w:shd w:val="clear" w:color="auto" w:fill="E6E6E6"/>
    </w:rPr>
  </w:style>
  <w:style w:type="character" w:styleId="Emphasis">
    <w:name w:val="Emphasis"/>
    <w:basedOn w:val="DefaultParagraphFont"/>
    <w:uiPriority w:val="20"/>
    <w:qFormat/>
    <w:rsid w:val="00BA1475"/>
    <w:rPr>
      <w:i/>
      <w:iCs/>
    </w:rPr>
  </w:style>
  <w:style w:type="character" w:customStyle="1" w:styleId="phrase">
    <w:name w:val="phrase"/>
    <w:basedOn w:val="DefaultParagraphFont"/>
    <w:rsid w:val="00BA1475"/>
  </w:style>
  <w:style w:type="character" w:customStyle="1" w:styleId="word">
    <w:name w:val="word"/>
    <w:basedOn w:val="DefaultParagraphFont"/>
    <w:rsid w:val="00BA1475"/>
  </w:style>
  <w:style w:type="character" w:customStyle="1" w:styleId="y2iqfc">
    <w:name w:val="y2iqfc"/>
    <w:basedOn w:val="DefaultParagraphFont"/>
    <w:rsid w:val="00BA1475"/>
  </w:style>
  <w:style w:type="character" w:customStyle="1" w:styleId="Piemint1">
    <w:name w:val="Pieminēt1"/>
    <w:basedOn w:val="DefaultParagraphFont"/>
    <w:uiPriority w:val="99"/>
    <w:unhideWhenUsed/>
    <w:rsid w:val="00BA1475"/>
    <w:rPr>
      <w:color w:val="2B579A"/>
      <w:shd w:val="clear" w:color="auto" w:fill="E6E6E6"/>
    </w:rPr>
  </w:style>
  <w:style w:type="character" w:customStyle="1" w:styleId="UnresolvedMention1">
    <w:name w:val="Unresolved Mention1"/>
    <w:basedOn w:val="DefaultParagraphFont"/>
    <w:uiPriority w:val="99"/>
    <w:semiHidden/>
    <w:unhideWhenUsed/>
    <w:rsid w:val="00BA1475"/>
    <w:rPr>
      <w:color w:val="605E5C"/>
      <w:shd w:val="clear" w:color="auto" w:fill="E1DFDD"/>
    </w:rPr>
  </w:style>
  <w:style w:type="character" w:customStyle="1" w:styleId="bcx0">
    <w:name w:val="bcx0"/>
    <w:basedOn w:val="DefaultParagraphFont"/>
    <w:rsid w:val="00BA1475"/>
  </w:style>
  <w:style w:type="character" w:customStyle="1" w:styleId="jlqj4b">
    <w:name w:val="jlqj4b"/>
    <w:basedOn w:val="DefaultParagraphFont"/>
    <w:rsid w:val="00BA1475"/>
  </w:style>
  <w:style w:type="paragraph" w:customStyle="1" w:styleId="mt-translation">
    <w:name w:val="mt-translation"/>
    <w:basedOn w:val="Normal"/>
    <w:rsid w:val="00BA1475"/>
    <w:pPr>
      <w:spacing w:before="100" w:beforeAutospacing="1" w:after="100" w:afterAutospacing="1" w:line="240" w:lineRule="auto"/>
    </w:pPr>
    <w:rPr>
      <w:rFonts w:ascii="Times New Roman" w:eastAsia="Times New Roman" w:hAnsi="Times New Roman" w:cs="Times New Roman"/>
      <w:kern w:val="0"/>
      <w:sz w:val="24"/>
      <w:szCs w:val="24"/>
      <w:lang w:val="lv-LV" w:eastAsia="lv-LV"/>
    </w:rPr>
  </w:style>
  <w:style w:type="character" w:customStyle="1" w:styleId="UnresolvedMention2">
    <w:name w:val="Unresolved Mention2"/>
    <w:basedOn w:val="DefaultParagraphFont"/>
    <w:uiPriority w:val="99"/>
    <w:semiHidden/>
    <w:unhideWhenUsed/>
    <w:rsid w:val="00BA1475"/>
    <w:rPr>
      <w:color w:val="605E5C"/>
      <w:shd w:val="clear" w:color="auto" w:fill="E1DFDD"/>
    </w:rPr>
  </w:style>
  <w:style w:type="numbering" w:customStyle="1" w:styleId="NoList6">
    <w:name w:val="No List6"/>
    <w:next w:val="NoList"/>
    <w:uiPriority w:val="99"/>
    <w:semiHidden/>
    <w:unhideWhenUsed/>
    <w:rsid w:val="00BA1475"/>
  </w:style>
  <w:style w:type="numbering" w:customStyle="1" w:styleId="NoList15">
    <w:name w:val="No List15"/>
    <w:next w:val="NoList"/>
    <w:uiPriority w:val="99"/>
    <w:semiHidden/>
    <w:unhideWhenUsed/>
    <w:rsid w:val="00BA1475"/>
  </w:style>
  <w:style w:type="table" w:customStyle="1" w:styleId="TableGrid6">
    <w:name w:val="Table Grid6"/>
    <w:basedOn w:val="TableNormal"/>
    <w:next w:val="TableGrid"/>
    <w:uiPriority w:val="59"/>
    <w:rsid w:val="00BA1475"/>
    <w:pPr>
      <w:spacing w:after="0" w:line="240" w:lineRule="auto"/>
    </w:pPr>
    <w:rPr>
      <w:kern w:val="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2">
    <w:name w:val="Mention2"/>
    <w:basedOn w:val="DefaultParagraphFont"/>
    <w:uiPriority w:val="99"/>
    <w:unhideWhenUsed/>
    <w:rsid w:val="00BA1475"/>
    <w:rPr>
      <w:color w:val="2B579A"/>
      <w:shd w:val="clear" w:color="auto" w:fill="E6E6E6"/>
    </w:rPr>
  </w:style>
  <w:style w:type="numbering" w:customStyle="1" w:styleId="NoList7">
    <w:name w:val="No List7"/>
    <w:next w:val="NoList"/>
    <w:uiPriority w:val="99"/>
    <w:semiHidden/>
    <w:unhideWhenUsed/>
    <w:rsid w:val="00BA1475"/>
  </w:style>
  <w:style w:type="numbering" w:customStyle="1" w:styleId="NoList16">
    <w:name w:val="No List16"/>
    <w:next w:val="NoList"/>
    <w:uiPriority w:val="99"/>
    <w:semiHidden/>
    <w:unhideWhenUsed/>
    <w:rsid w:val="00BA1475"/>
  </w:style>
  <w:style w:type="table" w:customStyle="1" w:styleId="TableGrid7">
    <w:name w:val="Table Grid7"/>
    <w:basedOn w:val="TableNormal"/>
    <w:next w:val="TableGrid"/>
    <w:uiPriority w:val="59"/>
    <w:rsid w:val="00BA1475"/>
    <w:pPr>
      <w:spacing w:after="0" w:line="240" w:lineRule="auto"/>
    </w:pPr>
    <w:rPr>
      <w:kern w:val="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ject">
    <w:name w:val="Subject"/>
    <w:basedOn w:val="Normal"/>
    <w:uiPriority w:val="2"/>
    <w:rsid w:val="00BA1475"/>
    <w:pPr>
      <w:spacing w:after="240" w:line="240" w:lineRule="auto"/>
      <w:ind w:left="1191" w:hanging="1191"/>
      <w:contextualSpacing/>
    </w:pPr>
    <w:rPr>
      <w:rFonts w:ascii="Times New Roman" w:eastAsia="Times New Roman" w:hAnsi="Times New Roman" w:cs="Times New Roman"/>
      <w:b/>
      <w:kern w:val="0"/>
      <w:sz w:val="24"/>
      <w:szCs w:val="20"/>
      <w:lang w:val="en-GB" w:eastAsia="en-IE"/>
    </w:rPr>
  </w:style>
  <w:style w:type="paragraph" w:customStyle="1" w:styleId="1">
    <w:name w:val="1"/>
    <w:basedOn w:val="Normal"/>
    <w:link w:val="FootnoteReference"/>
    <w:uiPriority w:val="99"/>
    <w:rsid w:val="00BA1475"/>
    <w:pPr>
      <w:spacing w:line="240" w:lineRule="exact"/>
      <w:jc w:val="both"/>
    </w:pPr>
    <w:rPr>
      <w:vertAlign w:val="superscript"/>
    </w:rPr>
  </w:style>
  <w:style w:type="paragraph" w:customStyle="1" w:styleId="Titreobjet">
    <w:name w:val="Titre objet"/>
    <w:basedOn w:val="Normal"/>
    <w:next w:val="Normal"/>
    <w:rsid w:val="00BA1475"/>
    <w:pPr>
      <w:spacing w:before="360" w:after="360" w:line="240" w:lineRule="auto"/>
      <w:jc w:val="center"/>
    </w:pPr>
    <w:rPr>
      <w:rFonts w:ascii="Times New Roman" w:hAnsi="Times New Roman" w:cs="Times New Roman"/>
      <w:b/>
      <w:kern w:val="0"/>
      <w:sz w:val="24"/>
      <w:lang w:val="en-GB"/>
    </w:rPr>
  </w:style>
  <w:style w:type="character" w:customStyle="1" w:styleId="Mention3">
    <w:name w:val="Mention3"/>
    <w:basedOn w:val="DefaultParagraphFont"/>
    <w:uiPriority w:val="99"/>
    <w:unhideWhenUsed/>
    <w:rsid w:val="00BA1475"/>
    <w:rPr>
      <w:color w:val="2B579A"/>
      <w:shd w:val="clear" w:color="auto" w:fill="E6E6E6"/>
    </w:rPr>
  </w:style>
  <w:style w:type="character" w:customStyle="1" w:styleId="Mention30">
    <w:name w:val="Mention30"/>
    <w:basedOn w:val="DefaultParagraphFont"/>
    <w:uiPriority w:val="99"/>
    <w:unhideWhenUsed/>
    <w:rsid w:val="00BA1475"/>
    <w:rPr>
      <w:color w:val="2B579A"/>
      <w:shd w:val="clear" w:color="auto" w:fill="E6E6E6"/>
    </w:rPr>
  </w:style>
  <w:style w:type="character" w:customStyle="1" w:styleId="cf01">
    <w:name w:val="cf01"/>
    <w:basedOn w:val="DefaultParagraphFont"/>
    <w:rsid w:val="00BA1475"/>
    <w:rPr>
      <w:rFonts w:ascii="Segoe UI" w:hAnsi="Segoe UI" w:cs="Segoe UI" w:hint="default"/>
      <w:i/>
      <w:iCs/>
      <w:sz w:val="18"/>
      <w:szCs w:val="18"/>
    </w:rPr>
  </w:style>
  <w:style w:type="character" w:customStyle="1" w:styleId="cf11">
    <w:name w:val="cf11"/>
    <w:basedOn w:val="DefaultParagraphFont"/>
    <w:rsid w:val="00BA1475"/>
    <w:rPr>
      <w:rFonts w:ascii="Segoe UI" w:hAnsi="Segoe UI" w:cs="Segoe UI" w:hint="default"/>
      <w:i/>
      <w:iCs/>
      <w:sz w:val="18"/>
      <w:szCs w:val="18"/>
      <w:shd w:val="clear" w:color="auto" w:fill="FFFFFF"/>
    </w:rPr>
  </w:style>
  <w:style w:type="character" w:styleId="Mention">
    <w:name w:val="Mention"/>
    <w:basedOn w:val="DefaultParagraphFont"/>
    <w:uiPriority w:val="99"/>
    <w:unhideWhenUsed/>
    <w:rsid w:val="00BA1475"/>
    <w:rPr>
      <w:color w:val="2B579A"/>
      <w:shd w:val="clear" w:color="auto" w:fill="E1DFDD"/>
    </w:rPr>
  </w:style>
  <w:style w:type="character" w:styleId="IntenseEmphasis">
    <w:name w:val="Intense Emphasis"/>
    <w:basedOn w:val="DefaultParagraphFont"/>
    <w:uiPriority w:val="21"/>
    <w:qFormat/>
    <w:rsid w:val="00BA1475"/>
    <w:rPr>
      <w:i/>
      <w:iCs/>
      <w:color w:val="156082" w:themeColor="accent1"/>
    </w:rPr>
  </w:style>
  <w:style w:type="table" w:styleId="PlainTable1">
    <w:name w:val="Plain Table 1"/>
    <w:basedOn w:val="TableNormal"/>
    <w:uiPriority w:val="41"/>
    <w:rsid w:val="00BA147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semiHidden/>
    <w:unhideWhenUsed/>
    <w:rsid w:val="00BA1475"/>
    <w:rPr>
      <w:color w:val="467886" w:themeColor="hyperlink"/>
      <w:u w:val="single"/>
    </w:rPr>
  </w:style>
  <w:style w:type="character" w:customStyle="1" w:styleId="Heading2Char1">
    <w:name w:val="Heading 2 Char1"/>
    <w:basedOn w:val="DefaultParagraphFont"/>
    <w:uiPriority w:val="9"/>
    <w:semiHidden/>
    <w:rsid w:val="00BA1475"/>
    <w:rPr>
      <w:rFonts w:asciiTheme="majorHAnsi" w:eastAsiaTheme="majorEastAsia" w:hAnsiTheme="majorHAnsi" w:cstheme="majorBidi"/>
      <w:color w:val="0F4761" w:themeColor="accent1" w:themeShade="BF"/>
      <w:sz w:val="26"/>
      <w:szCs w:val="26"/>
    </w:rPr>
  </w:style>
  <w:style w:type="character" w:customStyle="1" w:styleId="Heading3Char1">
    <w:name w:val="Heading 3 Char1"/>
    <w:basedOn w:val="DefaultParagraphFont"/>
    <w:uiPriority w:val="9"/>
    <w:semiHidden/>
    <w:rsid w:val="00BA1475"/>
    <w:rPr>
      <w:rFonts w:asciiTheme="majorHAnsi" w:eastAsiaTheme="majorEastAsia" w:hAnsiTheme="majorHAnsi" w:cstheme="majorBidi"/>
      <w:color w:val="0A2F40" w:themeColor="accent1" w:themeShade="7F"/>
      <w:sz w:val="24"/>
      <w:szCs w:val="24"/>
    </w:rPr>
  </w:style>
  <w:style w:type="character" w:customStyle="1" w:styleId="Heading4Char1">
    <w:name w:val="Heading 4 Char1"/>
    <w:basedOn w:val="DefaultParagraphFont"/>
    <w:uiPriority w:val="9"/>
    <w:semiHidden/>
    <w:rsid w:val="00BA1475"/>
    <w:rPr>
      <w:rFonts w:asciiTheme="majorHAnsi" w:eastAsiaTheme="majorEastAsia" w:hAnsiTheme="majorHAnsi" w:cstheme="majorBidi"/>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17.xml"/><Relationship Id="rId21" Type="http://schemas.openxmlformats.org/officeDocument/2006/relationships/header" Target="header8.xml"/><Relationship Id="rId34" Type="http://schemas.openxmlformats.org/officeDocument/2006/relationships/footer" Target="footer13.xml"/><Relationship Id="rId42" Type="http://schemas.openxmlformats.org/officeDocument/2006/relationships/header" Target="header18.xml"/><Relationship Id="rId47" Type="http://schemas.openxmlformats.org/officeDocument/2006/relationships/footer" Target="footer20.xml"/><Relationship Id="rId50" Type="http://schemas.openxmlformats.org/officeDocument/2006/relationships/header" Target="header22.xml"/><Relationship Id="rId55" Type="http://schemas.openxmlformats.org/officeDocument/2006/relationships/footer" Target="footer24.xml"/><Relationship Id="rId63" Type="http://schemas.openxmlformats.org/officeDocument/2006/relationships/glossaryDocument" Target="glossary/document.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footer" Target="footer11.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footer" Target="footer16.xml"/><Relationship Id="rId45" Type="http://schemas.openxmlformats.org/officeDocument/2006/relationships/header" Target="header20.xml"/><Relationship Id="rId53" Type="http://schemas.openxmlformats.org/officeDocument/2006/relationships/footer" Target="footer23.xml"/><Relationship Id="rId58" Type="http://schemas.openxmlformats.org/officeDocument/2006/relationships/footer" Target="footer25.xml"/><Relationship Id="rId5" Type="http://schemas.openxmlformats.org/officeDocument/2006/relationships/footnotes" Target="footnotes.xml"/><Relationship Id="rId61" Type="http://schemas.openxmlformats.org/officeDocument/2006/relationships/footer" Target="footer27.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21.xml"/><Relationship Id="rId56" Type="http://schemas.openxmlformats.org/officeDocument/2006/relationships/header" Target="header25.xm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6.xml"/><Relationship Id="rId46" Type="http://schemas.openxmlformats.org/officeDocument/2006/relationships/footer" Target="footer19.xml"/><Relationship Id="rId59" Type="http://schemas.openxmlformats.org/officeDocument/2006/relationships/footer" Target="footer26.xml"/><Relationship Id="rId20" Type="http://schemas.openxmlformats.org/officeDocument/2006/relationships/header" Target="header7.xml"/><Relationship Id="rId41" Type="http://schemas.openxmlformats.org/officeDocument/2006/relationships/footer" Target="footer17.xml"/><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footer" Target="footer21.xml"/><Relationship Id="rId57" Type="http://schemas.openxmlformats.org/officeDocument/2006/relationships/header" Target="header26.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footer" Target="footer22.xml"/><Relationship Id="rId60" Type="http://schemas.openxmlformats.org/officeDocument/2006/relationships/header" Target="header27.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2EE19E646D4DD9897903300CA2092B"/>
        <w:category>
          <w:name w:val="General"/>
          <w:gallery w:val="placeholder"/>
        </w:category>
        <w:types>
          <w:type w:val="bbPlcHdr"/>
        </w:types>
        <w:behaviors>
          <w:behavior w:val="content"/>
        </w:behaviors>
        <w:guid w:val="{EFDD3DA7-63AC-48B9-B7F5-2EDA70525304}"/>
      </w:docPartPr>
      <w:docPartBody>
        <w:p w:rsidR="00914F91" w:rsidRDefault="00914F91"/>
      </w:docPartBody>
    </w:docPart>
    <w:docPart>
      <w:docPartPr>
        <w:name w:val="FD186C98E0B246CAB8EDA06FE1E7B097"/>
        <w:category>
          <w:name w:val="General"/>
          <w:gallery w:val="placeholder"/>
        </w:category>
        <w:types>
          <w:type w:val="bbPlcHdr"/>
        </w:types>
        <w:behaviors>
          <w:behavior w:val="content"/>
        </w:behaviors>
        <w:guid w:val="{A0CC31F6-A2FB-416E-9CBE-F9F30B06AB5D}"/>
      </w:docPartPr>
      <w:docPartBody>
        <w:p w:rsidR="00914F91" w:rsidRDefault="00914F9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F91"/>
    <w:rsid w:val="002B19C1"/>
    <w:rsid w:val="003C7856"/>
    <w:rsid w:val="00914F91"/>
    <w:rsid w:val="00B36586"/>
    <w:rsid w:val="00B861C2"/>
    <w:rsid w:val="00BE157F"/>
    <w:rsid w:val="00D06016"/>
    <w:rsid w:val="00DC717C"/>
    <w:rsid w:val="00EE07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42698</Words>
  <Characters>250644</Characters>
  <Application>Microsoft Office Word</Application>
  <DocSecurity>0</DocSecurity>
  <Lines>14743</Lines>
  <Paragraphs>4656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288686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POPA Dana (SG REFORM)</dc:creator>
  <cp:keywords/>
  <dc:description/>
  <cp:lastModifiedBy>BALDON Laura (SG-RECOVER)</cp:lastModifiedBy>
  <cp:revision>2</cp:revision>
  <dcterms:created xsi:type="dcterms:W3CDTF">2025-04-03T08:45:00Z</dcterms:created>
  <dcterms:modified xsi:type="dcterms:W3CDTF">2025-04-03T08:45:00Z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2</vt:lpwstr>
  </property>
  <property fmtid="{D5CDD505-2E9C-101B-9397-08002B2CF9AE}" pid="5" name="Unique annex">
    <vt:lpwstr>0</vt:lpwstr>
  </property>
  <property fmtid="{D5CDD505-2E9C-101B-9397-08002B2CF9AE}" pid="6" name="Part">
    <vt:lpwstr>&lt;UNUSED&gt;</vt:lpwstr>
  </property>
  <property fmtid="{D5CDD505-2E9C-101B-9397-08002B2CF9AE}" pid="7" name="Total parts">
    <vt:lpwstr>&lt;UNUSED&gt;</vt:lpwstr>
  </property>
  <property fmtid="{D5CDD505-2E9C-101B-9397-08002B2CF9AE}" pid="8" name="DocStatus">
    <vt:lpwstr>Green</vt:lpwstr>
  </property>
  <property fmtid="{D5CDD505-2E9C-101B-9397-08002B2CF9AE}" pid="9" name="CPTemplateID">
    <vt:lpwstr>CP-038</vt:lpwstr>
  </property>
  <property fmtid="{D5CDD505-2E9C-101B-9397-08002B2CF9AE}" pid="10" name="Last edited using">
    <vt:lpwstr>LW 9.1, Build 20240808</vt:lpwstr>
  </property>
  <property fmtid="{D5CDD505-2E9C-101B-9397-08002B2CF9AE}" pid="11" name="Created using">
    <vt:lpwstr>LW 9.1, Build 20240808</vt:lpwstr>
  </property>
  <property fmtid="{D5CDD505-2E9C-101B-9397-08002B2CF9AE}" pid="12" name="MSIP_Label_6bd9ddd1-4d20-43f6-abfa-fc3c07406f94_Enabled">
    <vt:lpwstr>true</vt:lpwstr>
  </property>
  <property fmtid="{D5CDD505-2E9C-101B-9397-08002B2CF9AE}" pid="13" name="MSIP_Label_6bd9ddd1-4d20-43f6-abfa-fc3c07406f94_SetDate">
    <vt:lpwstr>2025-03-28T11:19:48Z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7400fb25-899b-4f8c-a518-138e688219f8</vt:lpwstr>
  </property>
  <property fmtid="{D5CDD505-2E9C-101B-9397-08002B2CF9AE}" pid="18" name="MSIP_Label_6bd9ddd1-4d20-43f6-abfa-fc3c07406f94_ContentBits">
    <vt:lpwstr>0</vt:lpwstr>
  </property>
</Properties>
</file>