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3.1.prioritātes "Ilgtspējīga TEN-T infrastruktūra”  3.1.1.specifiskā atbalsta mērķa “Attīstīt ilgtspējīgu, pret klimatu izturīgu, inteliģentu, drošu un vairākveidu TEN-T infrastruktūru” 3.1.1.6.pasākuma “Lielo ostu publiskās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nodrošināt ilgtspējīgu un pret klimata izturīgu infrastruktūru, nepieciešams integrēt pasākumus, kas nodrošina ostas infrastruktūras pielāgošanos klimata pārmainām.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iekļaut rezultatīvos rādītājus attiecībā uz klimata aspektiem – uzstādītā AER jauda, aizstātie fosilie kurināmie un attiecīgais SEG emisiju ietaupījums.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 ka, lai arī noteikumu projektā netiek noteikti sasniedzamie rezultatīvie rādītāji attiecībā uz klimata aspektiem, projekti tiks apstiprināti tikai ar nosacījumu, ka projekta iesniegumā sniegta detalizēta informācija par plānotajām darbībām krasta elektroapgādes punkta/-u jūras kuģiem izveidei un  drošu kuģošanas apstākļu nodrošināšanai, ietverot informāciju par skaitliski aprēķinātiem sasniedzamajiem rādītājiem (atbilstoši vadlīnijām Economic Appraisal Vademecum 2021-2027 General Principles and Sector Applications[1] aprēķināta ietekme uz siltumnīcefekta gāzu emisijām) ostu negatīvās ietekmes uz vidi mazināšanai, termiņiem to sasniegšanai, kā arī metodēm to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apstiprināti ar ES fondu 2021.-2027.gada plānošanas perioda Uzraudzības komitejas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21.maija lēmumu Nr. 2024 5.2-3/16/626. Noteiktā prasība ir iekļauta kā specifiskais atbilstības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https://ec.europa.eu/regional_policy/sources/guides/vademecum_2127/vademecum_2127_en.pdf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līdz 2029. gada 31. decembrim ir sasniedzams šāds specifiskais iznākuma rādītājs: "Ostu skaits, kurās veiktas investīcijas videi draudzīgas ostu publiskās infrastruktūras attīstībā – divas ostas".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3.punktā minēto iznākuma rādītāja nosaukumu norādīt atbilstoši Eiropas Savienības Kohēzijas politikas programmā 2021.-2027.gadam noteiktajam vai anotācijā sniegt pamatojumu, ka noteikumu projektā paredzētā redakcija nav pretrunā ar programmā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sniegts skaidrojums par pasākumam pieejamā finansējuma samazinājumu uz sasniedzamo rādītāju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sākotnēji paredzētais pasākumam pieejamais Kohēzijas fonda finansējums bija 14 790 000</w:t>
            </w:r>
            <w:r w:rsidR="00000000" w:rsidRPr="00000000" w:rsidDel="00000000">
              <w:rPr>
                <w:i w:val="1"/>
                <w:rtl w:val="0"/>
              </w:rPr>
              <w:t xml:space="preserve"> euro</w:t>
            </w:r>
            <w:r w:rsidR="00000000" w:rsidRPr="00000000" w:rsidDel="00000000">
              <w:rPr>
                <w:rtl w:val="0"/>
              </w:rPr>
              <w:t xml:space="preserve">. Vienlaikus Satiksmes ministrija kā Programmas atbildīgā iestāde, ievērojot  Ministru kabineta 2023.gada 26.septembrī uzdoto,  iesniegusi Finanšu ministrijai priekšlikumus grozījumiem Programmā, pārstrukturējot transporta nozares investīcijas, kas paredz Programmas finansējuma pārdali atjaunojamo energoresursu iekārtu komponenšu ražošanas un loģistikas kompleksa atbalsta infrastruktūras izveidei Rīgas brīvostas teritorijā, paredzot proporcionālu finansējuma samazinājumu vairākiem citiem Satiksmes ministrijas pārziņā esošajiem pasākumiem, tajā skaitā 3.1.1.6.pasākumam “Lielo ostu publiskās infrastruktūras attīstība”. Pasākumam pieejamais Kohēzijas fona finansējuma  samazinājums ierosināts 6 676 001 </w:t>
            </w:r>
            <w:r w:rsidR="00000000" w:rsidRPr="00000000" w:rsidDel="00000000">
              <w:rPr>
                <w:i w:val="1"/>
                <w:rtl w:val="0"/>
              </w:rPr>
              <w:t xml:space="preserve">euro</w:t>
            </w:r>
            <w:r w:rsidR="00000000" w:rsidRPr="00000000" w:rsidDel="00000000">
              <w:rPr>
                <w:rtl w:val="0"/>
              </w:rPr>
              <w:t xml:space="preserve"> apmērā, atvēlot pasākuma īstenošanai Kohēzijas fonda līdzfinanējumu 8 113 999 </w:t>
            </w:r>
            <w:r w:rsidR="00000000" w:rsidRPr="00000000" w:rsidDel="00000000">
              <w:rPr>
                <w:i w:val="1"/>
                <w:rtl w:val="0"/>
              </w:rPr>
              <w:t xml:space="preserve">euro</w:t>
            </w:r>
            <w:r w:rsidR="00000000" w:rsidRPr="00000000" w:rsidDel="00000000">
              <w:rPr>
                <w:rtl w:val="0"/>
              </w:rPr>
              <w:t xml:space="preserve">. Ņemot vērā būtisko finansējuma samazinājumu, ir tikuši ierosināti grozījumi, kas noteiktu samazināt arī pasākuma ietvaros sasniedzamo rezultatīvo rādītāju vērtību "Ostu skaits, kurās veiktas investīcijas videi draudzīgas ostu publiskās infrastruktūras attīstībā, t.sk. elektrotīklu pieslēgumu pie piestātnēm vai drošu kuģošanas apstākļu risinājumu nodrošināšanā – atbalstu saņēmušo ostu skaits " no sākotnēji paredzētājam trīs ostām uz divām. Tā kā atbalsts pasākuma ietvaros paredzēts lielajām ostām (Latvijā ir trīs lielās ostas) un ņemot vērā, ka ierosinātā finansējuma pārdale jau paredz cita veida ieguldījumus Rīgas brīvostā, pasākuma ietvaros kā potenciālie finansējuma saņēmēji noteiktas abas pārējās lielo ostu pārvaldes -  Liepājas speciālās ekonomiskās zonas pārvalde un Rīgas brīvostas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līdz 2029. gada 31. decembrim ir sasniedzams šāds iznākuma rādītājs: "Ostu skaits, kurās veiktas investīcijas publiskās infrastruktūras attīstībā, t.sk., videi draudzīgas ostas infrastruktūras attīstībā, alternatīvo degvielu pieejamības, elektrotīkla pieslēgumiem pie piestātnēm un drošu kuģošanas apstākļu nodrošināšanā - atbalstu saņēmušas divas ostas".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Kohēzijas fonda finansējumu pasākuma ietvaros piešķir granta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 punktu, nodrošinot  nosacījumu, ka </w:t>
            </w:r>
            <w:r w:rsidR="00000000" w:rsidRPr="00000000" w:rsidDel="00000000">
              <w:rPr>
                <w:i w:val="1"/>
                <w:rtl w:val="0"/>
              </w:rPr>
              <w:t xml:space="preserve">maksimālais attiecināmais Kohēzijas  fonda finansējuma apmērs ir līdz 85 procentiem no projektā plānotā kopējā attiecināmā finansējuma</w:t>
            </w:r>
            <w:r w:rsidR="00000000" w:rsidRPr="00000000" w:rsidDel="00000000">
              <w:rPr>
                <w:rtl w:val="0"/>
              </w:rPr>
              <w:t xml:space="preserve">. Vēršam uzmanību, ka maksimālā Eiropas Savienības fonda finansējuma intensitāte ir nosakāma 85% apmērā </w:t>
            </w:r>
            <w:r w:rsidR="00000000" w:rsidRPr="00000000" w:rsidDel="00000000">
              <w:rPr>
                <w:u w:val="single"/>
                <w:rtl w:val="0"/>
              </w:rPr>
              <w:t xml:space="preserve">no projektam plānotā kopējā attiecināmā finansējuma</w:t>
            </w:r>
            <w:r w:rsidR="00000000" w:rsidRPr="00000000" w:rsidDel="00000000">
              <w:rPr>
                <w:rtl w:val="0"/>
              </w:rPr>
              <w:t xml:space="preserve">, savukārt atbalsta intensitāte komercdarbības atbalsta piešķiršanas izpratnē ir papildu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pēc nepieciešamības precizēt noteikumu projekta 16. punktu, kā arī  noteikumu projekta 18. un 30.punktu.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FM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Kohēzijas fonda finansējumu pasākuma ietvaros piešķir granta veidā. Maksimālais attiecināmais Kohēzijas  fonda finansējuma apmērs ir līdz 85 procentiem no projektā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nevar pretendēt uz finansējumu, ja tas atbilst grūtībās nonākuša komersanta statusam un uz to attiecas vismaz viens no </w:t>
            </w:r>
            <w:r w:rsidR="00000000" w:rsidRPr="00000000" w:rsidDel="00000000">
              <w:rPr>
                <w:rtl w:val="0"/>
              </w:rPr>
              <w:t xml:space="preserve">Komisijas 2014. gada 17. jūnija Regulas (ES) Nr. 651/2014, ar ko noteiktas atbalsta kategorijas atzīst par saderīgām ar iekšējo tirgu, piemērojot Līguma 107. un 108. pantu </w:t>
            </w:r>
            <w:r w:rsidR="00000000" w:rsidRPr="00000000" w:rsidDel="00000000">
              <w:rPr>
                <w:rtl w:val="0"/>
              </w:rPr>
              <w:t xml:space="preserve">(turpmāk - Regula (ES) Nr. 651/2014) 2.panta 18.punktā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14.punktā minēto salāgot ar anotācijā minēto, ka atbilstību grūtībās nonākuša uzņēmuma pazīmēm vērtēs, ja atbalsta pretendents plāno saņemt atbalstu atbilstoši Regulas Nr.651/2014 56.b punktam, jo šobrīd 14.punkts attiecas uz visiem gadījumiem, neņemot vērā, vai plānotais atbalsts ir vai nav saistīts ar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FM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28.Projekta iesniedzējs nevar pretendēt uz atbalstu atbilstoši Regulas (ES) Nr. 651/2014 56.b pantam, ja tas atbilst grūtībās nonākuša komersanta statusam un uz to attiecas vismaz viens no Regulas (ES) Nr. 651/2014 2.panta 18.punktā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un iesniedz projekta iesniegumu Kohēzijas politikas fondu vadības informācijas sistēmā 2021.–2027. gadam saskaņā ar projektu iesniegumu atlases nolikuma prasībām, pievienojot projektam veikto izmaksu un ieguvumu analīzi un projekta iesniedzēja sagatavotu izvērtējumu par komercdarbības atbalstu projektā. Projekta iesniedzējam, veicot izmaksu un ieguvumu analīzi (finanšu analīzi un ekonomisko analīzi), jāievēro, ka projekta ekonomiskā ienesīguma norma ir lielāka par sociālo diskonta likmi un projekta ekonomiskā neto pašreizējā vērtība ir lielāka par nulli. Projekta pārskata periodu (projekta dzīves ciklu) nosaka atbilstoši </w:t>
            </w:r>
            <w:r w:rsidR="00000000" w:rsidRPr="00000000" w:rsidDel="00000000">
              <w:rPr>
                <w:rtl w:val="0"/>
              </w:rPr>
              <w:t xml:space="preserve">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480/2014)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punktā norādīto regulu uz aktuālo Eiropas Savienības fondu 2021.-2027. gada plānošanas perioda tiesisko regulējumu. Vēršam uzmanību, ka noteikumu projekts izstrādāts, pamatojoties uz Eiropas Savienības fondu 2021.—2027. gada plānošanas perioda vadības likumu, kas izstrādāts saskaņā ar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Attiecīgi nav juridiski korekti norādīt Komisijas 2014. gada 3. marta Deleģēto regulu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kura regulē iepriekšējo plānošanas periodu - Eiropas Savienības struktūrfondu un Kohēzijas fonda 2014.-2020. gada plānošanas periodu. Vienlaikus lūdzam atbilstoši precizēt anotācijas 5.1.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noņemot atsauci uz juridiski nekorekti norādīto regulu (ES) Nr.480/2014).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Atbalsta intensitāte šo noteikumu </w:t>
            </w:r>
            <w:r w:rsidR="00000000" w:rsidRPr="00000000" w:rsidDel="00000000">
              <w:rPr>
                <w:rtl w:val="0"/>
              </w:rPr>
              <w:t xml:space="preserve">14.2. </w:t>
            </w:r>
            <w:r w:rsidR="00000000" w:rsidRPr="00000000" w:rsidDel="00000000">
              <w:rPr>
                <w:rtl w:val="0"/>
              </w:rPr>
              <w:t xml:space="preserve">apakšpunkt</w:t>
            </w:r>
            <w:r w:rsidR="00000000" w:rsidRPr="00000000" w:rsidDel="00000000">
              <w:rPr>
                <w:rtl w:val="0"/>
              </w:rPr>
              <w:t xml:space="preserve">ā norādītās darbības īstenošanai ir līdz 85% apmērā no darbības īstenošanas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noteikuma projekta </w:t>
            </w:r>
            <w:r w:rsidR="00000000" w:rsidRPr="00000000" w:rsidDel="00000000">
              <w:rPr>
                <w:i w:val="1"/>
                <w:rtl w:val="0"/>
              </w:rPr>
              <w:t xml:space="preserve">III. Atbalstāmās darbības un izmaksas</w:t>
            </w:r>
            <w:r w:rsidR="00000000" w:rsidRPr="00000000" w:rsidDel="00000000">
              <w:rPr>
                <w:rtl w:val="0"/>
              </w:rPr>
              <w:t xml:space="preserve"> minēto atbalsta intensitāti ar </w:t>
            </w:r>
            <w:r w:rsidR="00000000" w:rsidRPr="00000000" w:rsidDel="00000000">
              <w:rPr>
                <w:i w:val="1"/>
                <w:rtl w:val="0"/>
              </w:rPr>
              <w:t xml:space="preserve">V. Atbalsta piemērošanas nosacījumi</w:t>
            </w:r>
            <w:r w:rsidR="00000000" w:rsidRPr="00000000" w:rsidDel="00000000">
              <w:rPr>
                <w:rtl w:val="0"/>
              </w:rPr>
              <w:t xml:space="preserve">, ņemot vērā pasākuma īstenošanā atbalstāmās darbības, kas noteiktas MK noteikumu 14.1. un 14.2. apakšpunktos un vienlaikus novērst informācijas dublēšanos (piem., MK noteikumu 16. un 30.punkts).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CFLA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atbalsts tiek piešķirts kā komercdarbības atbalsts, projekta īstenošanas gaitā radušās sadārdzinājuma izmaksas finansējuma saņēmējs sedz no saviem līdzekļiem, kas brīvi no jebkāda komercdarbības atbalsta. Attiecīgi lūdzam papildināt noteikumu projekta 26.punktu.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Gadījumos, kad atbalsts tiek piešķirts kā komercdarbības atbalsts, projekta īstenošanas gaitā radušās sadārdzinājuma izmaksas finansējuma saņēmējs sedz no saviem līdzekļiem, kas brīvi no jebkāda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izstrādes iespējas kādām no projektos plānotajām darbībām vai izmaksām. Ja izstrādāt vienkāršotās izmaksas nav iespējams vai tas ir nelietderīgi no samērīguma viedokļa šajā pasākumā,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piemērotas vienkāršotās izmaksas, lūdzam svītrot noteikumu projekta 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attiecināmajās izmaksās iekļautās elektroapgādes iekārtas un elektrotīkla pieslēguma tehniskie risinājumi, kā arī kuģu satiksmes vadības centra modernizēšanas aprīkojums tiks iepirkts un montēts, ņemot vērā esošo ostu infrastruktūras specifiku un tās pielāgošanas vajadzības. Vienkāršoto izmaksu metodikas izstrāde būtu nesamērīgi laikietilpīgs risinājums, ņemot vērā, ka, lai precīzi iepriekš noteiktu iepērkamās infrastruktūras specifiku un tehniskos parametrus,  būtu nepieciešams apzināt ostas ar tieši tādiem izejas parametriem kā potenciālajiem projektu iesniedzējiem. Arī būvdarbu un būvuzraudzības izmaksas ir specifiskas ostu  vajadzībām krasta elektrifikācijai vai drošu kuģošanas apstākļu nodrošināšanai, līdz ar to aprēķinos nav  iespējams izmantot citu pasākumu ietvaros iekļautās būvdarbu izmaksas vai izmaksas, kas iekļautas ostu atbalsta programmās, kuras tika veikti cita veida ieguldījumi (piemēram, hidrotehnisko būvju pārbūve vai pievedceļu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Atbalsts šo noteikumu </w:t>
            </w:r>
            <w:r w:rsidR="00000000" w:rsidRPr="00000000" w:rsidDel="00000000">
              <w:rPr>
                <w:rtl w:val="0"/>
              </w:rPr>
              <w:t xml:space="preserve">​</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norādītās darbības īstenošanai kvalificējams kā komercdarbības atbalsts; atbalstu sniedz saskaņā ar </w:t>
            </w:r>
            <w:r w:rsidR="00000000" w:rsidRPr="00000000" w:rsidDel="00000000">
              <w:rPr>
                <w:rtl w:val="0"/>
              </w:rPr>
              <w:t xml:space="preserve">Regulu (ES) Nr. 651/2014</w:t>
            </w:r>
            <w:r w:rsidR="00000000" w:rsidRPr="00000000" w:rsidDel="00000000">
              <w:rPr>
                <w:rtl w:val="0"/>
              </w:rPr>
              <w:t xml:space="preserve"> un </w:t>
            </w:r>
            <w:r w:rsidR="00000000" w:rsidRPr="00000000" w:rsidDel="00000000">
              <w:rPr>
                <w:rtl w:val="0"/>
              </w:rPr>
              <w:t xml:space="preserve">Komisijas 2017. gada 14. jūnija Regulas (ES) 2017/1084 , ar ko Regulu (ES) Nr. 651/2014 groza attiecībā uz atbalstu ostu un lidostu infrastruktūrai, paziņošanas robežvērtībām atbalstam kultūrai un kultūrvēsturiskā mantojuma saglabāšanai un atbalstam sporta un multifunkcionālai atpūtas infrastruktūrai un reģionālā darbības atbalsta shēmām tālākajos reģionos un ar ko Regulu (ES) Nr. 702/2014 groza attiecībā uz attiecināmo izmaksu aprēķinu </w:t>
            </w:r>
            <w:r w:rsidR="00000000" w:rsidRPr="00000000" w:rsidDel="00000000">
              <w:rPr>
                <w:rtl w:val="0"/>
              </w:rPr>
              <w:t xml:space="preserve">(turpmāk - Regula (ES) 2017/1084) 56 b) panta 9.punktu.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tiek sniegts ar Regulas (ES) Nr. 651/2014 56 b) pantu, lūdzam noteikumu projekta 19.punktu izteikt tā, lai būtu skaidrs, ka tiks ievēroti visi 56 b) panta punkti, nevis tikai 9.punkts, kā arī lūdzam dzēst atsauci uz regulas grozījumiem, jo tiek piemēroti gan visi attiecīgie aktuālās Regulas (ES) Nr. 651/2014 vispārīgās I sadaļas nosacījumi, gan arī 56 b) panta nosacījumi. Atbilstoši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atbilstoši FM norādījumam.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norādītās darbības īstenošanai kvalificējams kā komercdarbības atbalsts; atbalstu sniedz saskaņā ar Regulas (ES) Nr. 651/2014, ar ko noteiktas atbalsta kategorijas atzīst par saderīgām ar iekšējo tirgu, piemērojot Līguma 107. un 108. pantu  (turpmāk - Regula (ES) Nr. 651/2014) 56 b)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Piemērojot </w:t>
            </w:r>
            <w:r w:rsidR="00000000" w:rsidRPr="00000000" w:rsidDel="00000000">
              <w:rPr>
                <w:rtl w:val="0"/>
              </w:rPr>
              <w:t xml:space="preserve">Regulas (ES) 2017/1084 </w:t>
            </w:r>
            <w:r w:rsidR="00000000" w:rsidRPr="00000000" w:rsidDel="00000000">
              <w:rPr>
                <w:rtl w:val="0"/>
              </w:rPr>
              <w:t xml:space="preserve">56 b) panta 9.punktu, atbalsta summa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norādītās darbības īstenošanai ir 80 % apmērā no darbības īstenošanas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skaidroto un plānotās attiecināmās izmaksas, pirmsšķietami secināms, ka atbalsts tiek sniegts uzlādes  infrastruktūrai, kas apgādā ar elektroenerģiju, saskaņā ar Regulas (ES) 2017/1084 56 b) panta 2 a) punktu. Vienlaikus ir jāņem vērā arī pārējie atbilstošie šī panta nosacījumi, piemēram, 56 b) panta 7. un 8.punkts, kā arī iespējams piemērot 56 b) panta 5 a) punktā minēto. Attiecīgi lūdzam papildināt noteikumu projektu ar nepieciešamajām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56 b) panta 1.punktā minēto, par Regulas (ES) Nr. 651/2014 I nodaļā paredzēto nosacījumu izpildi, lūdzam noteikumu projektu papildināt ar uz pasākumu attiecināmiem nosacījumiem, kas izriet no Regulas (ES) Nr. 651/2014 1., 6., 9., 12.panta, kā arī normu, kas nosaka atbalsta piešķiršanas dienu - kad saņēmējam saskaņā ar piemērojamo valsts tiesisko regulējumu ir nodotas likumīgās tiesības saņemt atbalstu, normu, kas nosaka termiņu, līdz kuram var pieņemt lēmumu par atbalsta piešķiršanu, ievērojot Regulas Nr. 651/2014 58. panta 4. punktā un 59. pantā noteikto darbības termiņu, un nosacījums par nelikumīga komercdarbības atbalsta atgūšanu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pārstrukturizēts, izveidota nodaļa "Atbalsta piemērošanas nosacījumi", kurā iekļautas atsauces uz atbilstošajiem Regulas (ES) Nr. 651/2014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būvuzraudzības kā arī apvienotās būvprojekta izstrādes un būvdarbu veikšanas procesa neatkarīgas uzraudzības pakalpojuma izmaksas, autoruzraudzības izmaksas un normatīvajos aktos noteiktās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22.2. apakšpunkts paredz, ka attiecināmas „ (..) normatīvajos aktos noteiktās attiecīgo būvspeciālistu obligātās apdrošināšanas izmaksas.” Atbilstoši juridiskās tehnikas prasībām tiesību normai ir jābūt skaidrai, lai tās lietotājs un piemērotājs gūtu nepārprotamu priekšstatu par saviem pienākumiem un tiesībām. Līdz ar to noteikumu projekta 22.2.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būvuzraudzības, kā arī apvienotās būvprojekta izstrādes un būvdarbu veikšanas procesa neatkarīgas uzraudzības pakalpojuma izmaksas, autoruzraudzības izmaksas un attiecīgo būvspeciālistu obligātās apdrošināšanas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izmaksas vides aizsardzības prasību nodrošināšanai, ciktāl to paredz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22.7. apakšpunkts paredz, ka attiecināmas izmaksas „ (..) ciktāl to paredz normatīvo aktu prasības.” Atbilstoši juridiskās tehnikas prasībām tiesību normai ir jābūt skaidrai, lai tās lietotājs un piemērotājs gūtu nepārprotamu priekšstatu par saviem pienākumiem un tiesībām. Līdz ar to noteikumu projekta 22.7.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izmaksas vides aizsardzības prasību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piemērošanas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par komercdarbības atbalsta kumulācijas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piešķirot atbalstu saskaņā ar Regulas (ES) 651/2014 56 b) pantu, jāievēro Regulas (ES) 651/2014 1. panta 4. punkta a) apakšpunktā noteiktais, līdz ar to lūdzam papildināt noteikumu projektu ar normu, kas paredz pārbaudīt, vai uz finansējuma saņēmēju neattiecas neizpildīts līdzekļu atgūšanas 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FM iebildumam ar 27.punktu, 33.punktu un 42.2.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saņemšanas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30.3. apakšpunktu piedāvātajā redakcijā. Vēršam uzmanību, ka dubultā finansējuma neiestāšanās nodrošināma ne tikai attiecībā uz citiem valsts un ārvalstu finanšu atbalsta instrumentiem, bet arī konkrētā projekta īstenošanai piešķirtā finansējuma ietvaros darbības nedrīkst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sinerģiju un papildinātību ar Eiropas Savienības un citiem atbalsta instrumentiem (tai skaitā Eiropas Savienības struktūrfondu un Kohēzijas fonda 2014.-2020.plānošanas perioda ietvaros veiktajiem pasākumiem), norādot, kā tiks nodrošināta demarkācija un dubultfinansējuma riska novēršana gadījumos, kad no dažādiem finanšu avotiem tiks atbalstītas vienas un tās pašas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nodrošina, ka projektā plānotās attiecināmās izmaksas netiek finansētas vai līdzfinansētas, kā arī tās nav plānots finansēt vai līdzfinansēt no citiem valsts un ārvalstu finanšu atbalsta instrumentiem, un dubultā finansējuma neiestāšanos;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atbilstoši FM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sadaļu "Citi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30.2.2. horizontālo principu "Klimatdrošināšana";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Tehniskajiem norādījumiem par infrastruktūras klimatdrošināšanu 2021.–2027. gada periodā (2021/C 373/01) ostas un loģistikas kategorijas ir minētas piemēru pārbaudes sarakstā, par kurām jāveic oglekļa pēdas novērtējums. Līdz ar to minētā SAM 30.2.2. punktā nepieciešams iekļaut papildinājumu/-us ar nosacījumiem par enerģijas ietaupījumu, marķējuma klasēm vai attiecīgiem datiem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tehnisko norādījumu B pielikumā ir noteikts klimatdrošināšanas dokumentācijas un verifikācijas prasību kopums, kas nepieciešams, lai atbildīgās iestādes, investori un partneri tiktu informēti par projekta klimatdrošināšanas procesu konsekventā un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pieejams: chrome-extension://efaidnbmnnnibpcajpcglclefindmkaj/https://eur-lex.europa.eu/legal-content/LV/TXT/PDF/?uri=CELEX:52021XC0916(03)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Ņems vērā skaidrojot, ka, lai arī  saskaņā ar EK Tehniskajiem norādījumiem par infrastruktūras klimatdrošināšanu 2021.–2027. gada periodā (2021/C 373/01) ostas  ir minētas piemēru pārbaudes sarakstā, par kurām jāveic oglekļa pēdas novērtējums, pasākuma ietvaros netiek plānots atbalstīt darbības, kas saistītas ar ostu izveidi, paplašināšanu, jaudas palielināšanu vai jebkādām citām darbībām, kas atstātu negatīvo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paredz krasta elektroapgādes punktu izveidi un/vai drošu kuģošanas apstākļu nodrošināšanu. Abām šīm darbībām ir pozitīva ietekme uz SEG emisiju mazināšanu.  Projektu iesniegumu vērtēšanas kritēriji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iesniegumā sniegta detalizēta informācija par plānotajām darbībām krasta elektroapgādes punkta/-u jūras kuģiem izveidei un  drošu kuģošanas apstākļu nodrošināšanai, ietverot informāciju par skaitliski aprēķinātiem sasniedzamajiem rādītājiem  ostu negatīvās ietekmes uz vidi mazināšanai, termiņiem to sasniegšanai, kā arī metodēm to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iesniegumā ietvertās informācijas ir secināms, ka projektā tiks īstenota ne mazāk kā viena darbība kas paredz siltumnīcefekta gāzu emisiju samazināšanu vai CO2 piesaistes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42.6.apakšpunktu projekta iesniedzējs ievēro un uzkrāj datus par projekta ietekmi uz horizontālā principa "Klimatnodrošināšana" rādītājiem - pasākuma īstenošanas rezultātā radīto siltumnīcefekta gāzu emisiju samazināšanu vai CO2 piesaistes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Komercdarbības atbalsta piešķiršanas diena ir diena darbību īstenošanai saskaņā ar Regulas (ES) Nr.651/2014 nosacījumiem ir diena, kad finansējuma saņēmējam tiek paziņots par projekta atbilstību visām izvirzītajām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būtu skaidri saprotams, kurš brīdis tiek uzskatīts par atbalsta piešķiršanas dienu, ar kuru iestājas noteiktas tiesiskās sekas, procesuālās darbības un termiņi, lūdzam precizēt noteikumu projekta 35. punkta redakciju,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komercdarbības atbalsta piešķiršanas brīdi uzskata dienu, kad pieņemts atbalsta sniedzēja lēmums par projekta apstiprināšanu vai atzinums par nosacījumu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 precizējums atbilstoši FM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komercdarbības atbalsta piešķiršanas brīdi uzskata dienu, kad pieņemts atbalsta sniedzēja lēmums par projekta apstiprināšanu vai atzinums par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attīstīt lielo ostu publiskās infrastruktūru atbilstoši virzībai uz klimatneitralitātes un nodrošināt klimatnoturību, tai skaitā, veicināt videi draudzīgas ostas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nepieciešams iekļaut rezultatīvos rādītājus attiecībā uz klimata aspektiem – uzstādītā AER jauda, aizstātie fosilie kurināmie un attiecīgais SEG emisiju ietaupījums.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sniegta detalizēta informācija par plānotajām darbībām krasta elektroapgādes punkta/-u jūras kuģiem izveidei un  drošu kuģošanas apstākļu nodrošināšanai, ietverot informāciju par skaitliski aprēķinātiem sasniedzamajiem rādītājiem (atbilstoši vadlīnijām Economic Appraisal Vademecum 2021-2027 General Principles and Sector Applications aprēķināta ietekme uz siltumnīcefekta gāzu emisijām) ostu negatīvās ietekmes uz vidi mazināšanai, termiņiem to sasniegšanai, kā arī metodēm to uzskaitei.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īstenota ne mazāk kā viena darbība kas paredz siltumnīcefekta gāzu emisiju samazināšanu vai CO2 piesaistes palielināšanu. Projekta iesniegumā iesniedzams detalizēts skaidrojums, kā projekta īstenošanas rezultātā tiks veicināta siltumnīcefekta gāzu emisiju samazināšanu vai CO2 piesaistes palielināšana. Finansējuma saņēmējs uzkrāj datus par projekta ietekmi uz horizontālā principa "Klimatnodrošināšana" rādītājiem - pasākuma īstenošanas rezultātā radīto siltumnīcefekta gāzu emisiju samazināšanu vai CO2 piesaistes palielināšanu.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5.4.1.tabulu papildināt ar atbilstošo noteikumu projekta punktu izvērtējumu atbilstoši Regulas (ES) Nr. 651/2014 attiecīgajām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5.4.1.tabula papildināta ar atbilstošo noteikumu projekta punktu izvērtējumu atbilstoši Regulas (ES) Nr. 651/2014 attiecīgajām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zemāk minēto rindkopu papildināt, skaidri norādot, ka infrastruktūrai, kas nav saņēmusi komercdarbības atbalstu, visā tās lietderīgās izmantošanas laikā ir jāsaglabā nesaimniecisks raksturs, ja iespējams, norādot šo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Konkurences ģenerāldirektorāta izstrādātajos vadlīniju dokumentos par valsts atbalstu ostu infrastruktūrai noteikts, ka ostu infrastruktūras, kuru nav paredzēts komerciāli izmantot (tajā skaitā infrastruktūrai navigācijas kontroles un drošības uzlabošanai) finansēšanai nav piemērojami valsts atbalsta nosacījumi. Tā kā drošu kuģošanas apstākļu nodrošināšana ir viena no pasākuma ietvaros iekļautajām atbalstāmajām darbībām, tiek ņemts vērā, ka finansējuma ieguldījumi šiem mērķiem netiks uzskatīti par valsts atbalstu komercdarbībai."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 papildināta atbilstoši FM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sadaļas 1. – 5. punktus, lai tajos norādītā informācija par ietekmi uz budžetu nav pretrunā noteikumu projekta 9.punktā un anotācijas 3.sadaļas 6.punktā sniegtajai informācijai, proti, saskaņā ar noteikumu projekta 9.punktu projekta iesniedzēja līdzfinansējums ir privātais finansējums, attiecīgi tas nav norādāms anotācijas 3.sadaļas 2.punktā kā budžeta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 sadaļas punktā “Cita informācija” norādīt, ka Kohēzijas fonda finansējums pasākumu īstenošanai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FM norādījumam.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1. tabulu papildināt ar noteikumu projekta punktu izvērtējumu atbilstoši Regulas (ES) Nr. 651/2014 attiecīgajām normām. Vienlaikus lūdzam tabulu papildināt ar informāciju, ka Satiksmes ministrija 20 darba dienu laikā pēc noteikumu spēkā stāšanās iesniegs Eiropas Komisijai pasākuma kopsavilkuma informāciju,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3.1.prioritātes "Ilgtspējīga TEN-T infrastruktūra”  3.1.1.specifiskā atbalsta mērķa “Attīstīt ilgtspējīgu, pret klimatu izturīgu, inteliģentu, drošu un vairākveidu TEN-T infrastruktūru” 3.1.1.6.pasākuma “Lielo ostu publiskās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ministrijas ierosinātie grozījumi Eiropas Savienības Kohēzijas politikas programmā 2021.-2027.gadam, kas paredz samazināt 3.1.1.6.pasākumam "Lielo ostu publiskās infrastruktūras attīstība" pieejamo finansējumu un attiecīgi arī sasniedzamo rādītāju, vēl nav apstiprināti nacionālā līmenī un secīgi Eiropas Komisijā, lūdzam papildināt protokollēmuma projektu ar jaunu punktu  piedāvātajā redakcijā, kā arī izsekojamībai izvērstāku informāciju iekļaut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atbilstoši FM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3.1.prioritātes "Ilgtspējīga TEN-T infrastruktūra”  3.1.1.specifiskā atbalsta mērķa “Attīstīt ilgtspējīgu, pret klimatu izturīgu, inteliģentu, drošu un vairākveidu TEN-T infrastruktūru” 3.1.1.6.pasākuma “Lielo ostu publiskās infrastruktūras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atbalsta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1.3.apakšpunktu piedāvātajā redakcijā, lai nodrošinātu atbilstību Eiropas Savienības fondu 2021.—2027. gada plānošanas perioda vadības likuma 19. panta 13. punktā ietvertajam deleģējumam, ņemot vērā, ka minētajā deleģējumā nav norādes uz atbalsta veidu, un tas ir viens no vispārīgajiem noteikumu projektā ietveramajiem ar projekta īstenošanu saistītajiem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Finanšu ministrijas komentāram.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komercdarbības atbalsta piešķiršanu, lūdzam papildināt noteikumu projekta 1.5. apakšpunktu aiz vārda "nosacījumus" ar vārdiem "tostarp komercdarbības atbalsta piešķiršanas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 tostarp komercdarbības atbalsta piešķiršanas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līdz 2029. gada 31. decembrim ir sasniedzams šāds specifiskais iznākuma rādītājs: "Ostu skaits, kurās veiktas investīcijas videi draudzīgas ostu publiskās infrastruktūras attīstībā – divas ostas".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3.punktā precizēt rādītāja nosaukumu atbilstoši Eiropas Savienības kohēzijas politikas programmā 2021.-2027.gadam (turpmāk - Programma) plānotajam ("</w:t>
            </w:r>
            <w:r w:rsidR="00000000" w:rsidRPr="00000000" w:rsidDel="00000000">
              <w:rPr>
                <w:i w:val="1"/>
                <w:rtl w:val="0"/>
              </w:rPr>
              <w:t xml:space="preserve">Ostu skaits, kurās veiktas investīcijas publiskās infrastruktūras attīstībā, t.sk., videi draudzīgas ostas infrastruktūras attīstībā, alternatīvo degvielu pieejamības, elektrotīkla pieslēgumiem pie piestātnēm un drošu kuģošanas apstākļu nodrošināšanā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norādīto informāciju anotācijas 1.3.sadaļas "Pašreizējā situācija, problēmas un risinājumi" 2.rindkopas tekstā, norādot, ka finansējuma saņēmēji būs Liepājas speciālās ekonomiskās zonas pārvalde un Ventspils brīvostas pārvalde, nevis Rīgas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FM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līdz 2029. gada 31. decembrim ir sasniedzams šāds iznākuma rādītājs: "Ostu skaits, kurās veiktas investīcijas publiskās infrastruktūras attīstībā, t.sk., videi draudzīgas ostas infrastruktūras attīstībā, alternatīvo degvielu pieejamības, elektrotīkla pieslēgumiem pie piestātnēm un drošu kuģošanas apstākļu nodrošināšanā - atbalstu saņēmušas divas ostas".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saskaņā ar šajos noteikumos minētajiem nosacījumiem izmaksā Centrālā finanšu un līgumu aģentūra (turpmāk – aģentūra), noslēdzot vienošanos ar finansējuma saņēmējiem par šo noteikumu 9.punktā minētā finansējuma izlietošanas un uzraudzības kārtību, kā arī citiem projektu īstenošanas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8.punktu, jo nav viennozīmīgi skaidra punktā iekļautās normas lietderība un šī punkta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noteikumu projekta 40.1.apakšpunktu, aizstājot vārdu "aģentūra" ar vārdiem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8.punkts. 40.1.apakšpunkts precizēts atbilstoši FM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9 545 881 </w:t>
            </w:r>
            <w:r w:rsidR="00000000" w:rsidRPr="00000000" w:rsidDel="00000000">
              <w:rPr>
                <w:i w:val="1"/>
                <w:rtl w:val="0"/>
              </w:rPr>
              <w:t xml:space="preserve">euro</w:t>
            </w:r>
            <w:r w:rsidR="00000000" w:rsidRPr="00000000" w:rsidDel="00000000">
              <w:rPr>
                <w:rtl w:val="0"/>
              </w:rPr>
              <w:t xml:space="preserve">, tai skaitā Eiropas Savienības Kohēzijas fonda finansējums 8 113 999 </w:t>
            </w:r>
            <w:r w:rsidR="00000000" w:rsidRPr="00000000" w:rsidDel="00000000">
              <w:rPr>
                <w:i w:val="1"/>
                <w:rtl w:val="0"/>
              </w:rPr>
              <w:t xml:space="preserve">euro </w:t>
            </w:r>
            <w:r w:rsidR="00000000" w:rsidRPr="00000000" w:rsidDel="00000000">
              <w:rPr>
                <w:rtl w:val="0"/>
              </w:rPr>
              <w:t xml:space="preserve">(tai skaitā elastības finansējuma apjoms – 1 282 414 </w:t>
            </w:r>
            <w:r w:rsidR="00000000" w:rsidRPr="00000000" w:rsidDel="00000000">
              <w:rPr>
                <w:i w:val="1"/>
                <w:rtl w:val="0"/>
              </w:rPr>
              <w:t xml:space="preserve">euro</w:t>
            </w:r>
            <w:r w:rsidR="00000000" w:rsidRPr="00000000" w:rsidDel="00000000">
              <w:rPr>
                <w:rtl w:val="0"/>
              </w:rPr>
              <w:t xml:space="preserve">) un privātais finansējums – ne mazāks kā 1 431 882 </w:t>
            </w:r>
            <w:r w:rsidR="00000000" w:rsidRPr="00000000" w:rsidDel="00000000">
              <w:rPr>
                <w:i w:val="1"/>
                <w:rtl w:val="0"/>
              </w:rPr>
              <w:t xml:space="preserve">euro</w:t>
            </w:r>
            <w:r w:rsidR="00000000" w:rsidRPr="00000000" w:rsidDel="00000000">
              <w:rPr>
                <w:rtl w:val="0"/>
              </w:rPr>
              <w:t xml:space="preserve"> (tai skaitā elastības finansējuma apjoms 226 308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10.punktā plānoto finansējumu tā, lai Eiropas Savienības kohēzijas fonda finansējums nepārsniegtu 85% no kopējā plānotā finansējuma. Lūdzam, veicot precizējumus, salāgot informāciju par pieejamo un plānoto finansējumu ar anotācijā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FM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finansējums ir 9 545 882 </w:t>
            </w:r>
            <w:r w:rsidR="00000000" w:rsidRPr="00000000" w:rsidDel="00000000">
              <w:rPr>
                <w:i w:val="1"/>
                <w:rtl w:val="0"/>
              </w:rPr>
              <w:t xml:space="preserve">euro</w:t>
            </w:r>
            <w:r w:rsidR="00000000" w:rsidRPr="00000000" w:rsidDel="00000000">
              <w:rPr>
                <w:rtl w:val="0"/>
              </w:rPr>
              <w:t xml:space="preserve">, tai skaitā Eiropas Savienības Kohēzijas fonda finansējums 8 113 999 </w:t>
            </w:r>
            <w:r w:rsidR="00000000" w:rsidRPr="00000000" w:rsidDel="00000000">
              <w:rPr>
                <w:i w:val="1"/>
                <w:rtl w:val="0"/>
              </w:rPr>
              <w:t xml:space="preserve">euro </w:t>
            </w:r>
            <w:r w:rsidR="00000000" w:rsidRPr="00000000" w:rsidDel="00000000">
              <w:rPr>
                <w:rtl w:val="0"/>
              </w:rPr>
              <w:t xml:space="preserve">(tai skaitā elastības finansējuma apjoms – 1 282 414 </w:t>
            </w:r>
            <w:r w:rsidR="00000000" w:rsidRPr="00000000" w:rsidDel="00000000">
              <w:rPr>
                <w:i w:val="1"/>
                <w:rtl w:val="0"/>
              </w:rPr>
              <w:t xml:space="preserve">euro</w:t>
            </w:r>
            <w:r w:rsidR="00000000" w:rsidRPr="00000000" w:rsidDel="00000000">
              <w:rPr>
                <w:rtl w:val="0"/>
              </w:rPr>
              <w:t xml:space="preserve">) un privātais finansējums – ne mazāks kā 1 431 883 </w:t>
            </w:r>
            <w:r w:rsidR="00000000" w:rsidRPr="00000000" w:rsidDel="00000000">
              <w:rPr>
                <w:i w:val="1"/>
                <w:rtl w:val="0"/>
              </w:rPr>
              <w:t xml:space="preserve">euro</w:t>
            </w:r>
            <w:r w:rsidR="00000000" w:rsidRPr="00000000" w:rsidDel="00000000">
              <w:rPr>
                <w:rtl w:val="0"/>
              </w:rPr>
              <w:t xml:space="preserve"> (tai skaitā elastības finansējuma apjoms 226 308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iesniedzēji ir Ventspils brīvostas pārvalde un Liepājas speciālās ekonomiskās zonas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 punktu, ka pēc projekta iesnieguma apstiprināšanas projekta iesniedzējs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 ja tas nav atgūstams.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25.punktu, papildinot to aiz vārdiem "ja tas nav atgūstams" ar vārdiem "</w:t>
            </w:r>
            <w:r w:rsidR="00000000" w:rsidRPr="00000000" w:rsidDel="00000000">
              <w:rPr>
                <w:u w:val="single"/>
                <w:rtl w:val="0"/>
              </w:rPr>
              <w:t xml:space="preserve">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komentāram.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projekta iesniedzēja sagatavotu izvērtējumu par komercdarbības atbalstu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kurām darbībām atbilstoši noteikumu projekta 14. punktam izvērtējums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sniegt skaidrojumu, kāds izvērtējums par komercdarbības atbalstu šajā gadījumā ir domāts (piemēram, vai izvērtējums saskaņā ar 4 komercdarbības atbalsta pazīmēm).  Papildus, lūdzam izvērtēt vai komercdarbības atbalsta izvērtējums ir nepieciešams kā papildus pielikums projekta iesniegumam vai var tikt iekļauts projekta iesniegumā, lai samazinātu papildus iesniedzamo dokumentu skaitu projekta iesniedzējam.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papildus iesniedzamo dokumentu skaitu projekta iesniedzējam,  komercdarbības atbalsta izvērtējums iekļaujams projekta iesniegumā. Precizēts noteikumu projekta punkts un anotācijā iekļauta papildus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Izmaksas ir attiecināmas no projekta iesnieguma iesniegšanas dienas. Būvdarbu līgumu slēdz un ar ieguldījumiem saistītus būvdarbus uzsāk pēc projekta iesnieguma iesniegšanas, izņemot projekta pamatojošās dokumentācijas sagatavošanas izmaksas, kas ir attiecināmas, ja tās veiktas pēc 2024.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un skaidru normas piemērošanu, aicinām papildināt noteikumu projekta 25. punktu, norādot, kur jāiesniedz projekta iesniegums, t.i.,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Izmaksas ir attiecināmas no projekta iesnieguma iesniegšanas dienas Kohēzijas politikas fondu vadības informācijas sistēmā. Būvdarbu līgumu slēdz un ar ieguldījumiem saistītus būvdarbus uzsāk pēc projekta iesnieguma iesniegšanas, izņemot projekta pamatojošās dokumentācijas sagatavošanas izmaksas, kas ir attiecināmas, ja tās veiktas pēc 2024.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27.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Piemērojot Regulas (ES) 651/2014 56 b) panta 5.a) punktu, komercdarbības atbalsta intensitāte šo noteikumu 16.1. apakšpunktā norādītās darbības īstenošanai ir līdz 100 procentu apmērā no darbības īstenošanas attiecināmajām izmaksām, vienlaikus ņemot vērā Regulas (ES) 651/2014 56 b) panta 4.punkta nosacījumus. Atbalsta intensitāte atbilst regulas Nr.651/2014 2.panta 26.punktā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28. punktā lietoto atsauci uz norādīto atbalstāmo darbību atbilstoši aktuālajai noteikumu projekta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Finanšu ministrijas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Piemērojot Regulas (ES) 651/2014 56 b) panta 5.a) punktu, komercdarbības atbalsta intensitāte šo noteikumu </w:t>
            </w:r>
            <w:r w:rsidR="00000000" w:rsidRPr="00000000" w:rsidDel="00000000">
              <w:rPr>
                <w:rtl w:val="0"/>
              </w:rPr>
              <w:t xml:space="preserve">13.1. </w:t>
            </w:r>
            <w:r w:rsidR="00000000" w:rsidRPr="00000000" w:rsidDel="00000000">
              <w:rPr>
                <w:rtl w:val="0"/>
              </w:rPr>
              <w:t xml:space="preserve">apakšpunkt</w:t>
            </w:r>
            <w:r w:rsidR="00000000" w:rsidRPr="00000000" w:rsidDel="00000000">
              <w:rPr>
                <w:rtl w:val="0"/>
              </w:rPr>
              <w:t xml:space="preserve">ā norādītās darbības īstenošanai ir līdz 100 procentu apmērā no darbības īstenošanas attiecināmajām izmaksām, vienlaikus ņemot vērā Regulas (ES) 651/2014 56 b) panta 4.punkta nosacījumus. Atbalsta intensitāte atbilst regulas Nr.651/2014 2.panta 26.punktā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 punktu vai anotāciju,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noteikumu projektā ir paredzēta infrastruktūra, tad noteikumu projektā ir jāiekļauj nosacījums par finansējuma saņēmēja tiesībām uz konkrēto objektu vai īpašumu, kurā plānots veikt ieguldījumus (īpašumā, ilgtermiņa nomā vai nodibinātas apbūves tiesības, bezatlīdzības lietošanā, valdījumā, turējumā u.c.). Finansējuma saņēmēja tiesībām uz konkrēto objektu vai īpašumu jābūt nostiprinātām Zemesgrāmatā (ja attiecināms). Ja minētajam nosacījumam saskaņā ar nacionālo regulējumu ir izņēmums, tas attiecīgi aprakstāms noteikumu projekta anotācijā. Lūdzam atbilstoši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42.4.un 42.2.apakšpunktu atbilstoši FM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30.2.4. horizontālo principu "Nenodarīt būtisku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ka investīcijas īstenošanas laikā tiks nodrošinātas nepieciešamās darbības un ievēroti nosacījumi, kas identificēti horizontālā principa “Nenodarīt būtisku kaitējumu” (Do no significant harm – DNSH) novērtējumā, lai nodrošinātu, ka tiek novērsta vai mazināta pasākuma ietvaros atbalstāmo darbību ietekme uz vidi, kā arī lūdzam papildināt anotāciju ar veicamajām darbībām un nosacījumiem finansējuma saņēmējiem, kas identificēti DNSH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arī ar informāciju, norādot, vai pasākumam būs tieša vai netieša ietekme uz DNSH principa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papildināta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projekta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arī inovatīva iepirkuma nosacījumu piemērošanas iekļaušanu noteikumu projektā, vai arī anotācijā norādīt, kāpēc tas netiek plānots un to nav iespējams 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31.punktu, aizstājot vārdus "līguma par projekta īstenošanu" ar vārdiem "vienošanās par projekta īstenošanu", ņemot vērā, ka projekta iesniedzējs ir atvasināta publiska persona, un lai nodrošinātu atbilstību Eiropas Savienības fondus regulējošajos normatīvajos aktos lietotajai terminoloģijai. Vēršam uzmanību, ka arī noteikumu projekta 29. punktā tiek minēta </w:t>
            </w:r>
            <w:r w:rsidR="00000000" w:rsidRPr="00000000" w:rsidDel="00000000">
              <w:rPr>
                <w:u w:val="single"/>
                <w:rtl w:val="0"/>
              </w:rPr>
              <w:t xml:space="preserve">vienošanās</w:t>
            </w:r>
            <w:r w:rsidR="00000000" w:rsidRPr="00000000" w:rsidDel="00000000">
              <w:rPr>
                <w:rtl w:val="0"/>
              </w:rPr>
              <w:t xml:space="preserve">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Atbalstu, ko piešķir šo noteikumu ietvaros, var summēt (kumulēt) ar citu komercdarbības atbalstu un de minimis atbalstu, atbilstoši Komisijas regulas (ES) Nr. 1407/2013 par Līguma par Eiropas Savienības darbību 107. un 108. panta piemērošanu de minimis atbalstam 5.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pasākuma ietvaros tiek piešķirts ar Komisijas 2014. gada 17. jūnija Regulu (ES) Nr. 651/2014, ar ko noteiktas atbalsta kategorijas atzīst par saderīgām ar iekšējo tirgu, piemērojot Līguma 107. un 108. pantu (turpmāk – Regula (ES) Nr. 651/2014), un ir nepieciešams skaidrāk noteikt atbalsta kumulācijas nosacījumus, lūdzam noteikumu projekta 31.punktu izteikt, piemēram, tālāk piedāvātajā redakcijā. Papildus vēršam uzmanību, ka atbilstoši Komisijas 2013. gada 18. decembra Regulas (ES) Nr. 1407/2013 par Līguma par Eiropas Savienības darbību 107. un 108. panta piemērošanu de minimis atbalstam 8. pantam un 7. panta 4. punktam iepriekš minētās regulas darbības termiņš ir 30.06.2024. Lūdzam precizēt arī anotācijas 5.4.1. tabulā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ietvaros piešķirto atbalstu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finansējuma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izteikts jaunā redakcijā, ņemot vērā Finanšu ministrijas komentāru.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ietvaros piešķirto atbalstu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finansējuma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ka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īstenotās darbības rezultātā radītās ostas infrastruktūra saskaņā ar Regulas (ES) Nr.651/2014 56.b panta 7.punktā noteikto ieinteresētajiem lietotājiem pieejama vienlīdzīgā un nediskriminējošā veidā atbilstoši tirgus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Regulas (ES) Nr.651/2014 56.b panta punktu, saskaņā ar minēto regulu.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ka šo noteikumu 14.1. apakšpunktā  īstenotās darbības rezultātā radītās ostas infrastruktūra saskaņā ar Regulas (ES) Nr.651/2014 56.b panta </w:t>
            </w:r>
            <w:r w:rsidR="00000000" w:rsidRPr="00000000" w:rsidDel="00000000">
              <w:rPr>
                <w:b w:val="1"/>
                <w:rtl w:val="0"/>
              </w:rPr>
              <w:t xml:space="preserve">8.punktā</w:t>
            </w:r>
            <w:r w:rsidR="00000000" w:rsidRPr="00000000" w:rsidDel="00000000">
              <w:rPr>
                <w:rtl w:val="0"/>
              </w:rPr>
              <w:t xml:space="preserve"> noteikto ieinteresētajiem lietotājiem pieejama vienlīdzīgā un nediskriminējošā veidā atbilstoši tirgus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atbilstoši CFLA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nodrošina, ka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īstenotās darbības rezultātā radītās ostas infrastruktūra saskaņā ar Regulas (ES) Nr.651/2014 56.b panta 8.punktā noteikto ieinteresētajiem lietotājiem pieejama vienlīdzīgā un nediskriminējošā veidā atbilstoši tirgus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projektā plānoto darbu sasaisti, sinerģiju un demarkāciju ar citu atbalsta instrumentu investīcijām. Ja ir sasaiste ar citiem valsts vai ārvalstu atbalsta instrumentiem, finansējuma saņēmējs nodrošina, ka neiestājas dubultfinansējuma risks, kā arī nodrošina, atbilstoši komercdarbības atbalsta regulējumam (ja attiecināms) atbalsta summēšanas (kumulācijas) nosacījumu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dubultā finansējuma neiestāšanās nodrošināma ne tikai attiecībā uz citiem valsts un ārvalstu finanšu atbalsta instrumentiem, bet </w:t>
            </w:r>
            <w:r w:rsidR="00000000" w:rsidRPr="00000000" w:rsidDel="00000000">
              <w:rPr>
                <w:u w:val="single"/>
                <w:rtl w:val="0"/>
              </w:rPr>
              <w:t xml:space="preserve">arī konkrētā projekta īstenošanai piešķirtā finansējuma ietvaros darbības nedrīkst tikt finansētas dubultā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noteikumu projekta 40.2. apakšpunktā vārdus "Ja ir sasaiste ar citiem valsts vai ārvalstu atbalsta instrumentiem, finansējuma saņēmējs nodrošina, ka neiestājas dubultfinansējuma risks" ar vārdiem "Finansējuma saņēmējs nodrošina, ka projektā plānotās attiecināmās izmaksas netiek finansētas vai līdzfinansētas, kā arī tās nav plānots finansēt vai līdzfinansēt no citiem valsts un ārvalstu finanšu atbalsta instrumentiem, un dubultā finansējuma neiestāšanos", atbilstoši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projektā plānoto darbu sasaisti, sinerģiju un demarkāciju ar citu atbalsta instrumentu investīcijām. </w:t>
            </w:r>
            <w:r w:rsidR="00000000" w:rsidRPr="00000000" w:rsidDel="00000000">
              <w:rPr>
                <w:u w:val="single"/>
                <w:rtl w:val="0"/>
              </w:rPr>
              <w:t xml:space="preserve">Finansējuma saņēmējs nodrošina, ka projektā plānotās attiecināmās izmaksas netiek finansētas vai līdzfinansētas, kā arī tās nav plānots finansēt vai līdzfinansēt no citiem valsts un ārvalstu finanšu atbalsta instrumentiem, un dubultā finansējuma neiestāšanos</w:t>
            </w:r>
            <w:r w:rsidR="00000000" w:rsidRPr="00000000" w:rsidDel="00000000">
              <w:rPr>
                <w:rtl w:val="0"/>
              </w:rPr>
              <w:t xml:space="preserve">, kā arī nodrošina, atbilstoši komercdarbības atbalsta regulējumam (ja attiecināms) atbalsta summēšanas (kumulācijas) nosacījumu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Finanšu ministrijas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projektā plānoto darbu sasaisti, sinerģiju un demarkāciju ar citu atbalsta instrumentu investīcijām. Finansējuma saņēmējs nodrošina, ka projektā plānotās attiecināmās izmaksas netiek finansētas vai līdzfinansētas, kā arī tās nav plānots finansēt vai līdzfinansēt no citiem valsts un ārvalstu finanšu atbalsta instrumentiem, un dubultā finansējuma neiestāšanos, kā arī nodrošina, atbilstoši komercdarbības atbalsta regulējumam (ja attiecināms) atbalsta summēšanas (kumulācijas) nosacījumu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nodrošina sasniegto rezultātu ilgtspēju vismaz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MK noteikumu 13.1. apakšpunktā norādītās darbības īstenošanai paredzēts saskaņā ar Regulas (ES) Nr.651/2014 56 b) pantu, lūdzam MK noteikumos iekļaut papildus nosacījumu, ka, ja komercdarbības atbalstu sniedz saskaņā ar regulas Nr. 651/2014 56. b) pantu, sadarbības iestāde nodrošina projekta uzraudzību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42.punktu "Ja komercdarbības atbalstu sniedz saskaņā ar regulas Nr. 651/2014 56. b) pantu, sadarbības iestāde nodrošina projekta uzraudzību projekta dzīves ciklā".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nodrošina sasniegto rezultātu ilgtspēju vismaz piecus gadus pēc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sadaļā "Citu horizontālo principu ievērošana" [..projekta iesnieguma vērtēšanā tiks piemērots HP VINPI specifiskais atbilstības kritērijs un sociāli atbildīgs iepirkums.] ar atsauci uz inovatīva iepirkuma piemērošanu atbilstoši MK noteikumu 42.12.apakšpunktam.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"Citu horizontālo principu ievērošana" rindkopa precizēta izsakot šādā redakcijā: "Pasākumam nav ietekmes uz horizontālo principu "Vienlīdzība, iekļaušana, nediskriminācija un pamattiesību ievērošana" (HP VINPI).  Vienlaikus pasākuma ietvaros paredzēts īstenot ne mazāk kā vienu vispārīgo HP VINPI darbību, kas veicina dzimumu līdztiesību un personu ar invaliditāti iekļaušanu, kā arī projekta iesnieguma vērtēšanā tiks piemērots HP VINPI specifiskais atbilstības kritērijs. Ieteicama ir sociāli atbildīga iepirkuma un inovatīva iepirkuma veikšana".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ņemot vērā projektu iesniegumu vērtēšanas kritēriju piemērošanas metodikā noteikto, ka projekta īstenošanā jāveic ne mazāk kā viena vispārīgā HP VINPI darbība. Sociāli atbildīga iepirkuma veikšana ir viena no ieteicamajām HP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kādiem līdzekļiem tiks nodrošināta pasākuma rezultātu/ rādītāju ilgtspēja/uzturēšana.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 un uzturēšana. Krasta elektroapgādes infrastruktūras un drošu kuģošanas apstākļu nodrošināšanas infrastruktūras uzturēšana tiek veikta par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finansējuma saņēmējiem paredzēta iespēja saņemt avansu, lūdzam anotācijā iekļaut informāciju un pamatot piešķiramā avansa maksimālā apjoma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kādā veidā un atbilstoši kādiem kritērijiem tika noteikti plānotie projektu iesniedzēji (Ventspils brīvostas pārvalde un Liepājas SEZP), t.sk. pamatojot izvēlēto projektu iesniedzēju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"Pašreizējā situācija, problēmas un risinājumi" papildināta ar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sniegtajai informācijai ir tikuši pieņemti lēmumi nacionālajā līmenī par Rīgas brīvostas teritorijā nepieciešamajām investīcijām atjaunojamo energoresursu iekārtu komponenšu ražošanas un loģistikas kompleksa atbalsta infrastruktūras izveidei, proti, 2023.gada 19.oktobra ES fondu uzraudzības komitejas sēdē tika konceptuāli atbalstīta Eiropas Savienības kohēzijas politikas programmas 2021.–2027.gadam investīciju pārstrukturēšana, pārdalot finansējumu Rīgas brīvostas teritorijā plānoto investīciju projekta īstenošanai 64,6 milj. euro apmērā (tajā skaitā 54,9 milj. euro ES fondu finansējuma daļa), kas indikatīvi veido 1,31% no katras ministrijas investīciju ES fondu investīciju portfeļa. Ministrija ES fondu finansējumu 11,8 milj. euro apmērā Rīgas brīvostas teritorijā plānoto investīciju projekta īstenošanai pārdalīja no vairākiem pasākumiem, t.sk. no 3.1.1.6.pasākuma. Balstoties uz ierosināto investīciju pārdali Finanšu ministrija ir sagatavojusi  grozījumus Eiropas Savienības kohēzijas politikas programmā 2021.–2027. gadam, kas pieejami Vienotajā tiesību aktu izstrādes un saskaņošanas portālā ar Nr.24-TA-124 “Grozījumi Ministru kabineta 2021. gada 16. novembra rīkojumā Nr. 841 “Par Eiropas Savienības kohēzijas politikas programmu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pārdales ietvaros 3.1.1.6.pasākumam pieejamais Kohēzijas fonda finansējums samazināts no 14 790 000 euro uz 8 113 999 euro. Ņemot vērā būtisko finansējuma samazinājumu, tika samazināts arī 3.1.1.6.pasākuma īstenošanā sasniedzamais rezultatīvais rādītājs – atbalstu saņēmušo ostu skaits, sašaurinot finansējuma saņēmēju loku un izslēdzot RBP kā iespējamo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 pasākuma ietvaros paredzēts lielajām ostām (Latvijā ir trīs lielās ostas) un ņemot vērā, ka ierosinātā finansējuma pārdale jau paredz ieguldījumus Rīgas brīvostā, pasākuma ietvaros kā potenciālie finansējuma saņēmēji noteiktas abas pārējās lielo ostu pārvaldes -  Liepājas speciālās ekonomiskās zonas pārvalde un Rīgas brīvostas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Citi faktori." ar aprakstu par katru horizontālo principu (turpmāk – HP), norādot, kāda veida informācija būs jāsniedz projektā, kā arī, kāda veida dati jāuzkrāj atbilstoši MK noteikumu projekta 30.2.apakšpunktam, lai sniegtu skaidru un nepārprotamu informāciju par HP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salāgot anotācijā sniegto informāciju sadaļā "Citi faktori" ar kritēriju komplektā (specifiskais kritērijs Nr.3.6.) noteikto "Nav ietekmes uz HP VINPI" (attiecībā uz HP VINPI ietekmes intensitāti horizontālajiem principiem "Vienlīdzība, iekļaušana, nediskriminācija, un pamattiesību ievērošana", "Klimatnodrošināšana" un "Energoefektivitāte pirmajā vietā”).  Gadījumā, ja pasākumam ir netieša ietekme uz HP "Vienlīdzība, iekļaušana, nediskriminācija, un pamattiesību ievērošana", lūdzam noteikumu projektā iekļaut 1 HP rādītāju, kāds tiks sasniegts, īstenojot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 papildināta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ka finansējuma saņēmējs ievēro komunikācijas un vizuālās identitātes prasību nodrošināšanas pasākumus saskaņā ar Regulas 2021/1060 47. un 50. pantu un normatīvajiem aktiem par kārtību, kādā Eiropas Savienības fondu vadībā iesaistītās institūcijas nodrošina šo fondu ieviešanu 2021. – 2027. gada plānošanas periodā, </w:t>
            </w:r>
            <w:r w:rsidR="00000000" w:rsidRPr="00000000" w:rsidDel="00000000">
              <w:rPr>
                <w:u w:val="single"/>
                <w:rtl w:val="0"/>
              </w:rPr>
              <w:t xml:space="preserve">kā arī ievēro Eiropas Savienības fondu 2021. – 2027. gada plānošanas perioda un Atveseļošanas fonda komunikācijas un dizaina vadlīnijas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rindkopu "Finansējuma saņēmējs ievēro komunikācijas un vizuālās identitātes prasību nodrošināšanas pasākumus saskaņā ar Regulas 2021/1060 47. un 50. pantu un normatīvajiem aktiem par kārtību, kādā Eiropas Savienības fondu vadībā iesaistītās institūcijas nodrošina šo fondu ieviešanu 2021. – 2027. gada plānošanas periodā, kā arī ievēro Eiropas Savienības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norādot pasākuma ietvaros plānoto investīciju nozīmi un pienesumu Latvijas kopējai izaugsmei un tautsaimniecības attīstībai, ņemot vērā FM 2023.gada vēstulē Nr. 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w:t>
            </w:r>
            <w:r w:rsidR="00000000" w:rsidRPr="00000000" w:rsidDel="00000000">
              <w:rPr>
                <w:rtl w:val="0"/>
              </w:rPr>
              <w:t xml:space="preserve">Latvijas Nacionālajā attīstības plānā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"1.3. Pašreizējā situācija, problēmas un risinājumi" papildināta ar informāciju par pasākuma sasaisti ar nozaru politikas mērķiem un Latvijas Nacionālajā attīstības plānā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par sasniedzamajiem mērķiem katram atbalstāmo darbību blokam: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ostu drošības situācijas uzlabošanas pasākumi uzlabotu kopējo kuģu satiksmi ostās, mazinātu avāriju skaitu un gaidīšanas laiku pie ostām, kas savukārt veicinātu gaisa un ūdens piesārņojuma mazināšanos. Drošu kuģošanas apstākļu uzlabošana uzlabotu preču apriti ostās un tādējādi uzlabotu ostu konkurētspēju, tomēr atbalstāmā darbība nav tieši saistāma ar jaunu darbavietu radīšanu vai citiem skaitliski iepriekš noteiktiem ekonomiskajiem rādītājiem. Vienlaikus vēršam uzmanību, ka saskaņā ar projektu iesniegšanas nosacījumiem izmaksu un ieguvumu analīze tiks iesniegta vienlaikus ar projekta iesnieguma iesniegšanu Kohēzijas politikas fondu vadības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anotācijā ir pamatota krasta elektrifikācijas nepieciešamība ES līmeņa plānošanas dokumentu un regulējuma kontekstā. Būtiskākais ieguvums no elektrifikācijas pasākumiem ir nevis ekonomiskais aspekts, bet vides piesārņojuma mazināšana, kas izmērāmu  sasniedzamo rādītāju veidā projekta iesniedzējam jānorāda sagatavojot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arī anotācijā, Saskaņā ar ESPO publicēto viedokli, nav konstatēti gadījumi, kad krasta elektroapgādes infrastruktūra būtu izveidota komerciālos nolūkos, pat ne valstīs, kur atjaunojamā elektroenerģija ir lētāka nekā degviela, ko izmanto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sadaļas apakšsadaļu "Juridiskās personas" ar norādi uz Ventspils brīvostas pārvaldi, Liepājas speciālās ekonomiskās zonas pārvaldi un Satiksmes ministriju, savukārt atbilstošajā apakšsadaļā "Ietekmes apraksts" norādīt, ka Ventspils brīvostas pārvalde un Liepājas speciālās ekonomiskās zonas pārvalde pildīs finansējuma saņēmēja funkcijas, un Satiksmes ministrija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2.1.sadaļa papildināta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 punkta tabulā pozīcijai “KF finansējums” norādītos apmērus, jo, saskaitot tos kopā, sanāk 8 114 000 euro nevis 8 113 999 euro, kā arī pozīciju “KF finansējums” un “Projekta iesniedzēja līdzfinansējums” kopsumma sanāk 9 545 883 euro nevis 9 545 882 euro kā paredzēts noteikumu projekta 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anotācijas 3.sadaļā, veicot korektus finansējuma summu noapaļojumus. Attiecīgi precizējumi veikti arī noteikumu projekta 9.punktā.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6.1.sadaļā iekļaut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akta projektam no 29.02.2024.-14.03.2024.notika publiskās apspriešanas procedūra, kuras laikā attiecīgās jomas pārstāvošajām biedrībām, nodibinājumiem un nevalstiskajām organizācijām bija iespējas sniegt savus komentārus. Papildus, skaņojot projektu iesniegumu vērtēšanas kritērijus, noteikumu projekts un anotācija bija pieejama Eiropas Savienības  fondu 2021.-2027. gada plānošanas perioda Uzraudzības komitejai un apakškomitejai, kuru sastāvā ietilpst arī biedrības, nodibinājumi un nevalstiskās organizācijas.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ietekmi uz horizontālo principu "Vienlīdzība, iekļaušana, nediskriminācija un pamattiesību ievērošana", kā tas ir noteikts  Vadlīnijās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3.1.1.6. pasākumam nav ietekmes uz horizontālo principi "Vienlīdzība, iekļaušana, nediskriminācija un pamattiesību ievērošana" (HP VINPI). Vienlaikus pasākuma ietvaros paredzēts īstenot vispārīgas HP VINPI darbības, kuras veicina dzimumu līdztiesību un personu ar invaliditāti iekļaušanu, kā arī projekta iesnieguma vērtēšanā tiks piemērots HP VINPI specifiskais atbilstības kritērijs un sociāli atbildīgs iepirkums.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1.3.sadaļa "Pašreizējā situācija, problēmas un risininājumi" papildināta ar ar rindkopu "Pasākumam nav ietekmes uz horizontālo principu "Vienlīdzība, iekļaušana, nediskriminācija un pamattiesību ievērošana" (HP VINPI).  Vienlaikus pasākuma ietvaros paredzēts īstenot ne mazāk kā vienu vispārīgo HP VINPI darbību kas veicina dzimumu līdztiesību un personu ar invaliditāti iekļaušanu, kā arī projekta iesnieguma vērtēšanā tiks piemērots HP VINPI specifiskais atbilstības kritērijs un sociāli atbildīgs iepirkums".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24-TA-375</w:t>
    </w:r>
    <w:r>
      <w:br/>
    </w:r>
    <w:r w:rsidR="00000000" w:rsidRPr="00000000" w:rsidDel="00000000">
      <w:rPr>
        <w:rtl w:val="0"/>
      </w:rPr>
      <w:t xml:space="preserve">16.07.2024. 10.36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24-TA-375</w:t>
    </w:r>
    <w:r>
      <w:br/>
    </w:r>
    <w:r w:rsidR="00000000" w:rsidRPr="00000000" w:rsidDel="00000000">
      <w:rPr>
        <w:rtl w:val="0"/>
      </w:rPr>
      <w:t xml:space="preserve">16.07.2024. 10.36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Izziņa_24-TA-375.docx</dc:title>
</cp:coreProperties>
</file>

<file path=docProps/custom.xml><?xml version="1.0" encoding="utf-8"?>
<Properties xmlns="http://schemas.openxmlformats.org/officeDocument/2006/custom-properties" xmlns:vt="http://schemas.openxmlformats.org/officeDocument/2006/docPropsVTypes"/>
</file>