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F6A49" w14:textId="6346850E" w:rsidR="004B682F" w:rsidRDefault="00C67A99" w:rsidP="004D6497">
      <w:pPr>
        <w:spacing w:after="0" w:line="276" w:lineRule="auto"/>
        <w:rPr>
          <w:rFonts w:ascii="Roboto" w:hAnsi="Roboto"/>
          <w:b/>
          <w:sz w:val="24"/>
          <w:szCs w:val="24"/>
        </w:rPr>
      </w:pPr>
      <w:r w:rsidRPr="009D4925">
        <w:rPr>
          <w:rFonts w:ascii="Roboto" w:hAnsi="Roboto"/>
          <w:b/>
          <w:noProof/>
          <w:color w:val="000000" w:themeColor="text1"/>
          <w:sz w:val="24"/>
          <w:szCs w:val="24"/>
          <w:lang w:eastAsia="lv-LV"/>
        </w:rPr>
        <w:drawing>
          <wp:anchor distT="0" distB="0" distL="114300" distR="114300" simplePos="0" relativeHeight="251659264" behindDoc="1" locked="0" layoutInCell="1" allowOverlap="1" wp14:anchorId="3B78C9B8" wp14:editId="1DC1D08D">
            <wp:simplePos x="0" y="0"/>
            <wp:positionH relativeFrom="page">
              <wp:posOffset>23495</wp:posOffset>
            </wp:positionH>
            <wp:positionV relativeFrom="paragraph">
              <wp:posOffset>-750570</wp:posOffset>
            </wp:positionV>
            <wp:extent cx="7559040" cy="10696409"/>
            <wp:effectExtent l="0" t="0" r="381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9040" cy="10696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CAC1F" w14:textId="236B47D3" w:rsidR="004B682F" w:rsidRPr="004D6497" w:rsidRDefault="00A2118E" w:rsidP="004D6497">
      <w:pPr>
        <w:spacing w:after="0" w:line="276" w:lineRule="auto"/>
        <w:jc w:val="center"/>
        <w:rPr>
          <w:rFonts w:ascii="Roboto" w:hAnsi="Roboto"/>
          <w:b/>
          <w:sz w:val="24"/>
          <w:szCs w:val="24"/>
        </w:rPr>
      </w:pPr>
      <w:r w:rsidRPr="009D4925">
        <w:rPr>
          <w:rFonts w:ascii="Roboto" w:hAnsi="Roboto"/>
          <w:b/>
          <w:sz w:val="24"/>
          <w:szCs w:val="24"/>
        </w:rPr>
        <w:t>Rīgā</w:t>
      </w:r>
    </w:p>
    <w:p w14:paraId="79691402" w14:textId="353D2DA4" w:rsidR="002C5A07" w:rsidRPr="009D4925" w:rsidRDefault="00C43407" w:rsidP="00AE3CAE">
      <w:pPr>
        <w:spacing w:after="0" w:line="276" w:lineRule="auto"/>
        <w:jc w:val="right"/>
        <w:rPr>
          <w:rFonts w:ascii="Roboto" w:hAnsi="Roboto" w:cstheme="minorHAnsi"/>
          <w:b/>
          <w:sz w:val="24"/>
          <w:szCs w:val="24"/>
        </w:rPr>
      </w:pPr>
      <w:r w:rsidRPr="009D4925">
        <w:rPr>
          <w:rFonts w:ascii="Roboto" w:hAnsi="Roboto" w:cstheme="minorHAnsi"/>
          <w:b/>
          <w:sz w:val="24"/>
          <w:szCs w:val="24"/>
        </w:rPr>
        <w:t>Satiksmes minist</w:t>
      </w:r>
      <w:r w:rsidR="0097374C" w:rsidRPr="009D4925">
        <w:rPr>
          <w:rFonts w:ascii="Roboto" w:hAnsi="Roboto" w:cstheme="minorHAnsi"/>
          <w:b/>
          <w:sz w:val="24"/>
          <w:szCs w:val="24"/>
        </w:rPr>
        <w:t>rijai</w:t>
      </w:r>
    </w:p>
    <w:p w14:paraId="2671A719" w14:textId="65AF260B" w:rsidR="001C4E05" w:rsidRPr="004D6497" w:rsidRDefault="007D5538" w:rsidP="004D6497">
      <w:pPr>
        <w:spacing w:after="0" w:line="276" w:lineRule="auto"/>
        <w:jc w:val="right"/>
        <w:rPr>
          <w:rFonts w:ascii="Roboto" w:hAnsi="Roboto" w:cstheme="minorHAnsi"/>
          <w:bCs/>
          <w:sz w:val="24"/>
          <w:szCs w:val="24"/>
        </w:rPr>
      </w:pPr>
      <w:hyperlink r:id="rId9" w:history="1">
        <w:r w:rsidR="0097374C" w:rsidRPr="009D4925">
          <w:rPr>
            <w:rStyle w:val="Hyperlink"/>
            <w:rFonts w:ascii="Roboto" w:hAnsi="Roboto" w:cstheme="minorHAnsi"/>
            <w:bCs/>
            <w:color w:val="auto"/>
            <w:sz w:val="24"/>
            <w:szCs w:val="24"/>
            <w:u w:val="none"/>
          </w:rPr>
          <w:t>satiksmes.ministrija@sam.gov.lv</w:t>
        </w:r>
      </w:hyperlink>
    </w:p>
    <w:p w14:paraId="4EB1F50A" w14:textId="01379796" w:rsidR="00A2118E" w:rsidRPr="009D4925" w:rsidRDefault="0097374C" w:rsidP="00AE3CAE">
      <w:pPr>
        <w:spacing w:after="0" w:line="276" w:lineRule="auto"/>
        <w:rPr>
          <w:rFonts w:ascii="Roboto" w:hAnsi="Roboto"/>
          <w:sz w:val="24"/>
          <w:szCs w:val="24"/>
        </w:rPr>
      </w:pPr>
      <w:r w:rsidRPr="009D4925">
        <w:rPr>
          <w:rFonts w:ascii="Roboto" w:hAnsi="Roboto"/>
          <w:sz w:val="24"/>
          <w:szCs w:val="24"/>
        </w:rPr>
        <w:t>Datums skatāms laika zīmogā</w:t>
      </w:r>
    </w:p>
    <w:p w14:paraId="4E5AEBC3" w14:textId="2094D0AE" w:rsidR="0045247C" w:rsidRPr="009D4925" w:rsidRDefault="00A2118E" w:rsidP="00AE3CAE">
      <w:pPr>
        <w:spacing w:after="0" w:line="276" w:lineRule="auto"/>
        <w:rPr>
          <w:rFonts w:ascii="Roboto" w:hAnsi="Roboto"/>
          <w:sz w:val="24"/>
          <w:szCs w:val="24"/>
        </w:rPr>
      </w:pPr>
      <w:r w:rsidRPr="009D4925">
        <w:rPr>
          <w:rFonts w:ascii="Roboto" w:hAnsi="Roboto"/>
          <w:sz w:val="24"/>
          <w:szCs w:val="24"/>
        </w:rPr>
        <w:t>Nr. 20</w:t>
      </w:r>
      <w:r w:rsidR="000B062D" w:rsidRPr="009D4925">
        <w:rPr>
          <w:rFonts w:ascii="Roboto" w:hAnsi="Roboto"/>
          <w:sz w:val="24"/>
          <w:szCs w:val="24"/>
        </w:rPr>
        <w:t>2</w:t>
      </w:r>
      <w:r w:rsidR="00EC4CB9" w:rsidRPr="009D4925">
        <w:rPr>
          <w:rFonts w:ascii="Roboto" w:hAnsi="Roboto"/>
          <w:sz w:val="24"/>
          <w:szCs w:val="24"/>
        </w:rPr>
        <w:t>1</w:t>
      </w:r>
      <w:r w:rsidR="00412466" w:rsidRPr="009D4925">
        <w:rPr>
          <w:rFonts w:ascii="Roboto" w:hAnsi="Roboto"/>
          <w:sz w:val="24"/>
          <w:szCs w:val="24"/>
        </w:rPr>
        <w:t>/</w:t>
      </w:r>
      <w:r w:rsidR="00B61EFA">
        <w:rPr>
          <w:rFonts w:ascii="Roboto" w:hAnsi="Roboto"/>
          <w:sz w:val="24"/>
          <w:szCs w:val="24"/>
        </w:rPr>
        <w:t>729</w:t>
      </w:r>
    </w:p>
    <w:tbl>
      <w:tblPr>
        <w:tblW w:w="0" w:type="auto"/>
        <w:tblLook w:val="01E0" w:firstRow="1" w:lastRow="1" w:firstColumn="1" w:lastColumn="1" w:noHBand="0" w:noVBand="0"/>
      </w:tblPr>
      <w:tblGrid>
        <w:gridCol w:w="4746"/>
        <w:gridCol w:w="4614"/>
      </w:tblGrid>
      <w:tr w:rsidR="00B33A3F" w:rsidRPr="009D4925" w14:paraId="4DC606C6" w14:textId="77777777" w:rsidTr="00911D5E">
        <w:trPr>
          <w:trHeight w:val="330"/>
        </w:trPr>
        <w:tc>
          <w:tcPr>
            <w:tcW w:w="4746" w:type="dxa"/>
          </w:tcPr>
          <w:p w14:paraId="4188BC87" w14:textId="77777777" w:rsidR="00C939D9" w:rsidRPr="009D4925" w:rsidRDefault="00C939D9" w:rsidP="00AE3CAE">
            <w:pPr>
              <w:spacing w:after="0" w:line="276" w:lineRule="auto"/>
              <w:jc w:val="both"/>
              <w:rPr>
                <w:rFonts w:ascii="Roboto" w:hAnsi="Roboto" w:cstheme="minorHAnsi"/>
                <w:i/>
                <w:sz w:val="24"/>
                <w:szCs w:val="24"/>
              </w:rPr>
            </w:pPr>
          </w:p>
          <w:p w14:paraId="7F885FEE" w14:textId="278AFACF" w:rsidR="0045247C" w:rsidRPr="00A30131" w:rsidRDefault="0097374C" w:rsidP="00AE3CAE">
            <w:pPr>
              <w:spacing w:after="0" w:line="276" w:lineRule="auto"/>
              <w:jc w:val="both"/>
              <w:rPr>
                <w:rFonts w:ascii="Roboto" w:hAnsi="Roboto" w:cstheme="minorHAnsi"/>
                <w:i/>
                <w:sz w:val="24"/>
                <w:szCs w:val="24"/>
              </w:rPr>
            </w:pPr>
            <w:r w:rsidRPr="00A30131">
              <w:rPr>
                <w:rFonts w:ascii="Roboto" w:hAnsi="Roboto" w:cstheme="minorHAnsi"/>
                <w:i/>
                <w:sz w:val="24"/>
                <w:szCs w:val="24"/>
              </w:rPr>
              <w:t>Par</w:t>
            </w:r>
            <w:r w:rsidR="00A50F2D" w:rsidRPr="00A30131">
              <w:rPr>
                <w:rFonts w:ascii="Roboto" w:hAnsi="Roboto" w:cstheme="minorHAnsi"/>
                <w:i/>
                <w:sz w:val="24"/>
                <w:szCs w:val="24"/>
              </w:rPr>
              <w:t xml:space="preserve"> </w:t>
            </w:r>
            <w:r w:rsidR="00DC6C1D" w:rsidRPr="00DC6C1D">
              <w:rPr>
                <w:rFonts w:ascii="Roboto" w:hAnsi="Roboto" w:cstheme="minorHAnsi"/>
                <w:i/>
                <w:sz w:val="24"/>
                <w:szCs w:val="24"/>
              </w:rPr>
              <w:t>precizēto likumprojektu “Elektronisko sakaru likums”</w:t>
            </w:r>
          </w:p>
          <w:p w14:paraId="47ECF016" w14:textId="5C8BF023" w:rsidR="0097374C" w:rsidRPr="009D4925" w:rsidRDefault="0097374C" w:rsidP="00AE3CAE">
            <w:pPr>
              <w:spacing w:after="0" w:line="276" w:lineRule="auto"/>
              <w:jc w:val="both"/>
              <w:rPr>
                <w:rFonts w:ascii="Roboto" w:hAnsi="Roboto" w:cstheme="minorHAnsi"/>
                <w:i/>
                <w:sz w:val="24"/>
                <w:szCs w:val="24"/>
              </w:rPr>
            </w:pPr>
          </w:p>
        </w:tc>
        <w:tc>
          <w:tcPr>
            <w:tcW w:w="4614" w:type="dxa"/>
          </w:tcPr>
          <w:p w14:paraId="67C36351" w14:textId="77777777" w:rsidR="00B33A3F" w:rsidRPr="009D4925" w:rsidRDefault="00B33A3F" w:rsidP="00AE3CAE">
            <w:pPr>
              <w:spacing w:after="0" w:line="276" w:lineRule="auto"/>
              <w:jc w:val="both"/>
              <w:rPr>
                <w:rFonts w:ascii="Roboto" w:hAnsi="Roboto" w:cstheme="minorHAnsi"/>
                <w:i/>
                <w:sz w:val="24"/>
                <w:szCs w:val="24"/>
              </w:rPr>
            </w:pPr>
          </w:p>
        </w:tc>
      </w:tr>
    </w:tbl>
    <w:p w14:paraId="27207AEE" w14:textId="6D0659BB" w:rsidR="00D91892" w:rsidRPr="00D91892" w:rsidRDefault="0044362A" w:rsidP="00630268">
      <w:pPr>
        <w:spacing w:after="0" w:line="276" w:lineRule="auto"/>
        <w:ind w:firstLine="720"/>
        <w:jc w:val="both"/>
        <w:rPr>
          <w:rFonts w:ascii="Roboto" w:hAnsi="Roboto" w:cstheme="minorHAnsi"/>
          <w:color w:val="000000" w:themeColor="text1"/>
          <w:sz w:val="24"/>
          <w:szCs w:val="24"/>
        </w:rPr>
      </w:pPr>
      <w:r w:rsidRPr="009D4925">
        <w:rPr>
          <w:rFonts w:ascii="Roboto" w:hAnsi="Roboto" w:cstheme="minorHAnsi"/>
          <w:color w:val="000000" w:themeColor="text1"/>
          <w:sz w:val="24"/>
          <w:szCs w:val="24"/>
        </w:rPr>
        <w:t>Latvijas Tirdzniecības un rūpniecības kamera (turpmāk – LTRK)</w:t>
      </w:r>
      <w:r w:rsidR="00DC6C1D">
        <w:rPr>
          <w:rFonts w:ascii="Roboto" w:hAnsi="Roboto" w:cstheme="minorHAnsi"/>
          <w:color w:val="000000" w:themeColor="text1"/>
          <w:sz w:val="24"/>
          <w:szCs w:val="24"/>
        </w:rPr>
        <w:t xml:space="preserve"> ir izvērtējusi Satiksmes ministrijas sagatavoto precizēto likumprojektu “Elektronisko sakaru likums”</w:t>
      </w:r>
      <w:r w:rsidR="00D91892">
        <w:rPr>
          <w:rFonts w:ascii="Roboto" w:hAnsi="Roboto" w:cstheme="minorHAnsi"/>
          <w:color w:val="000000" w:themeColor="text1"/>
          <w:sz w:val="24"/>
          <w:szCs w:val="24"/>
        </w:rPr>
        <w:t xml:space="preserve"> (turpmāk – likumprojekts)</w:t>
      </w:r>
      <w:r w:rsidR="00C02014" w:rsidRPr="009D4925">
        <w:rPr>
          <w:rFonts w:ascii="Roboto" w:hAnsi="Roboto" w:cstheme="minorHAnsi"/>
          <w:color w:val="000000" w:themeColor="text1"/>
          <w:sz w:val="24"/>
          <w:szCs w:val="24"/>
        </w:rPr>
        <w:t xml:space="preserve"> </w:t>
      </w:r>
      <w:r w:rsidR="00DC6C1D">
        <w:rPr>
          <w:rFonts w:ascii="Roboto" w:hAnsi="Roboto" w:cstheme="minorHAnsi"/>
          <w:color w:val="000000" w:themeColor="text1"/>
          <w:sz w:val="24"/>
          <w:szCs w:val="24"/>
        </w:rPr>
        <w:t>un norāda, ka</w:t>
      </w:r>
      <w:r w:rsidR="00D91892">
        <w:rPr>
          <w:rFonts w:ascii="Roboto" w:hAnsi="Roboto" w:cstheme="minorHAnsi"/>
          <w:color w:val="000000" w:themeColor="text1"/>
          <w:sz w:val="24"/>
          <w:szCs w:val="24"/>
        </w:rPr>
        <w:t>,</w:t>
      </w:r>
      <w:r w:rsidR="002B7DE2">
        <w:rPr>
          <w:rFonts w:ascii="Roboto" w:hAnsi="Roboto" w:cstheme="minorHAnsi"/>
          <w:color w:val="000000" w:themeColor="text1"/>
          <w:sz w:val="24"/>
          <w:szCs w:val="24"/>
        </w:rPr>
        <w:t xml:space="preserve"> </w:t>
      </w:r>
      <w:r w:rsidR="00D91892" w:rsidRPr="00D91892">
        <w:rPr>
          <w:rFonts w:ascii="Roboto" w:hAnsi="Roboto" w:cstheme="minorHAnsi"/>
          <w:color w:val="000000" w:themeColor="text1"/>
          <w:sz w:val="24"/>
          <w:szCs w:val="24"/>
        </w:rPr>
        <w:t xml:space="preserve">salīdzinot likumprojekta redakciju (49., 68.pants) un anotāciju ar versiju, kas tika izskatīta iepriekšējā tikšanās ar visām iesaistītām pusēm, </w:t>
      </w:r>
      <w:r w:rsidR="00630268">
        <w:rPr>
          <w:rFonts w:ascii="Roboto" w:hAnsi="Roboto" w:cstheme="minorHAnsi"/>
          <w:color w:val="000000" w:themeColor="text1"/>
          <w:sz w:val="24"/>
          <w:szCs w:val="24"/>
        </w:rPr>
        <w:t xml:space="preserve">iepriekš </w:t>
      </w:r>
      <w:r w:rsidR="00760C73">
        <w:rPr>
          <w:rFonts w:ascii="Roboto" w:hAnsi="Roboto" w:cstheme="minorHAnsi"/>
          <w:color w:val="000000" w:themeColor="text1"/>
          <w:sz w:val="24"/>
          <w:szCs w:val="24"/>
        </w:rPr>
        <w:t>konstatētie trūkumi</w:t>
      </w:r>
      <w:r w:rsidR="00630268">
        <w:rPr>
          <w:rFonts w:ascii="Roboto" w:hAnsi="Roboto" w:cstheme="minorHAnsi"/>
          <w:color w:val="000000" w:themeColor="text1"/>
          <w:sz w:val="24"/>
          <w:szCs w:val="24"/>
        </w:rPr>
        <w:t xml:space="preserve"> nav </w:t>
      </w:r>
      <w:r w:rsidR="00D91892" w:rsidRPr="00D91892">
        <w:rPr>
          <w:rFonts w:ascii="Roboto" w:hAnsi="Roboto" w:cstheme="minorHAnsi"/>
          <w:color w:val="000000" w:themeColor="text1"/>
          <w:sz w:val="24"/>
          <w:szCs w:val="24"/>
        </w:rPr>
        <w:t xml:space="preserve">novērsti. </w:t>
      </w:r>
    </w:p>
    <w:p w14:paraId="43611CEC" w14:textId="5861DD1B" w:rsidR="00D91892" w:rsidRPr="00D91892" w:rsidRDefault="00630268" w:rsidP="00630268">
      <w:pPr>
        <w:spacing w:after="0" w:line="276" w:lineRule="auto"/>
        <w:ind w:firstLine="720"/>
        <w:jc w:val="both"/>
        <w:rPr>
          <w:rFonts w:ascii="Roboto" w:hAnsi="Roboto" w:cstheme="minorHAnsi"/>
          <w:color w:val="000000" w:themeColor="text1"/>
          <w:sz w:val="24"/>
          <w:szCs w:val="24"/>
        </w:rPr>
      </w:pPr>
      <w:r>
        <w:rPr>
          <w:rFonts w:ascii="Roboto" w:hAnsi="Roboto" w:cstheme="minorHAnsi"/>
          <w:color w:val="000000" w:themeColor="text1"/>
          <w:sz w:val="24"/>
          <w:szCs w:val="24"/>
        </w:rPr>
        <w:t xml:space="preserve">Proti, likumprojekta </w:t>
      </w:r>
      <w:r w:rsidR="00D91892" w:rsidRPr="00D91892">
        <w:rPr>
          <w:rFonts w:ascii="Roboto" w:hAnsi="Roboto" w:cstheme="minorHAnsi"/>
          <w:color w:val="000000" w:themeColor="text1"/>
          <w:sz w:val="24"/>
          <w:szCs w:val="24"/>
        </w:rPr>
        <w:t>49.pants nosaka radiofrek</w:t>
      </w:r>
      <w:r w:rsidR="002D4023">
        <w:rPr>
          <w:rFonts w:ascii="Roboto" w:hAnsi="Roboto" w:cstheme="minorHAnsi"/>
          <w:color w:val="000000" w:themeColor="text1"/>
          <w:sz w:val="24"/>
          <w:szCs w:val="24"/>
        </w:rPr>
        <w:t>v</w:t>
      </w:r>
      <w:r w:rsidR="00D91892" w:rsidRPr="00D91892">
        <w:rPr>
          <w:rFonts w:ascii="Roboto" w:hAnsi="Roboto" w:cstheme="minorHAnsi"/>
          <w:color w:val="000000" w:themeColor="text1"/>
          <w:sz w:val="24"/>
          <w:szCs w:val="24"/>
        </w:rPr>
        <w:t xml:space="preserve">enču ierobežotās joslas kopīgas izmantošanas regulēšanas principus un </w:t>
      </w:r>
      <w:r>
        <w:rPr>
          <w:rFonts w:ascii="Roboto" w:hAnsi="Roboto" w:cstheme="minorHAnsi"/>
          <w:color w:val="000000" w:themeColor="text1"/>
          <w:sz w:val="24"/>
          <w:szCs w:val="24"/>
        </w:rPr>
        <w:t xml:space="preserve">likumprojekta </w:t>
      </w:r>
      <w:r w:rsidR="00D91892" w:rsidRPr="00D91892">
        <w:rPr>
          <w:rFonts w:ascii="Roboto" w:hAnsi="Roboto" w:cstheme="minorHAnsi"/>
          <w:color w:val="000000" w:themeColor="text1"/>
          <w:sz w:val="24"/>
          <w:szCs w:val="24"/>
        </w:rPr>
        <w:t xml:space="preserve">68.pants nosaka aktīvas infrastruktūras kopīgas izmantošanas regulēšanas principus. Šādi kopīgas izmantošanas projekti ļauj elektronisko sakaru komersantiem attīstīt tīklus un pakalpojumus, būtiski ietaupot resursus, kas citā starpā ļautu ātrāk, efektīvāk un ekonomiski racionālāk izvērst 5G tīklu, kas savukārt ir viens no mērķiem valsts digitalizācijas programmā. Šī brīža </w:t>
      </w:r>
      <w:r w:rsidR="00D91892">
        <w:rPr>
          <w:rFonts w:ascii="Roboto" w:hAnsi="Roboto" w:cstheme="minorHAnsi"/>
          <w:color w:val="000000" w:themeColor="text1"/>
          <w:sz w:val="24"/>
          <w:szCs w:val="24"/>
        </w:rPr>
        <w:t>likumprojekta</w:t>
      </w:r>
      <w:r w:rsidR="00D91892" w:rsidRPr="00D91892">
        <w:rPr>
          <w:rFonts w:ascii="Roboto" w:hAnsi="Roboto" w:cstheme="minorHAnsi"/>
          <w:color w:val="000000" w:themeColor="text1"/>
          <w:sz w:val="24"/>
          <w:szCs w:val="24"/>
        </w:rPr>
        <w:t xml:space="preserve"> redakcijas 49.pants un 68.pants, kaut arī neaizliedz kopīgu izmantošanu, bet pakļauj </w:t>
      </w:r>
      <w:r>
        <w:rPr>
          <w:rFonts w:ascii="Roboto" w:hAnsi="Roboto" w:cstheme="minorHAnsi"/>
          <w:color w:val="000000" w:themeColor="text1"/>
          <w:sz w:val="24"/>
          <w:szCs w:val="24"/>
        </w:rPr>
        <w:t>komersantu</w:t>
      </w:r>
      <w:r w:rsidR="00D91892" w:rsidRPr="00D91892">
        <w:rPr>
          <w:rFonts w:ascii="Roboto" w:hAnsi="Roboto" w:cstheme="minorHAnsi"/>
          <w:color w:val="000000" w:themeColor="text1"/>
          <w:sz w:val="24"/>
          <w:szCs w:val="24"/>
        </w:rPr>
        <w:t xml:space="preserve"> projektus riskam tik</w:t>
      </w:r>
      <w:r w:rsidR="00D91892">
        <w:rPr>
          <w:rFonts w:ascii="Roboto" w:hAnsi="Roboto" w:cstheme="minorHAnsi"/>
          <w:color w:val="000000" w:themeColor="text1"/>
          <w:sz w:val="24"/>
          <w:szCs w:val="24"/>
        </w:rPr>
        <w:t>t</w:t>
      </w:r>
      <w:r w:rsidR="00D91892" w:rsidRPr="00D91892">
        <w:rPr>
          <w:rFonts w:ascii="Roboto" w:hAnsi="Roboto" w:cstheme="minorHAnsi"/>
          <w:color w:val="000000" w:themeColor="text1"/>
          <w:sz w:val="24"/>
          <w:szCs w:val="24"/>
        </w:rPr>
        <w:t xml:space="preserve"> atliktiem uz nenoteiktu laiku, ja Regulatora pieņemtie lēmumi un faktiskā rīcība, atļaujot šos projektus, tiek apstrīdēti. </w:t>
      </w:r>
      <w:r>
        <w:rPr>
          <w:rFonts w:ascii="Roboto" w:hAnsi="Roboto" w:cstheme="minorHAnsi"/>
          <w:color w:val="000000" w:themeColor="text1"/>
          <w:sz w:val="24"/>
          <w:szCs w:val="24"/>
        </w:rPr>
        <w:t>Minētais</w:t>
      </w:r>
      <w:r w:rsidR="00D91892" w:rsidRPr="00D91892">
        <w:rPr>
          <w:rFonts w:ascii="Roboto" w:hAnsi="Roboto" w:cstheme="minorHAnsi"/>
          <w:color w:val="000000" w:themeColor="text1"/>
          <w:sz w:val="24"/>
          <w:szCs w:val="24"/>
        </w:rPr>
        <w:t xml:space="preserve"> komersantu investīcijas </w:t>
      </w:r>
      <w:r>
        <w:rPr>
          <w:rFonts w:ascii="Roboto" w:hAnsi="Roboto" w:cstheme="minorHAnsi"/>
          <w:color w:val="000000" w:themeColor="text1"/>
          <w:sz w:val="24"/>
          <w:szCs w:val="24"/>
        </w:rPr>
        <w:t>pakļauj</w:t>
      </w:r>
      <w:r w:rsidR="00D91892" w:rsidRPr="00D91892">
        <w:rPr>
          <w:rFonts w:ascii="Roboto" w:hAnsi="Roboto" w:cstheme="minorHAnsi"/>
          <w:color w:val="000000" w:themeColor="text1"/>
          <w:sz w:val="24"/>
          <w:szCs w:val="24"/>
        </w:rPr>
        <w:t xml:space="preserve"> riskam tikt iesaldētām uz</w:t>
      </w:r>
      <w:r>
        <w:rPr>
          <w:rFonts w:ascii="Roboto" w:hAnsi="Roboto" w:cstheme="minorHAnsi"/>
          <w:color w:val="000000" w:themeColor="text1"/>
          <w:sz w:val="24"/>
          <w:szCs w:val="24"/>
        </w:rPr>
        <w:t xml:space="preserve"> vairākiem</w:t>
      </w:r>
      <w:r w:rsidR="00D91892" w:rsidRPr="00D91892">
        <w:rPr>
          <w:rFonts w:ascii="Roboto" w:hAnsi="Roboto" w:cstheme="minorHAnsi"/>
          <w:color w:val="000000" w:themeColor="text1"/>
          <w:sz w:val="24"/>
          <w:szCs w:val="24"/>
        </w:rPr>
        <w:t xml:space="preserve"> gadiem un 5G tīklu attīstība </w:t>
      </w:r>
      <w:r>
        <w:rPr>
          <w:rFonts w:ascii="Roboto" w:hAnsi="Roboto" w:cstheme="minorHAnsi"/>
          <w:color w:val="000000" w:themeColor="text1"/>
          <w:sz w:val="24"/>
          <w:szCs w:val="24"/>
        </w:rPr>
        <w:t>tiktu</w:t>
      </w:r>
      <w:r w:rsidR="00D91892" w:rsidRPr="00D91892">
        <w:rPr>
          <w:rFonts w:ascii="Roboto" w:hAnsi="Roboto" w:cstheme="minorHAnsi"/>
          <w:color w:val="000000" w:themeColor="text1"/>
          <w:sz w:val="24"/>
          <w:szCs w:val="24"/>
        </w:rPr>
        <w:t xml:space="preserve"> būtiski kavēta.</w:t>
      </w:r>
      <w:r w:rsidR="00D91892">
        <w:rPr>
          <w:rFonts w:ascii="Roboto" w:hAnsi="Roboto" w:cstheme="minorHAnsi"/>
          <w:color w:val="000000" w:themeColor="text1"/>
          <w:sz w:val="24"/>
          <w:szCs w:val="24"/>
        </w:rPr>
        <w:t xml:space="preserve"> </w:t>
      </w:r>
      <w:r w:rsidR="00D91892" w:rsidRPr="00D91892">
        <w:rPr>
          <w:rFonts w:ascii="Roboto" w:hAnsi="Roboto" w:cstheme="minorHAnsi"/>
          <w:color w:val="000000" w:themeColor="text1"/>
          <w:sz w:val="24"/>
          <w:szCs w:val="24"/>
        </w:rPr>
        <w:t>Turklāt, jāņem vērā, ka ar M</w:t>
      </w:r>
      <w:r w:rsidR="00D91892">
        <w:rPr>
          <w:rFonts w:ascii="Roboto" w:hAnsi="Roboto" w:cstheme="minorHAnsi"/>
          <w:color w:val="000000" w:themeColor="text1"/>
          <w:sz w:val="24"/>
          <w:szCs w:val="24"/>
        </w:rPr>
        <w:t>inistru kabineta</w:t>
      </w:r>
      <w:r w:rsidR="00D91892" w:rsidRPr="00D91892">
        <w:rPr>
          <w:rFonts w:ascii="Roboto" w:hAnsi="Roboto" w:cstheme="minorHAnsi"/>
          <w:color w:val="000000" w:themeColor="text1"/>
          <w:sz w:val="24"/>
          <w:szCs w:val="24"/>
        </w:rPr>
        <w:t xml:space="preserve"> 2021.gada 7.jūlija rīkojumu Nr.490 tika pieņemtas Digitālās transformācijas pamatnostādnes 2021.-2027.gadam, kurās ir noteikts, ka infrastr</w:t>
      </w:r>
      <w:r w:rsidR="002D4023">
        <w:rPr>
          <w:rFonts w:ascii="Roboto" w:hAnsi="Roboto" w:cstheme="minorHAnsi"/>
          <w:color w:val="000000" w:themeColor="text1"/>
          <w:sz w:val="24"/>
          <w:szCs w:val="24"/>
        </w:rPr>
        <w:t>u</w:t>
      </w:r>
      <w:r w:rsidR="00D91892" w:rsidRPr="00D91892">
        <w:rPr>
          <w:rFonts w:ascii="Roboto" w:hAnsi="Roboto" w:cstheme="minorHAnsi"/>
          <w:color w:val="000000" w:themeColor="text1"/>
          <w:sz w:val="24"/>
          <w:szCs w:val="24"/>
        </w:rPr>
        <w:t>k</w:t>
      </w:r>
      <w:r w:rsidR="002D4023">
        <w:rPr>
          <w:rFonts w:ascii="Roboto" w:hAnsi="Roboto" w:cstheme="minorHAnsi"/>
          <w:color w:val="000000" w:themeColor="text1"/>
          <w:sz w:val="24"/>
          <w:szCs w:val="24"/>
        </w:rPr>
        <w:t>t</w:t>
      </w:r>
      <w:r w:rsidR="00D91892" w:rsidRPr="00D91892">
        <w:rPr>
          <w:rFonts w:ascii="Roboto" w:hAnsi="Roboto" w:cstheme="minorHAnsi"/>
          <w:color w:val="000000" w:themeColor="text1"/>
          <w:sz w:val="24"/>
          <w:szCs w:val="24"/>
        </w:rPr>
        <w:t xml:space="preserve">ūras kopīgas izmantošanas projekti ir jāveicina. Līdz ar to secināms, ka likumprojekta 68.pants ir pretrunā arī ar minētajām pamatnostādnēm. </w:t>
      </w:r>
      <w:r w:rsidR="00D91892">
        <w:rPr>
          <w:rFonts w:ascii="Roboto" w:hAnsi="Roboto" w:cstheme="minorHAnsi"/>
          <w:color w:val="000000" w:themeColor="text1"/>
          <w:sz w:val="24"/>
          <w:szCs w:val="24"/>
        </w:rPr>
        <w:t>LTRK vērš</w:t>
      </w:r>
      <w:r w:rsidR="00D91892" w:rsidRPr="00D91892">
        <w:rPr>
          <w:rFonts w:ascii="Roboto" w:hAnsi="Roboto" w:cstheme="minorHAnsi"/>
          <w:color w:val="000000" w:themeColor="text1"/>
          <w:sz w:val="24"/>
          <w:szCs w:val="24"/>
        </w:rPr>
        <w:t xml:space="preserve"> uzmanību arī</w:t>
      </w:r>
      <w:r w:rsidR="00D91892">
        <w:rPr>
          <w:rFonts w:ascii="Roboto" w:hAnsi="Roboto" w:cstheme="minorHAnsi"/>
          <w:color w:val="000000" w:themeColor="text1"/>
          <w:sz w:val="24"/>
          <w:szCs w:val="24"/>
        </w:rPr>
        <w:t xml:space="preserve"> uz to</w:t>
      </w:r>
      <w:r w:rsidR="00D91892" w:rsidRPr="00D91892">
        <w:rPr>
          <w:rFonts w:ascii="Roboto" w:hAnsi="Roboto" w:cstheme="minorHAnsi"/>
          <w:color w:val="000000" w:themeColor="text1"/>
          <w:sz w:val="24"/>
          <w:szCs w:val="24"/>
        </w:rPr>
        <w:t>, ka 68.panta iekļaušana likumprojektā nozīmē nekonsekvenci valsts politikā attiecībā uz digitalizāciju</w:t>
      </w:r>
      <w:r w:rsidR="00D91892">
        <w:rPr>
          <w:rFonts w:ascii="Roboto" w:hAnsi="Roboto" w:cstheme="minorHAnsi"/>
          <w:color w:val="000000" w:themeColor="text1"/>
          <w:sz w:val="24"/>
          <w:szCs w:val="24"/>
        </w:rPr>
        <w:t xml:space="preserve">, jo </w:t>
      </w:r>
      <w:r w:rsidR="00D91892" w:rsidRPr="00D91892">
        <w:rPr>
          <w:rFonts w:ascii="Roboto" w:hAnsi="Roboto" w:cstheme="minorHAnsi"/>
          <w:color w:val="000000" w:themeColor="text1"/>
          <w:sz w:val="24"/>
          <w:szCs w:val="24"/>
        </w:rPr>
        <w:t>viens pieņemtais akts</w:t>
      </w:r>
      <w:r w:rsidR="00D91892">
        <w:rPr>
          <w:rFonts w:ascii="Roboto" w:hAnsi="Roboto" w:cstheme="minorHAnsi"/>
          <w:color w:val="000000" w:themeColor="text1"/>
          <w:sz w:val="24"/>
          <w:szCs w:val="24"/>
        </w:rPr>
        <w:t xml:space="preserve"> (pamatnostādnes)</w:t>
      </w:r>
      <w:r w:rsidR="00D91892" w:rsidRPr="00D91892">
        <w:rPr>
          <w:rFonts w:ascii="Roboto" w:hAnsi="Roboto" w:cstheme="minorHAnsi"/>
          <w:color w:val="000000" w:themeColor="text1"/>
          <w:sz w:val="24"/>
          <w:szCs w:val="24"/>
        </w:rPr>
        <w:t xml:space="preserve"> nosaka, ka infrastruktūras kopīga izmantošana ir jāveicina, bet </w:t>
      </w:r>
      <w:r w:rsidR="00D91892">
        <w:rPr>
          <w:rFonts w:ascii="Roboto" w:hAnsi="Roboto" w:cstheme="minorHAnsi"/>
          <w:color w:val="000000" w:themeColor="text1"/>
          <w:sz w:val="24"/>
          <w:szCs w:val="24"/>
        </w:rPr>
        <w:t>ar citu (likumprojekts) plāno</w:t>
      </w:r>
      <w:r w:rsidR="00D91892" w:rsidRPr="00D91892">
        <w:rPr>
          <w:rFonts w:ascii="Roboto" w:hAnsi="Roboto" w:cstheme="minorHAnsi"/>
          <w:color w:val="000000" w:themeColor="text1"/>
          <w:sz w:val="24"/>
          <w:szCs w:val="24"/>
        </w:rPr>
        <w:t xml:space="preserve"> li</w:t>
      </w:r>
      <w:r w:rsidR="00D91892">
        <w:rPr>
          <w:rFonts w:ascii="Roboto" w:hAnsi="Roboto" w:cstheme="minorHAnsi"/>
          <w:color w:val="000000" w:themeColor="text1"/>
          <w:sz w:val="24"/>
          <w:szCs w:val="24"/>
        </w:rPr>
        <w:t>kt</w:t>
      </w:r>
      <w:r w:rsidR="00D91892" w:rsidRPr="00D91892">
        <w:rPr>
          <w:rFonts w:ascii="Roboto" w:hAnsi="Roboto" w:cstheme="minorHAnsi"/>
          <w:color w:val="000000" w:themeColor="text1"/>
          <w:sz w:val="24"/>
          <w:szCs w:val="24"/>
        </w:rPr>
        <w:t xml:space="preserve"> tam šķēršļus.</w:t>
      </w:r>
    </w:p>
    <w:p w14:paraId="6FFE776C" w14:textId="09DDC6B2" w:rsidR="00D91892" w:rsidRDefault="00630268" w:rsidP="00A055A3">
      <w:pPr>
        <w:spacing w:after="0" w:line="276" w:lineRule="auto"/>
        <w:ind w:firstLine="720"/>
        <w:jc w:val="both"/>
        <w:rPr>
          <w:rFonts w:ascii="Roboto" w:hAnsi="Roboto" w:cstheme="minorHAnsi"/>
          <w:color w:val="000000" w:themeColor="text1"/>
          <w:sz w:val="24"/>
          <w:szCs w:val="24"/>
        </w:rPr>
      </w:pPr>
      <w:r>
        <w:rPr>
          <w:rFonts w:ascii="Roboto" w:hAnsi="Roboto" w:cstheme="minorHAnsi"/>
          <w:color w:val="000000" w:themeColor="text1"/>
          <w:sz w:val="24"/>
          <w:szCs w:val="24"/>
        </w:rPr>
        <w:t>Tāpat LTRK vērš</w:t>
      </w:r>
      <w:r w:rsidR="00D91892" w:rsidRPr="00D91892">
        <w:rPr>
          <w:rFonts w:ascii="Roboto" w:hAnsi="Roboto" w:cstheme="minorHAnsi"/>
          <w:color w:val="000000" w:themeColor="text1"/>
          <w:sz w:val="24"/>
          <w:szCs w:val="24"/>
        </w:rPr>
        <w:t xml:space="preserve"> uzmanību, ka elektronisko sakaru tīklu un pakalpojumu attīstība ir svarīgs priekšnoteikums arī citu nozaru attīstībai. </w:t>
      </w:r>
      <w:r w:rsidR="004B682F">
        <w:rPr>
          <w:rFonts w:ascii="Roboto" w:hAnsi="Roboto" w:cstheme="minorHAnsi"/>
          <w:color w:val="000000" w:themeColor="text1"/>
          <w:sz w:val="24"/>
          <w:szCs w:val="24"/>
        </w:rPr>
        <w:t>Līdz ar to</w:t>
      </w:r>
      <w:r w:rsidR="00D91892" w:rsidRPr="00D91892">
        <w:rPr>
          <w:rFonts w:ascii="Roboto" w:hAnsi="Roboto" w:cstheme="minorHAnsi"/>
          <w:color w:val="000000" w:themeColor="text1"/>
          <w:sz w:val="24"/>
          <w:szCs w:val="24"/>
        </w:rPr>
        <w:t xml:space="preserve"> šķēršļi investīcijām tīklu attīstības kopīgos projektos un projektu uzsākšanai arī turpmākajā plānošanas periodā var negatīvi ietekmēt industriālās politikas rezultatīvos rādītājus</w:t>
      </w:r>
      <w:r>
        <w:rPr>
          <w:rFonts w:ascii="Roboto" w:hAnsi="Roboto" w:cstheme="minorHAnsi"/>
          <w:color w:val="000000" w:themeColor="text1"/>
          <w:sz w:val="24"/>
          <w:szCs w:val="24"/>
        </w:rPr>
        <w:t>.</w:t>
      </w:r>
      <w:r w:rsidR="00A055A3">
        <w:rPr>
          <w:rFonts w:ascii="Roboto" w:hAnsi="Roboto" w:cstheme="minorHAnsi"/>
          <w:color w:val="000000" w:themeColor="text1"/>
          <w:sz w:val="24"/>
          <w:szCs w:val="24"/>
        </w:rPr>
        <w:t xml:space="preserve"> </w:t>
      </w:r>
      <w:r w:rsidR="00D91892" w:rsidRPr="00D91892">
        <w:rPr>
          <w:rFonts w:ascii="Roboto" w:hAnsi="Roboto" w:cstheme="minorHAnsi"/>
          <w:color w:val="000000" w:themeColor="text1"/>
          <w:sz w:val="24"/>
          <w:szCs w:val="24"/>
        </w:rPr>
        <w:t xml:space="preserve">Ņemot vērā minēto, </w:t>
      </w:r>
      <w:r w:rsidR="00D91892">
        <w:rPr>
          <w:rFonts w:ascii="Roboto" w:hAnsi="Roboto" w:cstheme="minorHAnsi"/>
          <w:color w:val="000000" w:themeColor="text1"/>
          <w:sz w:val="24"/>
          <w:szCs w:val="24"/>
        </w:rPr>
        <w:t>LTRK</w:t>
      </w:r>
      <w:r w:rsidR="00D91892" w:rsidRPr="00D91892">
        <w:rPr>
          <w:rFonts w:ascii="Roboto" w:hAnsi="Roboto" w:cstheme="minorHAnsi"/>
          <w:color w:val="000000" w:themeColor="text1"/>
          <w:sz w:val="24"/>
          <w:szCs w:val="24"/>
        </w:rPr>
        <w:t xml:space="preserve"> aicina pārskatīt </w:t>
      </w:r>
      <w:r w:rsidR="00D91892">
        <w:rPr>
          <w:rFonts w:ascii="Roboto" w:hAnsi="Roboto" w:cstheme="minorHAnsi"/>
          <w:color w:val="000000" w:themeColor="text1"/>
          <w:sz w:val="24"/>
          <w:szCs w:val="24"/>
        </w:rPr>
        <w:t>likumprojekta</w:t>
      </w:r>
      <w:r w:rsidR="00D91892" w:rsidRPr="00D91892">
        <w:rPr>
          <w:rFonts w:ascii="Roboto" w:hAnsi="Roboto" w:cstheme="minorHAnsi"/>
          <w:color w:val="000000" w:themeColor="text1"/>
          <w:sz w:val="24"/>
          <w:szCs w:val="24"/>
        </w:rPr>
        <w:t xml:space="preserve"> 49.panta redakciju un izslēgt no likumprojekta 68.pantu.</w:t>
      </w:r>
    </w:p>
    <w:p w14:paraId="7946C33F" w14:textId="2AB64E9A" w:rsidR="00225290" w:rsidRPr="00225290" w:rsidRDefault="00225290" w:rsidP="00225290">
      <w:pPr>
        <w:spacing w:after="0" w:line="276" w:lineRule="auto"/>
        <w:ind w:firstLine="720"/>
        <w:jc w:val="both"/>
        <w:rPr>
          <w:rFonts w:ascii="Roboto" w:hAnsi="Roboto" w:cstheme="minorHAnsi"/>
          <w:color w:val="000000" w:themeColor="text1"/>
          <w:sz w:val="24"/>
          <w:szCs w:val="24"/>
        </w:rPr>
      </w:pPr>
      <w:r w:rsidRPr="00225290">
        <w:rPr>
          <w:rFonts w:ascii="Roboto" w:hAnsi="Roboto" w:cstheme="minorHAnsi"/>
          <w:color w:val="000000" w:themeColor="text1"/>
          <w:sz w:val="24"/>
          <w:szCs w:val="24"/>
        </w:rPr>
        <w:t>Likumprojekta sākotnējās ietekmes novērtējuma ziņojuma (anotācijas) 5. nodaļas 2.tabulā “</w:t>
      </w:r>
      <w:r w:rsidRPr="00225290">
        <w:rPr>
          <w:rFonts w:ascii="Roboto" w:hAnsi="Roboto" w:cstheme="minorHAnsi"/>
          <w:i/>
          <w:iCs/>
          <w:color w:val="000000" w:themeColor="text1"/>
          <w:sz w:val="24"/>
          <w:szCs w:val="24"/>
        </w:rPr>
        <w:t>Ar  tiesību akta projektu izpildītās vai uzņemtās saistības, kas izriet no starptautiskajiem tiesību aktiem vai starptautiskas institūcijas vai organizācijas dokumentiem. Pasākumi šo saistību izpildei</w:t>
      </w:r>
      <w:r w:rsidRPr="00225290">
        <w:rPr>
          <w:rFonts w:ascii="Roboto" w:hAnsi="Roboto" w:cstheme="minorHAnsi"/>
          <w:color w:val="000000" w:themeColor="text1"/>
          <w:sz w:val="24"/>
          <w:szCs w:val="24"/>
        </w:rPr>
        <w:t xml:space="preserve">” norādīts, ka </w:t>
      </w:r>
      <w:r w:rsidRPr="00225290">
        <w:rPr>
          <w:rFonts w:ascii="Roboto" w:hAnsi="Roboto" w:cstheme="minorHAnsi"/>
          <w:color w:val="000000" w:themeColor="text1"/>
          <w:sz w:val="24"/>
          <w:szCs w:val="24"/>
          <w:u w:val="single"/>
        </w:rPr>
        <w:t>projekts šo jomu neskar</w:t>
      </w:r>
      <w:r w:rsidRPr="00225290">
        <w:rPr>
          <w:rFonts w:ascii="Roboto" w:hAnsi="Roboto" w:cstheme="minorHAnsi"/>
          <w:color w:val="000000" w:themeColor="text1"/>
          <w:sz w:val="24"/>
          <w:szCs w:val="24"/>
        </w:rPr>
        <w:t xml:space="preserve">. </w:t>
      </w:r>
      <w:r>
        <w:rPr>
          <w:rFonts w:ascii="Roboto" w:hAnsi="Roboto" w:cstheme="minorHAnsi"/>
          <w:color w:val="000000" w:themeColor="text1"/>
          <w:sz w:val="24"/>
          <w:szCs w:val="24"/>
        </w:rPr>
        <w:t xml:space="preserve">LTRK vērš </w:t>
      </w:r>
      <w:r w:rsidRPr="00225290">
        <w:rPr>
          <w:rFonts w:ascii="Roboto" w:hAnsi="Roboto" w:cstheme="minorHAnsi"/>
          <w:color w:val="000000" w:themeColor="text1"/>
          <w:sz w:val="24"/>
          <w:szCs w:val="24"/>
        </w:rPr>
        <w:t xml:space="preserve">uzmanību, ka  Eiropas Parlamenta un Padomes 2015. gada 9. septembra direktīva Nr. 2015/1535, ar ko nosaka informācijas sniegšanas kārtību tehnisko noteikumu un Informācijas sabiedrības pakalpojumu </w:t>
      </w:r>
      <w:r w:rsidRPr="00225290">
        <w:rPr>
          <w:rFonts w:ascii="Roboto" w:hAnsi="Roboto" w:cstheme="minorHAnsi"/>
          <w:color w:val="000000" w:themeColor="text1"/>
          <w:sz w:val="24"/>
          <w:szCs w:val="24"/>
        </w:rPr>
        <w:lastRenderedPageBreak/>
        <w:t xml:space="preserve">noteikumu jomā (Direktīva Nr. 2015/1535) paredz Latvijas kā Eiropas Savienības (ES) dalībvalsts pienākumu informēt Eiropas Komisiju par izstrādātajiem tehnisko noteikumu projektiem pirms to pieņemšanas.  Direktīvas Nr. 2015/1535 mērķis ir veicināt ES iekšējā tirgus veiksmīgu darbību, tādējādi paredzot mehānismu, kas nodrošina pēc iespējas lielāku </w:t>
      </w:r>
      <w:proofErr w:type="spellStart"/>
      <w:r w:rsidRPr="00225290">
        <w:rPr>
          <w:rFonts w:ascii="Roboto" w:hAnsi="Roboto" w:cstheme="minorHAnsi"/>
          <w:color w:val="000000" w:themeColor="text1"/>
          <w:sz w:val="24"/>
          <w:szCs w:val="24"/>
        </w:rPr>
        <w:t>pārredzamību</w:t>
      </w:r>
      <w:proofErr w:type="spellEnd"/>
      <w:r w:rsidRPr="00225290">
        <w:rPr>
          <w:rFonts w:ascii="Roboto" w:hAnsi="Roboto" w:cstheme="minorHAnsi"/>
          <w:color w:val="000000" w:themeColor="text1"/>
          <w:sz w:val="24"/>
          <w:szCs w:val="24"/>
        </w:rPr>
        <w:t xml:space="preserve"> attiecībā uz dalībvalstu iniciatīvām tehnisko noteikumu izstrādē. Proti, Direktīva Nr. 2015/1535 paredz procedūru, ka dalībvalstu izstrādātos tehniskos noteikumus vispirms pārskata Eiropas Komisija jau projekta izstrādes stadijā, lai tādējādi novērstu gadījumus, kad tiek radīti nepamatoti ierobežojumi iekšējam tirgum. Direktīvas Nr. 2015/1535 5. pants noteic: </w:t>
      </w:r>
    </w:p>
    <w:p w14:paraId="2ABD4864" w14:textId="77777777" w:rsidR="00225290" w:rsidRPr="00225290" w:rsidRDefault="00225290" w:rsidP="00225290">
      <w:pPr>
        <w:spacing w:after="0" w:line="276" w:lineRule="auto"/>
        <w:ind w:firstLine="720"/>
        <w:jc w:val="both"/>
        <w:rPr>
          <w:rFonts w:ascii="Roboto" w:hAnsi="Roboto" w:cstheme="minorHAnsi"/>
          <w:i/>
          <w:iCs/>
          <w:color w:val="000000" w:themeColor="text1"/>
          <w:sz w:val="24"/>
          <w:szCs w:val="24"/>
        </w:rPr>
      </w:pPr>
      <w:r w:rsidRPr="00225290">
        <w:rPr>
          <w:rFonts w:ascii="Roboto" w:hAnsi="Roboto" w:cstheme="minorHAnsi"/>
          <w:i/>
          <w:iCs/>
          <w:color w:val="000000" w:themeColor="text1"/>
          <w:sz w:val="24"/>
          <w:szCs w:val="24"/>
        </w:rPr>
        <w:t xml:space="preserve">“Saskaņā ar 7. pantu dalībvalstis </w:t>
      </w:r>
      <w:r w:rsidRPr="00225290">
        <w:rPr>
          <w:rFonts w:ascii="Roboto" w:hAnsi="Roboto" w:cstheme="minorHAnsi"/>
          <w:i/>
          <w:iCs/>
          <w:color w:val="000000" w:themeColor="text1"/>
          <w:sz w:val="24"/>
          <w:szCs w:val="24"/>
          <w:u w:val="single"/>
        </w:rPr>
        <w:t>nekavējoties</w:t>
      </w:r>
      <w:r w:rsidRPr="00225290">
        <w:rPr>
          <w:rFonts w:ascii="Roboto" w:hAnsi="Roboto" w:cstheme="minorHAnsi"/>
          <w:i/>
          <w:iCs/>
          <w:color w:val="000000" w:themeColor="text1"/>
          <w:sz w:val="24"/>
          <w:szCs w:val="24"/>
        </w:rPr>
        <w:t xml:space="preserve"> dara Komisijai zināmu </w:t>
      </w:r>
      <w:r w:rsidRPr="00225290">
        <w:rPr>
          <w:rFonts w:ascii="Roboto" w:hAnsi="Roboto" w:cstheme="minorHAnsi"/>
          <w:i/>
          <w:iCs/>
          <w:color w:val="000000" w:themeColor="text1"/>
          <w:sz w:val="24"/>
          <w:szCs w:val="24"/>
          <w:u w:val="single"/>
        </w:rPr>
        <w:t>jebkuru tehnisko noteikumu projektu</w:t>
      </w:r>
      <w:r w:rsidRPr="00225290">
        <w:rPr>
          <w:rFonts w:ascii="Roboto" w:hAnsi="Roboto" w:cstheme="minorHAnsi"/>
          <w:i/>
          <w:iCs/>
          <w:color w:val="000000" w:themeColor="text1"/>
          <w:sz w:val="24"/>
          <w:szCs w:val="24"/>
        </w:rPr>
        <w:t xml:space="preserve">, izņemot gadījumus, ja tas pārņem visu starptautiskā vai Eiropas standarta tekstu – tādā gadījumā pietiek ar informāciju par attiecīgo standartu; </w:t>
      </w:r>
      <w:r w:rsidRPr="00225290">
        <w:rPr>
          <w:rFonts w:ascii="Roboto" w:hAnsi="Roboto" w:cstheme="minorHAnsi"/>
          <w:i/>
          <w:iCs/>
          <w:color w:val="000000" w:themeColor="text1"/>
          <w:sz w:val="24"/>
          <w:szCs w:val="24"/>
          <w:u w:val="single"/>
        </w:rPr>
        <w:t>tās paziņo Komisijai pamatojumu šādu tehnisku noteikumu pieņemšanas vajadzībai</w:t>
      </w:r>
      <w:r w:rsidRPr="00225290">
        <w:rPr>
          <w:rFonts w:ascii="Roboto" w:hAnsi="Roboto" w:cstheme="minorHAnsi"/>
          <w:i/>
          <w:iCs/>
          <w:color w:val="000000" w:themeColor="text1"/>
          <w:sz w:val="24"/>
          <w:szCs w:val="24"/>
        </w:rPr>
        <w:t>, ja minētais pamatojums jau nav paskaidrots projektā.”</w:t>
      </w:r>
    </w:p>
    <w:p w14:paraId="1F8E0605" w14:textId="4C7A57F1" w:rsidR="00225290" w:rsidRPr="00225290" w:rsidRDefault="00225290" w:rsidP="00225290">
      <w:pPr>
        <w:spacing w:after="0" w:line="276" w:lineRule="auto"/>
        <w:ind w:firstLine="720"/>
        <w:jc w:val="both"/>
        <w:rPr>
          <w:rFonts w:ascii="Roboto" w:hAnsi="Roboto" w:cstheme="minorHAnsi"/>
          <w:color w:val="000000" w:themeColor="text1"/>
          <w:sz w:val="24"/>
          <w:szCs w:val="24"/>
        </w:rPr>
      </w:pPr>
      <w:r w:rsidRPr="00225290">
        <w:rPr>
          <w:rFonts w:ascii="Roboto" w:hAnsi="Roboto" w:cstheme="minorHAnsi"/>
          <w:color w:val="000000" w:themeColor="text1"/>
          <w:sz w:val="24"/>
          <w:szCs w:val="24"/>
        </w:rPr>
        <w:t>Likumprojekta 8.pants šobrīd ietver deleģējumu Ministru kabinetam izdot noteikumus attiecībā uz publisko elektronisko sakaru tīkliem un tajos izmantoto iekārtu, programmatūru un ārpakalpojumu drošības prasībām</w:t>
      </w:r>
      <w:r>
        <w:rPr>
          <w:rFonts w:ascii="Roboto" w:hAnsi="Roboto" w:cstheme="minorHAnsi"/>
          <w:color w:val="000000" w:themeColor="text1"/>
          <w:sz w:val="24"/>
          <w:szCs w:val="24"/>
        </w:rPr>
        <w:t xml:space="preserve">. </w:t>
      </w:r>
      <w:r w:rsidRPr="00225290">
        <w:rPr>
          <w:rFonts w:ascii="Roboto" w:hAnsi="Roboto" w:cstheme="minorHAnsi"/>
          <w:color w:val="000000" w:themeColor="text1"/>
          <w:sz w:val="24"/>
          <w:szCs w:val="24"/>
        </w:rPr>
        <w:t>Ņemot vērā, ka šādu Ministru kabineta noteikumu izstrādāšana atbilst Direktīvas Nr. 2015/1535 7.pantā paredzētajiem tehniskajiem noteikumiem, aicinām Likumprojekta anotācijas 5.daļas 2.tabulā norādīt, ka, gatavojot Likumprojekta 8.pantā paredzētos Ministru kabineta noteikumus, būs nepieciešams izpildīt Direktīvas Nr. 2015/1535 prasības attiecībā uz dalībvalstu pienākumu saskaņot tehnisko noteikumu prasības ar Eiropas Komisiju pirms to iesniegšanas skaņošanai Ministru kabinetā.</w:t>
      </w:r>
      <w:r>
        <w:rPr>
          <w:rFonts w:ascii="Roboto" w:hAnsi="Roboto" w:cstheme="minorHAnsi"/>
          <w:color w:val="000000" w:themeColor="text1"/>
          <w:sz w:val="24"/>
          <w:szCs w:val="24"/>
        </w:rPr>
        <w:t xml:space="preserve"> </w:t>
      </w:r>
      <w:r w:rsidRPr="00225290">
        <w:rPr>
          <w:rFonts w:ascii="Roboto" w:hAnsi="Roboto" w:cstheme="minorHAnsi"/>
          <w:color w:val="000000" w:themeColor="text1"/>
          <w:sz w:val="24"/>
          <w:szCs w:val="24"/>
        </w:rPr>
        <w:t xml:space="preserve">Balstoties uz būtiskiem iespējamiem preču aprites ierobežojumiem, kompetentajai ministrijai būs pienākums paziņot Eiropas Komisijai par normām, kas tiks ietvertas Ministru kabineta noteikumos, kas tiks izdoti uz Likumprojekta 8.pantā ietvertā deleģējuma pamata, tādējādi izpildot arī Direktīvas Nr. 2015/1535 6. apsvērumā noteikto principu, ka </w:t>
      </w:r>
      <w:r w:rsidRPr="00225290">
        <w:rPr>
          <w:rFonts w:ascii="Roboto" w:hAnsi="Roboto" w:cstheme="minorHAnsi"/>
          <w:i/>
          <w:iCs/>
          <w:color w:val="000000" w:themeColor="text1"/>
          <w:sz w:val="24"/>
          <w:szCs w:val="24"/>
        </w:rPr>
        <w:t>“visām dalībvalstīm ir arī jābūt informētām par jebkuras citas dalībvalsts plānotajiem tehniskajiem noteikumiem.</w:t>
      </w:r>
      <w:r w:rsidRPr="00225290">
        <w:rPr>
          <w:rFonts w:ascii="Roboto" w:hAnsi="Roboto" w:cstheme="minorHAnsi"/>
          <w:color w:val="000000" w:themeColor="text1"/>
          <w:sz w:val="24"/>
          <w:szCs w:val="24"/>
        </w:rPr>
        <w:t>” Piemēram, Vācija</w:t>
      </w:r>
      <w:r w:rsidRPr="00225290">
        <w:rPr>
          <w:rFonts w:ascii="Roboto" w:hAnsi="Roboto" w:cstheme="minorHAnsi"/>
          <w:color w:val="000000" w:themeColor="text1"/>
          <w:sz w:val="24"/>
          <w:szCs w:val="24"/>
          <w:vertAlign w:val="superscript"/>
        </w:rPr>
        <w:footnoteReference w:id="1"/>
      </w:r>
      <w:r w:rsidRPr="00225290">
        <w:rPr>
          <w:rFonts w:ascii="Roboto" w:hAnsi="Roboto" w:cstheme="minorHAnsi"/>
          <w:color w:val="000000" w:themeColor="text1"/>
          <w:sz w:val="24"/>
          <w:szCs w:val="24"/>
        </w:rPr>
        <w:t>, Francija</w:t>
      </w:r>
      <w:r w:rsidRPr="00225290">
        <w:rPr>
          <w:rFonts w:ascii="Roboto" w:hAnsi="Roboto" w:cstheme="minorHAnsi"/>
          <w:color w:val="000000" w:themeColor="text1"/>
          <w:sz w:val="24"/>
          <w:szCs w:val="24"/>
          <w:vertAlign w:val="superscript"/>
        </w:rPr>
        <w:footnoteReference w:id="2"/>
      </w:r>
      <w:r w:rsidRPr="00225290">
        <w:rPr>
          <w:rFonts w:ascii="Roboto" w:hAnsi="Roboto" w:cstheme="minorHAnsi"/>
          <w:color w:val="000000" w:themeColor="text1"/>
          <w:sz w:val="24"/>
          <w:szCs w:val="24"/>
        </w:rPr>
        <w:t xml:space="preserve"> un Austrija</w:t>
      </w:r>
      <w:r w:rsidRPr="00225290">
        <w:rPr>
          <w:rFonts w:ascii="Roboto" w:hAnsi="Roboto" w:cstheme="minorHAnsi"/>
          <w:color w:val="000000" w:themeColor="text1"/>
          <w:sz w:val="24"/>
          <w:szCs w:val="24"/>
          <w:vertAlign w:val="superscript"/>
        </w:rPr>
        <w:footnoteReference w:id="3"/>
      </w:r>
      <w:r w:rsidRPr="00225290">
        <w:rPr>
          <w:rFonts w:ascii="Roboto" w:hAnsi="Roboto" w:cstheme="minorHAnsi"/>
          <w:color w:val="000000" w:themeColor="text1"/>
          <w:sz w:val="24"/>
          <w:szCs w:val="24"/>
        </w:rPr>
        <w:t xml:space="preserve"> ir sniegušas ziņojumus Eiropas Komisijai par likumprojektiem, kas regulē mobilo elektronisko sakaru tīklos izmantotās komponentes. Ja Latvijas Republika neizpilda pienākumu, kas izriet no Direktīvas </w:t>
      </w:r>
      <w:r w:rsidRPr="00225290">
        <w:rPr>
          <w:rFonts w:ascii="Roboto" w:hAnsi="Roboto" w:cstheme="minorHAnsi"/>
          <w:color w:val="000000" w:themeColor="text1"/>
          <w:sz w:val="24"/>
          <w:szCs w:val="24"/>
        </w:rPr>
        <w:br/>
        <w:t>Nr. 2015/1535, un attiecīgais paziņojums netiek iesniegts, ES judikatūrā ir noteikts, ka tehniskie noteikumi nevar tikt piemēroti privāttiesību subjektam</w:t>
      </w:r>
      <w:r w:rsidRPr="00225290">
        <w:rPr>
          <w:rFonts w:ascii="Roboto" w:hAnsi="Roboto" w:cstheme="minorHAnsi"/>
          <w:color w:val="000000" w:themeColor="text1"/>
          <w:sz w:val="24"/>
          <w:szCs w:val="24"/>
          <w:vertAlign w:val="superscript"/>
        </w:rPr>
        <w:footnoteReference w:id="4"/>
      </w:r>
      <w:r w:rsidRPr="00225290">
        <w:rPr>
          <w:rFonts w:ascii="Roboto" w:hAnsi="Roboto" w:cstheme="minorHAnsi"/>
          <w:color w:val="000000" w:themeColor="text1"/>
          <w:sz w:val="24"/>
          <w:szCs w:val="24"/>
        </w:rPr>
        <w:t>.</w:t>
      </w:r>
    </w:p>
    <w:p w14:paraId="316F83AD" w14:textId="77777777" w:rsidR="005F3EFC" w:rsidRPr="009D4925" w:rsidRDefault="005F3EFC" w:rsidP="00AE3CAE">
      <w:pPr>
        <w:spacing w:after="0" w:line="276" w:lineRule="auto"/>
        <w:jc w:val="both"/>
        <w:rPr>
          <w:rFonts w:ascii="Roboto" w:eastAsiaTheme="minorEastAsia" w:hAnsi="Roboto" w:cstheme="minorHAnsi"/>
          <w:color w:val="000000" w:themeColor="text1"/>
          <w:sz w:val="24"/>
          <w:szCs w:val="24"/>
          <w:lang w:eastAsia="lv-LV"/>
        </w:rPr>
      </w:pPr>
    </w:p>
    <w:p w14:paraId="226FD10A" w14:textId="77777777" w:rsidR="0055332D" w:rsidRPr="009D4925" w:rsidRDefault="0055332D" w:rsidP="00AE3CAE">
      <w:pPr>
        <w:spacing w:after="0" w:line="276" w:lineRule="auto"/>
        <w:rPr>
          <w:rFonts w:ascii="Roboto" w:eastAsia="Calibri" w:hAnsi="Roboto" w:cs="Times New Roman"/>
          <w:sz w:val="24"/>
          <w:szCs w:val="24"/>
        </w:rPr>
      </w:pPr>
      <w:r w:rsidRPr="009D4925">
        <w:rPr>
          <w:rFonts w:ascii="Roboto" w:eastAsia="Calibri" w:hAnsi="Roboto" w:cs="Times New Roman"/>
          <w:sz w:val="24"/>
          <w:szCs w:val="24"/>
        </w:rPr>
        <w:t>Ar cieņu,</w:t>
      </w:r>
      <w:r w:rsidRPr="009D4925">
        <w:rPr>
          <w:rFonts w:ascii="Roboto" w:eastAsia="Calibri" w:hAnsi="Roboto" w:cs="Times New Roman"/>
          <w:sz w:val="24"/>
          <w:szCs w:val="24"/>
        </w:rPr>
        <w:tab/>
      </w:r>
    </w:p>
    <w:p w14:paraId="5713FCBF" w14:textId="5585D5FA" w:rsidR="001C4E05" w:rsidRPr="009D4925" w:rsidRDefault="00493D0F" w:rsidP="00AE3CAE">
      <w:pPr>
        <w:tabs>
          <w:tab w:val="left" w:pos="7655"/>
        </w:tabs>
        <w:spacing w:after="0" w:line="276" w:lineRule="auto"/>
        <w:rPr>
          <w:rFonts w:ascii="Roboto" w:eastAsia="Calibri" w:hAnsi="Roboto" w:cs="Times New Roman"/>
          <w:sz w:val="24"/>
          <w:szCs w:val="24"/>
        </w:rPr>
      </w:pPr>
      <w:r w:rsidRPr="009D4925">
        <w:rPr>
          <w:rFonts w:ascii="Roboto" w:eastAsia="Calibri" w:hAnsi="Roboto" w:cs="Times New Roman"/>
          <w:sz w:val="24"/>
          <w:szCs w:val="24"/>
        </w:rPr>
        <w:t>v</w:t>
      </w:r>
      <w:r w:rsidR="0055332D" w:rsidRPr="009D4925">
        <w:rPr>
          <w:rFonts w:ascii="Roboto" w:eastAsia="Calibri" w:hAnsi="Roboto" w:cs="Times New Roman"/>
          <w:sz w:val="24"/>
          <w:szCs w:val="24"/>
        </w:rPr>
        <w:t>aldes priekšsēdētāj</w:t>
      </w:r>
      <w:r w:rsidR="0097374C" w:rsidRPr="009D4925">
        <w:rPr>
          <w:rFonts w:ascii="Roboto" w:eastAsia="Calibri" w:hAnsi="Roboto" w:cs="Times New Roman"/>
          <w:sz w:val="24"/>
          <w:szCs w:val="24"/>
        </w:rPr>
        <w:t xml:space="preserve">s                                                                                 </w:t>
      </w:r>
      <w:r w:rsidR="00895C44">
        <w:rPr>
          <w:rFonts w:ascii="Roboto" w:eastAsia="Calibri" w:hAnsi="Roboto" w:cs="Times New Roman"/>
          <w:sz w:val="24"/>
          <w:szCs w:val="24"/>
        </w:rPr>
        <w:t xml:space="preserve">                      </w:t>
      </w:r>
      <w:r w:rsidR="0055332D" w:rsidRPr="009D4925">
        <w:rPr>
          <w:rFonts w:ascii="Roboto" w:eastAsia="Calibri" w:hAnsi="Roboto" w:cs="Times New Roman"/>
          <w:sz w:val="24"/>
          <w:szCs w:val="24"/>
        </w:rPr>
        <w:t xml:space="preserve">Jānis </w:t>
      </w:r>
      <w:r w:rsidR="0097374C" w:rsidRPr="009D4925">
        <w:rPr>
          <w:rFonts w:ascii="Roboto" w:eastAsia="Calibri" w:hAnsi="Roboto" w:cs="Times New Roman"/>
          <w:sz w:val="24"/>
          <w:szCs w:val="24"/>
        </w:rPr>
        <w:t>Endziņš</w:t>
      </w:r>
    </w:p>
    <w:p w14:paraId="576B2CC7" w14:textId="77777777" w:rsidR="00A055A3" w:rsidRPr="009D4925" w:rsidRDefault="00A055A3" w:rsidP="00AE3CAE">
      <w:pPr>
        <w:tabs>
          <w:tab w:val="left" w:pos="7655"/>
        </w:tabs>
        <w:spacing w:after="0" w:line="276" w:lineRule="auto"/>
        <w:rPr>
          <w:rFonts w:ascii="Roboto" w:eastAsia="Calibri" w:hAnsi="Roboto" w:cs="Times New Roman"/>
          <w:sz w:val="24"/>
          <w:szCs w:val="24"/>
        </w:rPr>
      </w:pPr>
    </w:p>
    <w:p w14:paraId="76371953" w14:textId="0E88327D" w:rsidR="0055332D" w:rsidRPr="00A055A3" w:rsidRDefault="00D72EFC" w:rsidP="00AE3CAE">
      <w:pPr>
        <w:tabs>
          <w:tab w:val="left" w:pos="7655"/>
        </w:tabs>
        <w:spacing w:after="0" w:line="276" w:lineRule="auto"/>
        <w:jc w:val="center"/>
        <w:rPr>
          <w:rFonts w:ascii="Roboto" w:eastAsia="Calibri" w:hAnsi="Roboto" w:cs="Times New Roman"/>
          <w:bCs/>
          <w:color w:val="000000" w:themeColor="text1"/>
          <w:sz w:val="24"/>
          <w:szCs w:val="24"/>
        </w:rPr>
      </w:pPr>
      <w:r w:rsidRPr="00A055A3">
        <w:rPr>
          <w:rFonts w:ascii="Roboto" w:eastAsia="Calibri" w:hAnsi="Roboto" w:cs="Times New Roman"/>
          <w:bCs/>
          <w:color w:val="000000" w:themeColor="text1"/>
          <w:sz w:val="24"/>
          <w:szCs w:val="24"/>
        </w:rPr>
        <w:t>DOKUMENTS IR PARAKST</w:t>
      </w:r>
      <w:r w:rsidR="00D91892" w:rsidRPr="00A055A3">
        <w:rPr>
          <w:rFonts w:ascii="Roboto" w:eastAsia="Calibri" w:hAnsi="Roboto" w:cs="Times New Roman"/>
          <w:bCs/>
          <w:color w:val="000000" w:themeColor="text1"/>
          <w:sz w:val="24"/>
          <w:szCs w:val="24"/>
        </w:rPr>
        <w:t>Ī</w:t>
      </w:r>
      <w:r w:rsidRPr="00A055A3">
        <w:rPr>
          <w:rFonts w:ascii="Roboto" w:eastAsia="Calibri" w:hAnsi="Roboto" w:cs="Times New Roman"/>
          <w:bCs/>
          <w:color w:val="000000" w:themeColor="text1"/>
          <w:sz w:val="24"/>
          <w:szCs w:val="24"/>
        </w:rPr>
        <w:t>TS AR DROŠU ELEKTRONISKO PARAKSTU UN SATUR LAIKA ZĪMOGU</w:t>
      </w:r>
    </w:p>
    <w:sectPr w:rsidR="0055332D" w:rsidRPr="00A055A3" w:rsidSect="00AC1D40">
      <w:footerReference w:type="default" r:id="rId10"/>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37F25" w14:textId="77777777" w:rsidR="007D5538" w:rsidRDefault="007D5538" w:rsidP="00F41D2C">
      <w:pPr>
        <w:spacing w:after="0" w:line="240" w:lineRule="auto"/>
      </w:pPr>
      <w:r>
        <w:separator/>
      </w:r>
    </w:p>
  </w:endnote>
  <w:endnote w:type="continuationSeparator" w:id="0">
    <w:p w14:paraId="2F2A1445" w14:textId="77777777" w:rsidR="007D5538" w:rsidRDefault="007D5538" w:rsidP="00F41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mbria" w:hAnsi="Cambria"/>
      </w:rPr>
      <w:id w:val="630832681"/>
      <w:docPartObj>
        <w:docPartGallery w:val="Page Numbers (Bottom of Page)"/>
        <w:docPartUnique/>
      </w:docPartObj>
    </w:sdtPr>
    <w:sdtEndPr>
      <w:rPr>
        <w:noProof/>
      </w:rPr>
    </w:sdtEndPr>
    <w:sdtContent>
      <w:p w14:paraId="3A03BD16" w14:textId="77777777" w:rsidR="00F931C4" w:rsidRPr="00F931C4" w:rsidRDefault="00F931C4">
        <w:pPr>
          <w:pStyle w:val="Footer"/>
          <w:jc w:val="right"/>
          <w:rPr>
            <w:rFonts w:ascii="Cambria" w:hAnsi="Cambria"/>
          </w:rPr>
        </w:pPr>
        <w:r w:rsidRPr="00F931C4">
          <w:rPr>
            <w:rFonts w:ascii="Cambria" w:hAnsi="Cambria"/>
          </w:rPr>
          <w:fldChar w:fldCharType="begin"/>
        </w:r>
        <w:r w:rsidRPr="00F931C4">
          <w:rPr>
            <w:rFonts w:ascii="Cambria" w:hAnsi="Cambria"/>
          </w:rPr>
          <w:instrText xml:space="preserve"> PAGE   \* MERGEFORMAT </w:instrText>
        </w:r>
        <w:r w:rsidRPr="00F931C4">
          <w:rPr>
            <w:rFonts w:ascii="Cambria" w:hAnsi="Cambria"/>
          </w:rPr>
          <w:fldChar w:fldCharType="separate"/>
        </w:r>
        <w:r w:rsidR="002D4023">
          <w:rPr>
            <w:rFonts w:ascii="Cambria" w:hAnsi="Cambria"/>
            <w:noProof/>
          </w:rPr>
          <w:t>2</w:t>
        </w:r>
        <w:r w:rsidRPr="00F931C4">
          <w:rPr>
            <w:rFonts w:ascii="Cambria" w:hAnsi="Cambria"/>
            <w:noProof/>
          </w:rPr>
          <w:fldChar w:fldCharType="end"/>
        </w:r>
      </w:p>
    </w:sdtContent>
  </w:sdt>
  <w:p w14:paraId="3C79C35E" w14:textId="77777777" w:rsidR="00F931C4" w:rsidRPr="00F931C4" w:rsidRDefault="00F931C4">
    <w:pPr>
      <w:pStyle w:val="Footer"/>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4815E" w14:textId="77777777" w:rsidR="007D5538" w:rsidRDefault="007D5538" w:rsidP="00F41D2C">
      <w:pPr>
        <w:spacing w:after="0" w:line="240" w:lineRule="auto"/>
      </w:pPr>
      <w:r>
        <w:separator/>
      </w:r>
    </w:p>
  </w:footnote>
  <w:footnote w:type="continuationSeparator" w:id="0">
    <w:p w14:paraId="4B6B8276" w14:textId="77777777" w:rsidR="007D5538" w:rsidRDefault="007D5538" w:rsidP="00F41D2C">
      <w:pPr>
        <w:spacing w:after="0" w:line="240" w:lineRule="auto"/>
      </w:pPr>
      <w:r>
        <w:continuationSeparator/>
      </w:r>
    </w:p>
  </w:footnote>
  <w:footnote w:id="1">
    <w:p w14:paraId="2689AFAE" w14:textId="77777777" w:rsidR="00225290" w:rsidRDefault="00225290" w:rsidP="00225290">
      <w:pPr>
        <w:pStyle w:val="FootnoteText"/>
        <w:rPr>
          <w:rFonts w:ascii="Arial" w:hAnsi="Arial"/>
          <w:sz w:val="16"/>
          <w:szCs w:val="16"/>
        </w:rPr>
      </w:pPr>
      <w:r>
        <w:rPr>
          <w:rStyle w:val="FootnoteReference"/>
          <w:sz w:val="16"/>
          <w:szCs w:val="16"/>
        </w:rPr>
        <w:footnoteRef/>
      </w:r>
      <w:r>
        <w:rPr>
          <w:sz w:val="16"/>
          <w:szCs w:val="16"/>
        </w:rPr>
        <w:t xml:space="preserve"> Paziņojuma Nr. 2020/496/D (Vācija), pieejams </w:t>
      </w:r>
      <w:hyperlink r:id="rId1" w:history="1">
        <w:r>
          <w:rPr>
            <w:rStyle w:val="Hyperlink"/>
            <w:sz w:val="16"/>
            <w:szCs w:val="16"/>
          </w:rPr>
          <w:t>https://ec.europa.eu/growth/tools-databases/tris/index.cfm/lv/index.cfm/search/?trisaction=search.detail&amp;year=2020&amp;num=496&amp;mLang=LV</w:t>
        </w:r>
      </w:hyperlink>
      <w:r>
        <w:rPr>
          <w:sz w:val="16"/>
          <w:szCs w:val="16"/>
        </w:rPr>
        <w:t xml:space="preserve">  </w:t>
      </w:r>
    </w:p>
  </w:footnote>
  <w:footnote w:id="2">
    <w:p w14:paraId="0B257317" w14:textId="77777777" w:rsidR="00225290" w:rsidRDefault="00225290" w:rsidP="00225290">
      <w:pPr>
        <w:pStyle w:val="FootnoteText"/>
        <w:rPr>
          <w:sz w:val="16"/>
          <w:szCs w:val="16"/>
        </w:rPr>
      </w:pPr>
      <w:r>
        <w:rPr>
          <w:rStyle w:val="FootnoteReference"/>
          <w:sz w:val="16"/>
          <w:szCs w:val="16"/>
        </w:rPr>
        <w:footnoteRef/>
      </w:r>
      <w:r>
        <w:rPr>
          <w:sz w:val="16"/>
          <w:szCs w:val="16"/>
        </w:rPr>
        <w:t xml:space="preserve">  Paziņojuma Nr. 2019/376/F (Francija), pieejams </w:t>
      </w:r>
      <w:hyperlink r:id="rId2" w:history="1">
        <w:r>
          <w:rPr>
            <w:rStyle w:val="Hyperlink"/>
            <w:sz w:val="16"/>
            <w:szCs w:val="16"/>
          </w:rPr>
          <w:t>https://ec.europa.eu/growth/tools-databases/tris/index.cfm/en/search/?trisaction=search.detail&amp;year=2019&amp;num=376&amp;mLang=LV</w:t>
        </w:r>
      </w:hyperlink>
      <w:r>
        <w:rPr>
          <w:sz w:val="16"/>
          <w:szCs w:val="16"/>
        </w:rPr>
        <w:t xml:space="preserve"> </w:t>
      </w:r>
    </w:p>
  </w:footnote>
  <w:footnote w:id="3">
    <w:p w14:paraId="36BCFAC5" w14:textId="77777777" w:rsidR="00225290" w:rsidRDefault="00225290" w:rsidP="00225290">
      <w:pPr>
        <w:pStyle w:val="FootnoteText"/>
      </w:pPr>
      <w:r>
        <w:rPr>
          <w:rStyle w:val="FootnoteReference"/>
          <w:sz w:val="16"/>
          <w:szCs w:val="16"/>
        </w:rPr>
        <w:footnoteRef/>
      </w:r>
      <w:r>
        <w:rPr>
          <w:sz w:val="16"/>
          <w:szCs w:val="16"/>
        </w:rPr>
        <w:t xml:space="preserve"> Paziņojuma Nr. 2019/136A (Austrija), pieejams </w:t>
      </w:r>
      <w:hyperlink r:id="rId3" w:history="1">
        <w:r>
          <w:rPr>
            <w:rStyle w:val="Hyperlink"/>
            <w:sz w:val="16"/>
            <w:szCs w:val="16"/>
          </w:rPr>
          <w:t>https://ec.europa.eu/growth/tools-databases/tris/index.cfm/en/search/?trisaction=search.detail&amp;year=2020&amp;num=544&amp;mLang=LV</w:t>
        </w:r>
      </w:hyperlink>
      <w:r>
        <w:rPr>
          <w:sz w:val="16"/>
          <w:szCs w:val="16"/>
        </w:rPr>
        <w:t xml:space="preserve"> un Paziņojuma Nr. 2019/138/A (Austrija), pieejams </w:t>
      </w:r>
      <w:hyperlink r:id="rId4" w:history="1">
        <w:r>
          <w:rPr>
            <w:rStyle w:val="Hyperlink"/>
            <w:sz w:val="16"/>
            <w:szCs w:val="16"/>
          </w:rPr>
          <w:t>https://ec.europa.eu/growth/tools-databases/tris/index.cfm/en/index.cfm/search/?trisaction=search.detail&amp;year=2019&amp;num=138&amp;mLang=LV</w:t>
        </w:r>
      </w:hyperlink>
      <w:r>
        <w:rPr>
          <w:sz w:val="16"/>
          <w:szCs w:val="16"/>
        </w:rPr>
        <w:t xml:space="preserve"> </w:t>
      </w:r>
    </w:p>
  </w:footnote>
  <w:footnote w:id="4">
    <w:p w14:paraId="0AED2100" w14:textId="77777777" w:rsidR="00225290" w:rsidRDefault="00225290" w:rsidP="00225290">
      <w:pPr>
        <w:pStyle w:val="FootnoteText"/>
        <w:rPr>
          <w:sz w:val="16"/>
          <w:szCs w:val="16"/>
        </w:rPr>
      </w:pPr>
      <w:r>
        <w:rPr>
          <w:rStyle w:val="FootnoteReference"/>
          <w:sz w:val="16"/>
          <w:szCs w:val="16"/>
        </w:rPr>
        <w:footnoteRef/>
      </w:r>
      <w:r>
        <w:rPr>
          <w:sz w:val="16"/>
          <w:szCs w:val="16"/>
        </w:rPr>
        <w:t xml:space="preserve"> Sk. EST 30.04.1996. spriedums lietā C-194/94 </w:t>
      </w:r>
      <w:r>
        <w:rPr>
          <w:i/>
          <w:iCs/>
          <w:sz w:val="16"/>
          <w:szCs w:val="16"/>
        </w:rPr>
        <w:t>CIA Security International SA</w:t>
      </w:r>
      <w:r>
        <w:rPr>
          <w:sz w:val="16"/>
          <w:szCs w:val="16"/>
        </w:rPr>
        <w:t xml:space="preserve"> [EU:C:1996:172]; EST 26.09.2000. spriedums lietā C-443/98 </w:t>
      </w:r>
      <w:r>
        <w:rPr>
          <w:i/>
          <w:iCs/>
          <w:sz w:val="16"/>
          <w:szCs w:val="16"/>
        </w:rPr>
        <w:t>Unilever Italia SpA v Central Food SpA</w:t>
      </w:r>
      <w:r>
        <w:rPr>
          <w:sz w:val="16"/>
          <w:szCs w:val="16"/>
        </w:rPr>
        <w:t xml:space="preserve"> [ECLI:EU:C:2000:496]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F2B08"/>
    <w:multiLevelType w:val="hybridMultilevel"/>
    <w:tmpl w:val="371CB990"/>
    <w:lvl w:ilvl="0" w:tplc="ECC86F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070069D"/>
    <w:multiLevelType w:val="hybridMultilevel"/>
    <w:tmpl w:val="E7680B10"/>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3844F7"/>
    <w:multiLevelType w:val="hybridMultilevel"/>
    <w:tmpl w:val="C5F03BD6"/>
    <w:lvl w:ilvl="0" w:tplc="B54CB3E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67462F93"/>
    <w:multiLevelType w:val="hybridMultilevel"/>
    <w:tmpl w:val="CEC87E0A"/>
    <w:lvl w:ilvl="0" w:tplc="ECC86F16">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A225739"/>
    <w:multiLevelType w:val="hybridMultilevel"/>
    <w:tmpl w:val="BAD076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9623B9"/>
    <w:multiLevelType w:val="hybridMultilevel"/>
    <w:tmpl w:val="2D101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0C3"/>
    <w:rsid w:val="00030ED7"/>
    <w:rsid w:val="000373ED"/>
    <w:rsid w:val="000418C4"/>
    <w:rsid w:val="000453D8"/>
    <w:rsid w:val="000525D8"/>
    <w:rsid w:val="00075A43"/>
    <w:rsid w:val="000A0748"/>
    <w:rsid w:val="000B062D"/>
    <w:rsid w:val="000B3784"/>
    <w:rsid w:val="000B59EB"/>
    <w:rsid w:val="000C0E23"/>
    <w:rsid w:val="000C6E4D"/>
    <w:rsid w:val="000D129E"/>
    <w:rsid w:val="000D53A8"/>
    <w:rsid w:val="000E0FFB"/>
    <w:rsid w:val="000E2C30"/>
    <w:rsid w:val="000E300D"/>
    <w:rsid w:val="000E410A"/>
    <w:rsid w:val="000F5C26"/>
    <w:rsid w:val="00103DF9"/>
    <w:rsid w:val="001158DD"/>
    <w:rsid w:val="00124FA8"/>
    <w:rsid w:val="001251E4"/>
    <w:rsid w:val="00133FFF"/>
    <w:rsid w:val="00137629"/>
    <w:rsid w:val="00143544"/>
    <w:rsid w:val="001512C6"/>
    <w:rsid w:val="0015187E"/>
    <w:rsid w:val="00154164"/>
    <w:rsid w:val="00162443"/>
    <w:rsid w:val="00162714"/>
    <w:rsid w:val="0016318F"/>
    <w:rsid w:val="00167A23"/>
    <w:rsid w:val="001704F8"/>
    <w:rsid w:val="00175BA3"/>
    <w:rsid w:val="001843C1"/>
    <w:rsid w:val="001B0076"/>
    <w:rsid w:val="001B4C21"/>
    <w:rsid w:val="001C4E05"/>
    <w:rsid w:val="001D3E1C"/>
    <w:rsid w:val="001D4347"/>
    <w:rsid w:val="001E0340"/>
    <w:rsid w:val="001E2BFB"/>
    <w:rsid w:val="001E6391"/>
    <w:rsid w:val="001E6DB6"/>
    <w:rsid w:val="001E75E0"/>
    <w:rsid w:val="001F7D3C"/>
    <w:rsid w:val="002043B2"/>
    <w:rsid w:val="00210E83"/>
    <w:rsid w:val="002122F8"/>
    <w:rsid w:val="0021328B"/>
    <w:rsid w:val="00221054"/>
    <w:rsid w:val="00225290"/>
    <w:rsid w:val="00225D1E"/>
    <w:rsid w:val="00232506"/>
    <w:rsid w:val="00236E84"/>
    <w:rsid w:val="002409F9"/>
    <w:rsid w:val="00247F4A"/>
    <w:rsid w:val="0025565D"/>
    <w:rsid w:val="0025656D"/>
    <w:rsid w:val="00294EB9"/>
    <w:rsid w:val="0029501C"/>
    <w:rsid w:val="00297732"/>
    <w:rsid w:val="002B1DD1"/>
    <w:rsid w:val="002B2A55"/>
    <w:rsid w:val="002B7DE2"/>
    <w:rsid w:val="002C07CC"/>
    <w:rsid w:val="002C5A07"/>
    <w:rsid w:val="002D02F6"/>
    <w:rsid w:val="002D4023"/>
    <w:rsid w:val="002F1522"/>
    <w:rsid w:val="002F3025"/>
    <w:rsid w:val="00300BCA"/>
    <w:rsid w:val="00303A69"/>
    <w:rsid w:val="0030697D"/>
    <w:rsid w:val="00314495"/>
    <w:rsid w:val="00314532"/>
    <w:rsid w:val="00314E7F"/>
    <w:rsid w:val="0031563E"/>
    <w:rsid w:val="003171EA"/>
    <w:rsid w:val="00322ACA"/>
    <w:rsid w:val="0033264F"/>
    <w:rsid w:val="00343569"/>
    <w:rsid w:val="00350870"/>
    <w:rsid w:val="00357639"/>
    <w:rsid w:val="0038679F"/>
    <w:rsid w:val="003929E3"/>
    <w:rsid w:val="00395864"/>
    <w:rsid w:val="00396A1B"/>
    <w:rsid w:val="003B0DFE"/>
    <w:rsid w:val="003B4424"/>
    <w:rsid w:val="003C08F1"/>
    <w:rsid w:val="003C6845"/>
    <w:rsid w:val="003D2F93"/>
    <w:rsid w:val="003D380B"/>
    <w:rsid w:val="003F1F44"/>
    <w:rsid w:val="004027D6"/>
    <w:rsid w:val="00404F31"/>
    <w:rsid w:val="004071C3"/>
    <w:rsid w:val="00412466"/>
    <w:rsid w:val="0041781E"/>
    <w:rsid w:val="00432EF8"/>
    <w:rsid w:val="00442B3A"/>
    <w:rsid w:val="0044362A"/>
    <w:rsid w:val="0045247C"/>
    <w:rsid w:val="00456E5D"/>
    <w:rsid w:val="004577B4"/>
    <w:rsid w:val="00460213"/>
    <w:rsid w:val="0047471E"/>
    <w:rsid w:val="00477922"/>
    <w:rsid w:val="004873C4"/>
    <w:rsid w:val="00487E5C"/>
    <w:rsid w:val="00491068"/>
    <w:rsid w:val="00493764"/>
    <w:rsid w:val="00493D0F"/>
    <w:rsid w:val="004A3AB0"/>
    <w:rsid w:val="004A6F1C"/>
    <w:rsid w:val="004B682F"/>
    <w:rsid w:val="004D41DF"/>
    <w:rsid w:val="004D6497"/>
    <w:rsid w:val="004E1B52"/>
    <w:rsid w:val="004E494D"/>
    <w:rsid w:val="004E606B"/>
    <w:rsid w:val="004F1E02"/>
    <w:rsid w:val="004F75BF"/>
    <w:rsid w:val="00507FF6"/>
    <w:rsid w:val="00510E01"/>
    <w:rsid w:val="00511681"/>
    <w:rsid w:val="00516150"/>
    <w:rsid w:val="00517DB2"/>
    <w:rsid w:val="00520D31"/>
    <w:rsid w:val="00521C0D"/>
    <w:rsid w:val="00521D59"/>
    <w:rsid w:val="005246F9"/>
    <w:rsid w:val="00526ABF"/>
    <w:rsid w:val="005320DF"/>
    <w:rsid w:val="00541F19"/>
    <w:rsid w:val="0055332D"/>
    <w:rsid w:val="0055650C"/>
    <w:rsid w:val="00561971"/>
    <w:rsid w:val="00563847"/>
    <w:rsid w:val="005A301E"/>
    <w:rsid w:val="005A3D4B"/>
    <w:rsid w:val="005B380E"/>
    <w:rsid w:val="005B3A9F"/>
    <w:rsid w:val="005C08A9"/>
    <w:rsid w:val="005C4FEA"/>
    <w:rsid w:val="005C7FB9"/>
    <w:rsid w:val="005D1E24"/>
    <w:rsid w:val="005E750F"/>
    <w:rsid w:val="005F3EFC"/>
    <w:rsid w:val="005F6735"/>
    <w:rsid w:val="00601633"/>
    <w:rsid w:val="00603257"/>
    <w:rsid w:val="006065FB"/>
    <w:rsid w:val="00612400"/>
    <w:rsid w:val="00614DFB"/>
    <w:rsid w:val="0061530E"/>
    <w:rsid w:val="006176F6"/>
    <w:rsid w:val="006205A7"/>
    <w:rsid w:val="00627677"/>
    <w:rsid w:val="00630268"/>
    <w:rsid w:val="00631175"/>
    <w:rsid w:val="006340A9"/>
    <w:rsid w:val="00644485"/>
    <w:rsid w:val="00644906"/>
    <w:rsid w:val="0064643F"/>
    <w:rsid w:val="006560C3"/>
    <w:rsid w:val="00657FC8"/>
    <w:rsid w:val="00673CAB"/>
    <w:rsid w:val="0068034D"/>
    <w:rsid w:val="00685ED2"/>
    <w:rsid w:val="0069238A"/>
    <w:rsid w:val="00692CB3"/>
    <w:rsid w:val="00692F29"/>
    <w:rsid w:val="006962CD"/>
    <w:rsid w:val="006A0C9A"/>
    <w:rsid w:val="006A65ED"/>
    <w:rsid w:val="006A7E44"/>
    <w:rsid w:val="006B3370"/>
    <w:rsid w:val="006B3D50"/>
    <w:rsid w:val="006C356E"/>
    <w:rsid w:val="006C626B"/>
    <w:rsid w:val="006D2800"/>
    <w:rsid w:val="006D6686"/>
    <w:rsid w:val="006D7C45"/>
    <w:rsid w:val="006F2266"/>
    <w:rsid w:val="00703ED1"/>
    <w:rsid w:val="00711492"/>
    <w:rsid w:val="00712D32"/>
    <w:rsid w:val="00717A6D"/>
    <w:rsid w:val="007216EF"/>
    <w:rsid w:val="0072504D"/>
    <w:rsid w:val="00750D17"/>
    <w:rsid w:val="007562C2"/>
    <w:rsid w:val="00760C73"/>
    <w:rsid w:val="00762F28"/>
    <w:rsid w:val="00774F22"/>
    <w:rsid w:val="00777CBD"/>
    <w:rsid w:val="007805E2"/>
    <w:rsid w:val="007839CF"/>
    <w:rsid w:val="0078538B"/>
    <w:rsid w:val="00791644"/>
    <w:rsid w:val="007A0372"/>
    <w:rsid w:val="007A2820"/>
    <w:rsid w:val="007A2850"/>
    <w:rsid w:val="007A5619"/>
    <w:rsid w:val="007A7286"/>
    <w:rsid w:val="007D0302"/>
    <w:rsid w:val="007D5538"/>
    <w:rsid w:val="007F4F13"/>
    <w:rsid w:val="007F778A"/>
    <w:rsid w:val="008008BA"/>
    <w:rsid w:val="00806AA0"/>
    <w:rsid w:val="0081499E"/>
    <w:rsid w:val="008358FE"/>
    <w:rsid w:val="0084731F"/>
    <w:rsid w:val="008476E9"/>
    <w:rsid w:val="0085188E"/>
    <w:rsid w:val="00860442"/>
    <w:rsid w:val="00866F19"/>
    <w:rsid w:val="00871A82"/>
    <w:rsid w:val="008800F5"/>
    <w:rsid w:val="008832CC"/>
    <w:rsid w:val="00887926"/>
    <w:rsid w:val="00887F9C"/>
    <w:rsid w:val="008953E3"/>
    <w:rsid w:val="00895C44"/>
    <w:rsid w:val="008A0A41"/>
    <w:rsid w:val="008A455C"/>
    <w:rsid w:val="008A47BF"/>
    <w:rsid w:val="008B4D13"/>
    <w:rsid w:val="008B5D61"/>
    <w:rsid w:val="008B5EB3"/>
    <w:rsid w:val="008C34F3"/>
    <w:rsid w:val="008D21D8"/>
    <w:rsid w:val="008E3E9D"/>
    <w:rsid w:val="008F0726"/>
    <w:rsid w:val="008F5E98"/>
    <w:rsid w:val="008F724D"/>
    <w:rsid w:val="00905FC8"/>
    <w:rsid w:val="00911D5E"/>
    <w:rsid w:val="00915076"/>
    <w:rsid w:val="00922D83"/>
    <w:rsid w:val="00927DFB"/>
    <w:rsid w:val="00960E26"/>
    <w:rsid w:val="0096664D"/>
    <w:rsid w:val="009720FC"/>
    <w:rsid w:val="0097374C"/>
    <w:rsid w:val="0097609F"/>
    <w:rsid w:val="00985262"/>
    <w:rsid w:val="00990838"/>
    <w:rsid w:val="009940C0"/>
    <w:rsid w:val="0099563B"/>
    <w:rsid w:val="009B4297"/>
    <w:rsid w:val="009C0139"/>
    <w:rsid w:val="009C1B66"/>
    <w:rsid w:val="009D2CFD"/>
    <w:rsid w:val="009D4925"/>
    <w:rsid w:val="009E2B8A"/>
    <w:rsid w:val="009E4265"/>
    <w:rsid w:val="009E5B65"/>
    <w:rsid w:val="009E7978"/>
    <w:rsid w:val="00A02074"/>
    <w:rsid w:val="00A055A3"/>
    <w:rsid w:val="00A06F3C"/>
    <w:rsid w:val="00A12892"/>
    <w:rsid w:val="00A136A6"/>
    <w:rsid w:val="00A15632"/>
    <w:rsid w:val="00A2118E"/>
    <w:rsid w:val="00A30131"/>
    <w:rsid w:val="00A371D2"/>
    <w:rsid w:val="00A460C7"/>
    <w:rsid w:val="00A4653D"/>
    <w:rsid w:val="00A50F2D"/>
    <w:rsid w:val="00A51622"/>
    <w:rsid w:val="00A533F2"/>
    <w:rsid w:val="00A53ACE"/>
    <w:rsid w:val="00A61EBE"/>
    <w:rsid w:val="00A63CFB"/>
    <w:rsid w:val="00A662C5"/>
    <w:rsid w:val="00A7287D"/>
    <w:rsid w:val="00A7706E"/>
    <w:rsid w:val="00A85361"/>
    <w:rsid w:val="00AB0DC5"/>
    <w:rsid w:val="00AB52F6"/>
    <w:rsid w:val="00AB6420"/>
    <w:rsid w:val="00AB715B"/>
    <w:rsid w:val="00AC1D40"/>
    <w:rsid w:val="00AC3A38"/>
    <w:rsid w:val="00AE25E4"/>
    <w:rsid w:val="00AE3CAE"/>
    <w:rsid w:val="00AE6FF6"/>
    <w:rsid w:val="00AF53E0"/>
    <w:rsid w:val="00B0044E"/>
    <w:rsid w:val="00B011C8"/>
    <w:rsid w:val="00B1233E"/>
    <w:rsid w:val="00B144C7"/>
    <w:rsid w:val="00B32AAB"/>
    <w:rsid w:val="00B33A3F"/>
    <w:rsid w:val="00B35421"/>
    <w:rsid w:val="00B45B7F"/>
    <w:rsid w:val="00B569B4"/>
    <w:rsid w:val="00B57867"/>
    <w:rsid w:val="00B61EFA"/>
    <w:rsid w:val="00B65CBF"/>
    <w:rsid w:val="00B72DE0"/>
    <w:rsid w:val="00B75466"/>
    <w:rsid w:val="00B82177"/>
    <w:rsid w:val="00B93D5C"/>
    <w:rsid w:val="00B94C69"/>
    <w:rsid w:val="00B951D1"/>
    <w:rsid w:val="00BA1090"/>
    <w:rsid w:val="00BB2A2D"/>
    <w:rsid w:val="00BB4EE0"/>
    <w:rsid w:val="00BB7117"/>
    <w:rsid w:val="00BC1FCC"/>
    <w:rsid w:val="00BC6497"/>
    <w:rsid w:val="00BF5A88"/>
    <w:rsid w:val="00BF61E9"/>
    <w:rsid w:val="00BF7F5F"/>
    <w:rsid w:val="00C014C6"/>
    <w:rsid w:val="00C02014"/>
    <w:rsid w:val="00C02B50"/>
    <w:rsid w:val="00C12584"/>
    <w:rsid w:val="00C200AE"/>
    <w:rsid w:val="00C20131"/>
    <w:rsid w:val="00C2490E"/>
    <w:rsid w:val="00C41A86"/>
    <w:rsid w:val="00C43344"/>
    <w:rsid w:val="00C43407"/>
    <w:rsid w:val="00C44D10"/>
    <w:rsid w:val="00C44DDA"/>
    <w:rsid w:val="00C478F9"/>
    <w:rsid w:val="00C66718"/>
    <w:rsid w:val="00C67A99"/>
    <w:rsid w:val="00C80580"/>
    <w:rsid w:val="00C86774"/>
    <w:rsid w:val="00C939D9"/>
    <w:rsid w:val="00C94D2E"/>
    <w:rsid w:val="00C95241"/>
    <w:rsid w:val="00CA4542"/>
    <w:rsid w:val="00CB2C09"/>
    <w:rsid w:val="00CB5501"/>
    <w:rsid w:val="00CC2669"/>
    <w:rsid w:val="00CE26BF"/>
    <w:rsid w:val="00CE4038"/>
    <w:rsid w:val="00CF4E44"/>
    <w:rsid w:val="00CF674C"/>
    <w:rsid w:val="00D03474"/>
    <w:rsid w:val="00D11679"/>
    <w:rsid w:val="00D13D50"/>
    <w:rsid w:val="00D158FE"/>
    <w:rsid w:val="00D15A2C"/>
    <w:rsid w:val="00D35B9F"/>
    <w:rsid w:val="00D40661"/>
    <w:rsid w:val="00D438BF"/>
    <w:rsid w:val="00D54D61"/>
    <w:rsid w:val="00D574D1"/>
    <w:rsid w:val="00D61CED"/>
    <w:rsid w:val="00D620BE"/>
    <w:rsid w:val="00D6681A"/>
    <w:rsid w:val="00D71704"/>
    <w:rsid w:val="00D72EFC"/>
    <w:rsid w:val="00D75378"/>
    <w:rsid w:val="00D85BF9"/>
    <w:rsid w:val="00D91892"/>
    <w:rsid w:val="00DA48FE"/>
    <w:rsid w:val="00DB30E9"/>
    <w:rsid w:val="00DB385A"/>
    <w:rsid w:val="00DC4074"/>
    <w:rsid w:val="00DC47C7"/>
    <w:rsid w:val="00DC6C1D"/>
    <w:rsid w:val="00DE439A"/>
    <w:rsid w:val="00DF1F44"/>
    <w:rsid w:val="00E02068"/>
    <w:rsid w:val="00E03782"/>
    <w:rsid w:val="00E174B7"/>
    <w:rsid w:val="00E21F9C"/>
    <w:rsid w:val="00E26149"/>
    <w:rsid w:val="00E36E88"/>
    <w:rsid w:val="00E40A4F"/>
    <w:rsid w:val="00E439B2"/>
    <w:rsid w:val="00E452F4"/>
    <w:rsid w:val="00E52CE2"/>
    <w:rsid w:val="00E54728"/>
    <w:rsid w:val="00E57882"/>
    <w:rsid w:val="00E70C65"/>
    <w:rsid w:val="00E71816"/>
    <w:rsid w:val="00E74E86"/>
    <w:rsid w:val="00E81251"/>
    <w:rsid w:val="00E8610D"/>
    <w:rsid w:val="00E90D83"/>
    <w:rsid w:val="00E94E19"/>
    <w:rsid w:val="00EA4093"/>
    <w:rsid w:val="00EA4959"/>
    <w:rsid w:val="00EA67C6"/>
    <w:rsid w:val="00EB0CD6"/>
    <w:rsid w:val="00EB256A"/>
    <w:rsid w:val="00EC4BCB"/>
    <w:rsid w:val="00EC4CB9"/>
    <w:rsid w:val="00EE25A3"/>
    <w:rsid w:val="00EE3D7D"/>
    <w:rsid w:val="00EE4140"/>
    <w:rsid w:val="00EE72C0"/>
    <w:rsid w:val="00EF3E0D"/>
    <w:rsid w:val="00EF4611"/>
    <w:rsid w:val="00F04EB0"/>
    <w:rsid w:val="00F213A6"/>
    <w:rsid w:val="00F273CF"/>
    <w:rsid w:val="00F274F9"/>
    <w:rsid w:val="00F32292"/>
    <w:rsid w:val="00F32A2B"/>
    <w:rsid w:val="00F3307C"/>
    <w:rsid w:val="00F3373D"/>
    <w:rsid w:val="00F417C6"/>
    <w:rsid w:val="00F41815"/>
    <w:rsid w:val="00F41D2C"/>
    <w:rsid w:val="00F556D2"/>
    <w:rsid w:val="00F56FC7"/>
    <w:rsid w:val="00F61193"/>
    <w:rsid w:val="00F63D1E"/>
    <w:rsid w:val="00F81644"/>
    <w:rsid w:val="00F83264"/>
    <w:rsid w:val="00F83FA2"/>
    <w:rsid w:val="00F91F41"/>
    <w:rsid w:val="00F931C4"/>
    <w:rsid w:val="00FB0376"/>
    <w:rsid w:val="00FB05D0"/>
    <w:rsid w:val="00FC4402"/>
    <w:rsid w:val="00FD06B1"/>
    <w:rsid w:val="00FE3EC0"/>
    <w:rsid w:val="00FE522D"/>
    <w:rsid w:val="00FF4FA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736A"/>
  <w15:chartTrackingRefBased/>
  <w15:docId w15:val="{9B661C7F-8F8E-4BF2-BFC8-027511E60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118E"/>
    <w:rPr>
      <w:color w:val="0563C1" w:themeColor="hyperlink"/>
      <w:u w:val="single"/>
    </w:rPr>
  </w:style>
  <w:style w:type="paragraph" w:styleId="FootnoteText">
    <w:name w:val="footnote text"/>
    <w:basedOn w:val="Normal"/>
    <w:link w:val="FootnoteTextChar"/>
    <w:uiPriority w:val="99"/>
    <w:semiHidden/>
    <w:unhideWhenUsed/>
    <w:rsid w:val="00F41D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D2C"/>
    <w:rPr>
      <w:sz w:val="20"/>
      <w:szCs w:val="20"/>
    </w:rPr>
  </w:style>
  <w:style w:type="character" w:styleId="FootnoteReference">
    <w:name w:val="footnote reference"/>
    <w:aliases w:val="fr,Footnote Reference Number,Footnote symbol,Footnote sign,Style 4"/>
    <w:basedOn w:val="DefaultParagraphFont"/>
    <w:uiPriority w:val="99"/>
    <w:semiHidden/>
    <w:unhideWhenUsed/>
    <w:rsid w:val="00F41D2C"/>
    <w:rPr>
      <w:vertAlign w:val="superscript"/>
    </w:rPr>
  </w:style>
  <w:style w:type="character" w:customStyle="1" w:styleId="UnresolvedMention1">
    <w:name w:val="Unresolved Mention1"/>
    <w:basedOn w:val="DefaultParagraphFont"/>
    <w:uiPriority w:val="99"/>
    <w:semiHidden/>
    <w:unhideWhenUsed/>
    <w:rsid w:val="00F41D2C"/>
    <w:rPr>
      <w:color w:val="605E5C"/>
      <w:shd w:val="clear" w:color="auto" w:fill="E1DFDD"/>
    </w:rPr>
  </w:style>
  <w:style w:type="paragraph" w:styleId="Header">
    <w:name w:val="header"/>
    <w:basedOn w:val="Normal"/>
    <w:link w:val="HeaderChar"/>
    <w:uiPriority w:val="99"/>
    <w:unhideWhenUsed/>
    <w:rsid w:val="00F931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31C4"/>
  </w:style>
  <w:style w:type="paragraph" w:styleId="Footer">
    <w:name w:val="footer"/>
    <w:basedOn w:val="Normal"/>
    <w:link w:val="FooterChar"/>
    <w:uiPriority w:val="99"/>
    <w:unhideWhenUsed/>
    <w:rsid w:val="00F931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31C4"/>
  </w:style>
  <w:style w:type="character" w:styleId="FollowedHyperlink">
    <w:name w:val="FollowedHyperlink"/>
    <w:basedOn w:val="DefaultParagraphFont"/>
    <w:uiPriority w:val="99"/>
    <w:semiHidden/>
    <w:unhideWhenUsed/>
    <w:rsid w:val="00F931C4"/>
    <w:rPr>
      <w:color w:val="954F72" w:themeColor="followedHyperlink"/>
      <w:u w:val="single"/>
    </w:rPr>
  </w:style>
  <w:style w:type="paragraph" w:styleId="BalloonText">
    <w:name w:val="Balloon Text"/>
    <w:basedOn w:val="Normal"/>
    <w:link w:val="BalloonTextChar"/>
    <w:uiPriority w:val="99"/>
    <w:semiHidden/>
    <w:unhideWhenUsed/>
    <w:rsid w:val="001E03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340"/>
    <w:rPr>
      <w:rFonts w:ascii="Segoe UI" w:hAnsi="Segoe UI" w:cs="Segoe UI"/>
      <w:sz w:val="18"/>
      <w:szCs w:val="18"/>
    </w:rPr>
  </w:style>
  <w:style w:type="table" w:styleId="TableGrid">
    <w:name w:val="Table Grid"/>
    <w:basedOn w:val="TableNormal"/>
    <w:uiPriority w:val="39"/>
    <w:rsid w:val="001E0340"/>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15187E"/>
    <w:rPr>
      <w:color w:val="605E5C"/>
      <w:shd w:val="clear" w:color="auto" w:fill="E1DFDD"/>
    </w:rPr>
  </w:style>
  <w:style w:type="paragraph" w:styleId="ListParagraph">
    <w:name w:val="List Paragraph"/>
    <w:basedOn w:val="Normal"/>
    <w:uiPriority w:val="34"/>
    <w:qFormat/>
    <w:rsid w:val="005B380E"/>
    <w:pPr>
      <w:ind w:left="720"/>
      <w:contextualSpacing/>
    </w:pPr>
  </w:style>
  <w:style w:type="paragraph" w:styleId="EndnoteText">
    <w:name w:val="endnote text"/>
    <w:basedOn w:val="Normal"/>
    <w:link w:val="EndnoteTextChar"/>
    <w:uiPriority w:val="99"/>
    <w:semiHidden/>
    <w:unhideWhenUsed/>
    <w:rsid w:val="00C6671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66718"/>
    <w:rPr>
      <w:sz w:val="20"/>
      <w:szCs w:val="20"/>
    </w:rPr>
  </w:style>
  <w:style w:type="character" w:styleId="EndnoteReference">
    <w:name w:val="endnote reference"/>
    <w:basedOn w:val="DefaultParagraphFont"/>
    <w:uiPriority w:val="99"/>
    <w:semiHidden/>
    <w:unhideWhenUsed/>
    <w:rsid w:val="00C66718"/>
    <w:rPr>
      <w:vertAlign w:val="superscript"/>
    </w:rPr>
  </w:style>
  <w:style w:type="character" w:styleId="CommentReference">
    <w:name w:val="annotation reference"/>
    <w:basedOn w:val="DefaultParagraphFont"/>
    <w:uiPriority w:val="99"/>
    <w:semiHidden/>
    <w:unhideWhenUsed/>
    <w:rsid w:val="00F56FC7"/>
    <w:rPr>
      <w:sz w:val="16"/>
      <w:szCs w:val="16"/>
    </w:rPr>
  </w:style>
  <w:style w:type="paragraph" w:styleId="CommentText">
    <w:name w:val="annotation text"/>
    <w:basedOn w:val="Normal"/>
    <w:link w:val="CommentTextChar"/>
    <w:uiPriority w:val="99"/>
    <w:semiHidden/>
    <w:unhideWhenUsed/>
    <w:rsid w:val="00F56FC7"/>
    <w:pPr>
      <w:spacing w:line="240" w:lineRule="auto"/>
    </w:pPr>
    <w:rPr>
      <w:sz w:val="20"/>
      <w:szCs w:val="20"/>
    </w:rPr>
  </w:style>
  <w:style w:type="character" w:customStyle="1" w:styleId="CommentTextChar">
    <w:name w:val="Comment Text Char"/>
    <w:basedOn w:val="DefaultParagraphFont"/>
    <w:link w:val="CommentText"/>
    <w:uiPriority w:val="99"/>
    <w:semiHidden/>
    <w:rsid w:val="00F56FC7"/>
    <w:rPr>
      <w:sz w:val="20"/>
      <w:szCs w:val="20"/>
    </w:rPr>
  </w:style>
  <w:style w:type="paragraph" w:styleId="CommentSubject">
    <w:name w:val="annotation subject"/>
    <w:basedOn w:val="CommentText"/>
    <w:next w:val="CommentText"/>
    <w:link w:val="CommentSubjectChar"/>
    <w:uiPriority w:val="99"/>
    <w:semiHidden/>
    <w:unhideWhenUsed/>
    <w:rsid w:val="00F56FC7"/>
    <w:rPr>
      <w:b/>
      <w:bCs/>
    </w:rPr>
  </w:style>
  <w:style w:type="character" w:customStyle="1" w:styleId="CommentSubjectChar">
    <w:name w:val="Comment Subject Char"/>
    <w:basedOn w:val="CommentTextChar"/>
    <w:link w:val="CommentSubject"/>
    <w:uiPriority w:val="99"/>
    <w:semiHidden/>
    <w:rsid w:val="00F56FC7"/>
    <w:rPr>
      <w:b/>
      <w:bCs/>
      <w:sz w:val="20"/>
      <w:szCs w:val="20"/>
    </w:rPr>
  </w:style>
  <w:style w:type="character" w:customStyle="1" w:styleId="UnresolvedMention3">
    <w:name w:val="Unresolved Mention3"/>
    <w:basedOn w:val="DefaultParagraphFont"/>
    <w:uiPriority w:val="99"/>
    <w:semiHidden/>
    <w:unhideWhenUsed/>
    <w:rsid w:val="002C5A07"/>
    <w:rPr>
      <w:color w:val="605E5C"/>
      <w:shd w:val="clear" w:color="auto" w:fill="E1DFDD"/>
    </w:rPr>
  </w:style>
  <w:style w:type="character" w:customStyle="1" w:styleId="Neatrisintapieminana1">
    <w:name w:val="Neatrisināta pieminēšana1"/>
    <w:basedOn w:val="DefaultParagraphFont"/>
    <w:uiPriority w:val="99"/>
    <w:semiHidden/>
    <w:unhideWhenUsed/>
    <w:rsid w:val="00973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431">
      <w:bodyDiv w:val="1"/>
      <w:marLeft w:val="0"/>
      <w:marRight w:val="0"/>
      <w:marTop w:val="0"/>
      <w:marBottom w:val="0"/>
      <w:divBdr>
        <w:top w:val="none" w:sz="0" w:space="0" w:color="auto"/>
        <w:left w:val="none" w:sz="0" w:space="0" w:color="auto"/>
        <w:bottom w:val="none" w:sz="0" w:space="0" w:color="auto"/>
        <w:right w:val="none" w:sz="0" w:space="0" w:color="auto"/>
      </w:divBdr>
    </w:div>
    <w:div w:id="410393594">
      <w:bodyDiv w:val="1"/>
      <w:marLeft w:val="0"/>
      <w:marRight w:val="0"/>
      <w:marTop w:val="0"/>
      <w:marBottom w:val="0"/>
      <w:divBdr>
        <w:top w:val="none" w:sz="0" w:space="0" w:color="auto"/>
        <w:left w:val="none" w:sz="0" w:space="0" w:color="auto"/>
        <w:bottom w:val="none" w:sz="0" w:space="0" w:color="auto"/>
        <w:right w:val="none" w:sz="0" w:space="0" w:color="auto"/>
      </w:divBdr>
    </w:div>
    <w:div w:id="535317931">
      <w:bodyDiv w:val="1"/>
      <w:marLeft w:val="0"/>
      <w:marRight w:val="0"/>
      <w:marTop w:val="0"/>
      <w:marBottom w:val="0"/>
      <w:divBdr>
        <w:top w:val="none" w:sz="0" w:space="0" w:color="auto"/>
        <w:left w:val="none" w:sz="0" w:space="0" w:color="auto"/>
        <w:bottom w:val="none" w:sz="0" w:space="0" w:color="auto"/>
        <w:right w:val="none" w:sz="0" w:space="0" w:color="auto"/>
      </w:divBdr>
    </w:div>
    <w:div w:id="563679895">
      <w:bodyDiv w:val="1"/>
      <w:marLeft w:val="0"/>
      <w:marRight w:val="0"/>
      <w:marTop w:val="0"/>
      <w:marBottom w:val="0"/>
      <w:divBdr>
        <w:top w:val="none" w:sz="0" w:space="0" w:color="auto"/>
        <w:left w:val="none" w:sz="0" w:space="0" w:color="auto"/>
        <w:bottom w:val="none" w:sz="0" w:space="0" w:color="auto"/>
        <w:right w:val="none" w:sz="0" w:space="0" w:color="auto"/>
      </w:divBdr>
    </w:div>
    <w:div w:id="724641849">
      <w:bodyDiv w:val="1"/>
      <w:marLeft w:val="0"/>
      <w:marRight w:val="0"/>
      <w:marTop w:val="0"/>
      <w:marBottom w:val="0"/>
      <w:divBdr>
        <w:top w:val="none" w:sz="0" w:space="0" w:color="auto"/>
        <w:left w:val="none" w:sz="0" w:space="0" w:color="auto"/>
        <w:bottom w:val="none" w:sz="0" w:space="0" w:color="auto"/>
        <w:right w:val="none" w:sz="0" w:space="0" w:color="auto"/>
      </w:divBdr>
    </w:div>
    <w:div w:id="772626384">
      <w:bodyDiv w:val="1"/>
      <w:marLeft w:val="0"/>
      <w:marRight w:val="0"/>
      <w:marTop w:val="0"/>
      <w:marBottom w:val="0"/>
      <w:divBdr>
        <w:top w:val="none" w:sz="0" w:space="0" w:color="auto"/>
        <w:left w:val="none" w:sz="0" w:space="0" w:color="auto"/>
        <w:bottom w:val="none" w:sz="0" w:space="0" w:color="auto"/>
        <w:right w:val="none" w:sz="0" w:space="0" w:color="auto"/>
      </w:divBdr>
    </w:div>
    <w:div w:id="1064648268">
      <w:bodyDiv w:val="1"/>
      <w:marLeft w:val="0"/>
      <w:marRight w:val="0"/>
      <w:marTop w:val="0"/>
      <w:marBottom w:val="0"/>
      <w:divBdr>
        <w:top w:val="none" w:sz="0" w:space="0" w:color="auto"/>
        <w:left w:val="none" w:sz="0" w:space="0" w:color="auto"/>
        <w:bottom w:val="none" w:sz="0" w:space="0" w:color="auto"/>
        <w:right w:val="none" w:sz="0" w:space="0" w:color="auto"/>
      </w:divBdr>
    </w:div>
    <w:div w:id="1079249338">
      <w:bodyDiv w:val="1"/>
      <w:marLeft w:val="0"/>
      <w:marRight w:val="0"/>
      <w:marTop w:val="0"/>
      <w:marBottom w:val="0"/>
      <w:divBdr>
        <w:top w:val="none" w:sz="0" w:space="0" w:color="auto"/>
        <w:left w:val="none" w:sz="0" w:space="0" w:color="auto"/>
        <w:bottom w:val="none" w:sz="0" w:space="0" w:color="auto"/>
        <w:right w:val="none" w:sz="0" w:space="0" w:color="auto"/>
      </w:divBdr>
    </w:div>
    <w:div w:id="1403329214">
      <w:bodyDiv w:val="1"/>
      <w:marLeft w:val="0"/>
      <w:marRight w:val="0"/>
      <w:marTop w:val="0"/>
      <w:marBottom w:val="0"/>
      <w:divBdr>
        <w:top w:val="none" w:sz="0" w:space="0" w:color="auto"/>
        <w:left w:val="none" w:sz="0" w:space="0" w:color="auto"/>
        <w:bottom w:val="none" w:sz="0" w:space="0" w:color="auto"/>
        <w:right w:val="none" w:sz="0" w:space="0" w:color="auto"/>
      </w:divBdr>
    </w:div>
    <w:div w:id="1421290824">
      <w:bodyDiv w:val="1"/>
      <w:marLeft w:val="0"/>
      <w:marRight w:val="0"/>
      <w:marTop w:val="0"/>
      <w:marBottom w:val="0"/>
      <w:divBdr>
        <w:top w:val="none" w:sz="0" w:space="0" w:color="auto"/>
        <w:left w:val="none" w:sz="0" w:space="0" w:color="auto"/>
        <w:bottom w:val="none" w:sz="0" w:space="0" w:color="auto"/>
        <w:right w:val="none" w:sz="0" w:space="0" w:color="auto"/>
      </w:divBdr>
    </w:div>
    <w:div w:id="1694455598">
      <w:bodyDiv w:val="1"/>
      <w:marLeft w:val="0"/>
      <w:marRight w:val="0"/>
      <w:marTop w:val="0"/>
      <w:marBottom w:val="0"/>
      <w:divBdr>
        <w:top w:val="none" w:sz="0" w:space="0" w:color="auto"/>
        <w:left w:val="none" w:sz="0" w:space="0" w:color="auto"/>
        <w:bottom w:val="none" w:sz="0" w:space="0" w:color="auto"/>
        <w:right w:val="none" w:sz="0" w:space="0" w:color="auto"/>
      </w:divBdr>
    </w:div>
    <w:div w:id="1694837719">
      <w:bodyDiv w:val="1"/>
      <w:marLeft w:val="0"/>
      <w:marRight w:val="0"/>
      <w:marTop w:val="0"/>
      <w:marBottom w:val="0"/>
      <w:divBdr>
        <w:top w:val="none" w:sz="0" w:space="0" w:color="auto"/>
        <w:left w:val="none" w:sz="0" w:space="0" w:color="auto"/>
        <w:bottom w:val="none" w:sz="0" w:space="0" w:color="auto"/>
        <w:right w:val="none" w:sz="0" w:space="0" w:color="auto"/>
      </w:divBdr>
    </w:div>
    <w:div w:id="1987473285">
      <w:bodyDiv w:val="1"/>
      <w:marLeft w:val="0"/>
      <w:marRight w:val="0"/>
      <w:marTop w:val="0"/>
      <w:marBottom w:val="0"/>
      <w:divBdr>
        <w:top w:val="none" w:sz="0" w:space="0" w:color="auto"/>
        <w:left w:val="none" w:sz="0" w:space="0" w:color="auto"/>
        <w:bottom w:val="none" w:sz="0" w:space="0" w:color="auto"/>
        <w:right w:val="none" w:sz="0" w:space="0" w:color="auto"/>
      </w:divBdr>
    </w:div>
    <w:div w:id="2000379568">
      <w:bodyDiv w:val="1"/>
      <w:marLeft w:val="0"/>
      <w:marRight w:val="0"/>
      <w:marTop w:val="0"/>
      <w:marBottom w:val="0"/>
      <w:divBdr>
        <w:top w:val="none" w:sz="0" w:space="0" w:color="auto"/>
        <w:left w:val="none" w:sz="0" w:space="0" w:color="auto"/>
        <w:bottom w:val="none" w:sz="0" w:space="0" w:color="auto"/>
        <w:right w:val="none" w:sz="0" w:space="0" w:color="auto"/>
      </w:divBdr>
    </w:div>
    <w:div w:id="2004773265">
      <w:bodyDiv w:val="1"/>
      <w:marLeft w:val="0"/>
      <w:marRight w:val="0"/>
      <w:marTop w:val="0"/>
      <w:marBottom w:val="0"/>
      <w:divBdr>
        <w:top w:val="none" w:sz="0" w:space="0" w:color="auto"/>
        <w:left w:val="none" w:sz="0" w:space="0" w:color="auto"/>
        <w:bottom w:val="none" w:sz="0" w:space="0" w:color="auto"/>
        <w:right w:val="none" w:sz="0" w:space="0" w:color="auto"/>
      </w:divBdr>
    </w:div>
    <w:div w:id="202901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tiksmes.ministrija@s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growth/tools-databases/tris/index.cfm/en/search/?trisaction=search.detail&amp;year=2020&amp;num=544&amp;mLang=LV" TargetMode="External"/><Relationship Id="rId2" Type="http://schemas.openxmlformats.org/officeDocument/2006/relationships/hyperlink" Target="https://ec.europa.eu/growth/tools-databases/tris/index.cfm/en/search/?trisaction=search.detail&amp;year=2019&amp;num=376&amp;mLang=LV" TargetMode="External"/><Relationship Id="rId1" Type="http://schemas.openxmlformats.org/officeDocument/2006/relationships/hyperlink" Target="https://ec.europa.eu/growth/tools-databases/tris/index.cfm/lv/index.cfm/search/?trisaction=search.detail&amp;year=2020&amp;num=496&amp;mLang=LV" TargetMode="External"/><Relationship Id="rId4" Type="http://schemas.openxmlformats.org/officeDocument/2006/relationships/hyperlink" Target="https://ec.europa.eu/growth/tools-databases/tris/index.cfm/en/index.cfm/search/?trisaction=search.detail&amp;year=2019&amp;num=138&amp;mLang=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C7888-0D58-4D27-A3D0-B98DE3512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Lielpeteris</dc:creator>
  <cp:keywords/>
  <dc:description/>
  <cp:lastModifiedBy>Jūlija Undīne Dindune</cp:lastModifiedBy>
  <cp:revision>2</cp:revision>
  <cp:lastPrinted>2020-06-29T07:51:00Z</cp:lastPrinted>
  <dcterms:created xsi:type="dcterms:W3CDTF">2021-08-05T09:11:00Z</dcterms:created>
  <dcterms:modified xsi:type="dcterms:W3CDTF">2021-08-05T09:11:00Z</dcterms:modified>
</cp:coreProperties>
</file>