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23-TA-2524: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Finanšu instrumentu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ieceļ, aizstāj un atceļ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likumprojekta sākotnējās ietekmes novērtējuma ziņojumā (anotācijā) minētā viens no likumprojektā risināmiem jautājumiem ir saistīts ar nodrošinājuma aģenta un aizdevēju mantas šķirtību. Attiecīgi likumprojektā piedāvātajā 91.3 pantā noteikts, ka 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 Normatīvajos aktos nepastāvot attiecībā uz nodrošinājuma aģentu kā tiesību subjektu noteikti tiesību ierobežojumi, no likumprojektā un tā sākotnējās ietekmes novērtējuma ziņojumā (anotācijā) minētā  izriet, ka nodrošinājuma aģents  var būt patstāvīgs civiltiesiskās apgrozības subjekts ar patstāvīgām tiesībām, tostarp, būt arī par ķīlas ņēmēju ne tikai nodrošinājuma devēja, bet arī sava paša interesēs. Tādējādi, tiesiskās noteiktības nolūkos likumprojekta regulējums konkretizējams  publiskos reģistros izdarāmo ierakstu saturs. Proti, paredzams,  ka ierakstos attiecībā uz nodrošinājumu cita starpā tiek izdarīta atzīme, ka nodrošinājums izdarīts nodrošinājuma ņēmēju interesēs. Šādā gadījumā tiktu panākta publiskos ierakstos izdarīto ierakstu skaidrība un tiktu nodrošināta likumprojekta 91.3 pantā nostiprinātās mantas šķirtības praktiskā piemērošana. Jāatzīmē, ka satura ziņā līdzīgs regulējums ir iekļauts Kolektīvās finansēšanas pakalpojumu likuma 7.panta piektajā daļā uz ko cita starpā dota norāde likumprojekta sākotnējās ietekmes novērtējuma ziņojumā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nodrošinājuma aģents, neatspoguļojot ziņas par parāda vērtspapīru īpašniekiem, bet izdarot atzīmi, ka nodrošinājums izdarīts nodrošinājuma ņēmēju interesēs.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Finanšu ministrija ir analizējusi Kolektīvās finansēšanas pakalpojumu likuma 7.panta piektajā daļā noteikto un secinājusi, ka no ieguldītāju vai citu trešo personu aizsardzības viedokļa nav nepieciešamības zemesgrāmatā vai citā publiskā reģistrā ierakstīt atzīmi par to, ka attiecīgā ķīla (vai  cits nodrošinājums) nodrošina ieguldītāju tiesības. Izstrādājot Finanšu instrumentu tirgus likuma (turpmāk - FITL) un Kredītiestāžu likuma (turpmāk - KIL) grozījumus secināts, ka minētā atzīme tikai nevajadzīgi piesārņotu publiskos reģistrus ar informāciju, kurai nav nozīmes un kas nerada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vēršam uzmanību tam, ka Latvijas privāttiesībās, izmantojot citus, līdzīgus tiesību institūtus un mehānismus, publiskos reģistros netiek nostiprināta šāda veida atzīme. Grozījumu FITL un KIL būtība ir tāda, ka tiek radīts jauns tiesību institūts, kuru darījuma dalībnieki jeb līdzēji var izmantot nodrošinājuma aģenta iecelšanai. Tas būs vēl viens instruments, kas būs pieejams papildus jau citiem šobrīd pastāvošajiem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no tiem ir likumprojekta anotācijā minētais – līdzēju </w:t>
            </w:r>
            <w:r w:rsidR="00000000" w:rsidRPr="00000000" w:rsidDel="00000000">
              <w:rPr>
                <w:i w:val="1"/>
                <w:rtl w:val="0"/>
              </w:rPr>
              <w:t xml:space="preserve">sui generis</w:t>
            </w:r>
            <w:r w:rsidR="00000000" w:rsidRPr="00000000" w:rsidDel="00000000">
              <w:rPr>
                <w:rtl w:val="0"/>
              </w:rPr>
              <w:t xml:space="preserve"> paškonstruēts līgums par paralēlā parāda nodibināšanu pēc Latvijas vai ārvalsts līguma. Piemēram, saskaņā ar 2022.gada 2.decembra AS “CleanR Grupa” obligāciju emisijas noteikumiem nodrošinājuma aģents ir iecelts izmantojot minēto juridisko konstrukciju, t.i., ieceļot nodrošinājuma aģentu, nodibinot paralēlo parādu (sk. AS “CleanR Grupa” obligāciju emisijas noteikumus. Pieejami: file:///C:/Users/JAMAL/Downloads/crg_admission_2022_12__1509.pdf). Līdzīgi arī sindicēto aizdevumu gadījumā, līdzējiem arī turpmāk saglabāsies iespēja iecelt nodrošinājuma aģentu līgumā, ar kuru tiek nodibināts paralēlais parāds. Tā kā sindicēto aizdevumu gadījumā aizdevuma izsniegšanā apvienojas daudzi aizdevēji no dažādām jurisdikcijām, tad, iespējams, kādam no aizdevējiem saprotamāka varētu likties starptautiskajā praksē izplatītākā “paralēlā parāda nodibināšana”, nevis jaunā Latvijas nacionālā instrumenta, ar kuru var sasniegt līdzvērtīgu rezultātu,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instruments, kas Latvijas tiesību sistēmā pastāv un kas ir atļauts, ir tā saucamais fiduciārais darījums. Kā norādīts tiesību doktrīnā, tad </w:t>
            </w:r>
            <w:r w:rsidR="00000000" w:rsidRPr="00000000" w:rsidDel="00000000">
              <w:rPr>
                <w:i w:val="1"/>
                <w:rtl w:val="0"/>
              </w:rPr>
              <w:t xml:space="preserve">“Fiduciārs darījums var būt noslēgts dažādu saimniecisku mērķu sasniegšanai: lietas (ķermeniskas vai bezķermeniskas) pārvaldīšanai [piemēram, nekustama īpašuma pārvaldīšanai, saistības izpildījuma piedzīšanai no parādnieka (tā saucamā inkaso cesija)] vai atsavināšanai (piemēram, iespējami izdevīgākai akciju pārdošanai), kā arī kreditora (uzticības personas) prasījuma tiesības nodrošināšanai (piemēram, kustamas vai nekustamas lietas fiduciārās ķīlas vai nodrošinājuma cesijas veidā) (sk. Kalniņš E. Tiesību tālākveidošana (III). Likums un tiesības, 2001.gada augusts, 3.sējums, Nr. 8 (24), 240.-250.lpp)</w:t>
            </w:r>
            <w:r w:rsidR="00000000" w:rsidRPr="00000000" w:rsidDel="00000000">
              <w:rPr>
                <w:rtl w:val="0"/>
              </w:rPr>
              <w:t xml:space="preserve">”. Fiduciārie darījumi jānošķir no pārstāvības, kad persona rīkojas darījuma dalībnieku vietā, taču viņu vārdā. Fiduciārais darījums ir tā saucamā klusā vietniecība, kad vietnieks darbojas darījuma dalībnieka interesēs, bet attiecībās ar trešajām personām uzstājas savā vārdā: </w:t>
            </w:r>
            <w:r w:rsidR="00000000" w:rsidRPr="00000000" w:rsidDel="00000000">
              <w:rPr>
                <w:i w:val="1"/>
                <w:rtl w:val="0"/>
              </w:rPr>
              <w:t xml:space="preserve">“Fiduciārais darījums ir civiltiesisks darījums, ar kuru fiduciants nodod fiduciāram zināmas tiesības (īpašumu vai prasījuma tiesības) vai piešķir tiesisku varu, ko fiduciārs izmanto savā vārdā, bet fiducianta interesēs ar noteiktu mērķi. Fiduciārā darījuma rezultātā izveidojas fiduciārās attiecības starp tiesību uzticētāju jeb fiduciantu un uzticības personu jeb fiduciāru. Attiecībās ar trešajām personām fiduciārs uzstājas kā pilntiesīgs uzticēto tiesību subjekts. Darījumus, kurus fiduciārs ar trešajām personām noslēdz savā vārdā, bet fiducianta interesēs, sauc par izpildu darījumiem. Uzticētās tiesības fiduciārs drīkst izmantot tādā apjomā, kādā to pieļauj ar fiduciantu noslēgtais līgums jeb fiduciārā noruna. Ja fiduciārs šo norunu pārkāpj, attiecībā pret trešajām personām viņa rīcība ir spēkā, taču reizē iestājas fiduciāra civiltiesiskā atbildība pret fiduciantu. Fiduciārajā norunā dominē pilnvarojuma līguma elementi, bet attiecības ar trešajām personām nosakāmas pēc Latvijas Republikas Civillikuma (CL) noteikumiem par kluso vietniecību (skat.: CL 2294., 1516.p.). [..] Par fiduciārā darījuma paveidu uzskatāms tā sauktais “salmu vīra” darījums (Strohmanngeschäft – vācu val.), saskaņā ar kuru uzticības persona savā vārdā, bet uzticētāja interesēs iegūst vai izmanto zināmu tiesību, tāpēc, ka uzticētājs negrib vai nevar atklāti šo tiesību izlietot. [..] “Salmu vīra” darījumu, tāpat kā pārējo fiduciāro darījumu, pazīme ir tāda, ka </w:t>
            </w:r>
            <w:r w:rsidR="00000000" w:rsidRPr="00000000" w:rsidDel="00000000">
              <w:rPr>
                <w:b w:val="1"/>
                <w:i w:val="1"/>
                <w:rtl w:val="0"/>
              </w:rPr>
              <w:t xml:space="preserve">tas netiek fiksēts nekādos publiski pieejamos reģistros, piemēram, komercreģistrā</w:t>
            </w:r>
            <w:r w:rsidR="00000000" w:rsidRPr="00000000" w:rsidDel="00000000">
              <w:rPr>
                <w:i w:val="1"/>
                <w:rtl w:val="0"/>
              </w:rPr>
              <w:t xml:space="preserve">. (sk. Balodis K. Fiduciāro darījumu vieta Latvijas privāttiesību sistēmā. Likums un tiesības, 2005.gada septembris, 7.sējums, Nr. 9 (73), 270.-279.lpp.)”.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Trešais instruments, kas turpmāk būs pieejams atbilstoši plānotajiem FITL un KIL grozījumiem, būs jauns mehānisms, kad, neizmantojot paralēlā parāda nodibināšanu, bet gan izmantojot cita veida līgumiski radītu juridisko konstrukciju, darījuma dalībnieki vienojas par nodrošinājuma aģenta iecelšanu. Proti, arī tas būtu pašu līdzēju </w:t>
            </w:r>
            <w:r w:rsidR="00000000" w:rsidRPr="00000000" w:rsidDel="00000000">
              <w:rPr>
                <w:i w:val="1"/>
                <w:rtl w:val="0"/>
              </w:rPr>
              <w:t xml:space="preserve">sui generis</w:t>
            </w:r>
            <w:r w:rsidR="00000000" w:rsidRPr="00000000" w:rsidDel="00000000">
              <w:rPr>
                <w:rtl w:val="0"/>
              </w:rPr>
              <w:t xml:space="preserve"> paškonstruēts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praksē, ja tiek nodibināts paralēlais parāds, vai, ja tiek izmantota fiduciārā darījuma juridiskā konstrukcija, nodrošinājuma aģents attiecībā pret ķīlas devēju darbojas kā pats kreditors (ieguldītājs). Proti, ķīlas tiesība tiek nostiprināta zemesgrāmatā uz nodrošinājuma aģenta vārda un nekāda veida atzīmes vai cita veida nostiprinājumi, kas saturētu informāciju par to, ka “hipotēka nodrošina ieguldītāju prasījumus” netiek veikti. Noslēgtā līguma noteikumi regulē to, kādā veidā nodrošinājuma aģents rīkojas ar saņemtajiem finanšu līdzekļiem ķīlas tiesības izmantošanas, realizācijas vai citu piespiedu pasākumu īstenošanas gadījumā. Tā ir saistību tiesība, kas pastāv līdzēju starpā un zemesgrāmatā netiek ierakstīta. Līdzīgi arī fiduciāro darījumu gadījumā (tai skaitā, kustamas vai nekustamas lietas fiduciārās ķīlas gadījumā) publiskajos reģistros nekāda veida atzīmes netiek veiktas, jo normatīvie akti privāttiesību jomā to neparedz. Līdz ar to attiecībā uz publiskajiem reģistriem un tajos nostiprināmo tiesību apjomu saistībā ar jauno instrumentu, kas būs pieejams nodrošinājuma aģenta iecelšanai saskaņā ar FITL un KIL grozījumiem, tiek ņemta vērā jau esošā tiesību sistēma un ilgstošā laika gaitā līdzīgās tiesiskajās situācijās aprobētie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zemesgrāmatu tiesībām ir lietu tiesību apkalpojoša funkcija. Situācijā, kad kā ķīlas ņēmējs zemesgrāmatā ir ierakstīts nevis ieguldītājs, bet gan nodrošinājuma aģents, kurš vērš piespiedu izpildes pasākumus pret parādnieku, finanšu līdzekļus, kas tiek iegūti no ķīlas realizācijas, saņem vispirms nodrošinājuma aģents, kurš tālāk norēķinās ar ieguldītājiem. Nodrošinājuma aģenta un ieguldītāju savstarpējo norēķinu pienākums un norēķinu kārtība izriet no viņu starpā pastāvošās līgumiskās saistības. Tā kā obligāciju emisijas gadījumā var būt runa par simtiem un pat tūkstošiem ieguldītāju, kuru identitāte nodrošinājuma aģentam var būt nezināma (obligācijas iespējams jebkurā laikā atsavināt), kā arī sindicēto aizdevumu gadījumā kāds no aizdevējiem var jebkurā brīdī cedēt savu prasījumu, tad nodrošinājuma aģents kā ķīlas ņēmējs, kura lietu tiesība nostiprināta zemesgrāmatā, attiecīgi būs persona, kura saņems finanšu līdzekļus no realizētās ķīlas. Tālākā nodrošinājuma aģenta rīcība ar saņemtajiem finanšu līdzekļiem nav rīcība ar nekustamu īpašumu, bet gan ietilpst saistību tiesību, kas nodibinātas ar līgumu, izpildījumā. No šāda viedokļa tālāk būtu izvērtējams: 1) zemesgrāmatu ierakstu </w:t>
            </w:r>
            <w:r w:rsidR="00000000" w:rsidRPr="00000000" w:rsidDel="00000000">
              <w:rPr>
                <w:i w:val="1"/>
                <w:rtl w:val="0"/>
              </w:rPr>
              <w:t xml:space="preserve">numerus clausus</w:t>
            </w:r>
            <w:r w:rsidR="00000000" w:rsidRPr="00000000" w:rsidDel="00000000">
              <w:rPr>
                <w:rtl w:val="0"/>
              </w:rPr>
              <w:t xml:space="preserve"> princips un 2) tas, vai atzīmes veidā šāds nostiprinājums vispār ir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i w:val="1"/>
                <w:rtl w:val="0"/>
              </w:rPr>
              <w:t xml:space="preserve">numerus clausus</w:t>
            </w:r>
            <w:r w:rsidR="00000000" w:rsidRPr="00000000" w:rsidDel="00000000">
              <w:rPr>
                <w:rtl w:val="0"/>
              </w:rPr>
              <w:t xml:space="preserve"> principu norādāms, ka saistību tiesību nostiprinājums zemesgrāmatā ir tiesiski iespējams tikai likumā noteiktos gadījumos. Tiesību doktrīnā ir norādīts, ka “</w:t>
            </w:r>
            <w:r w:rsidR="00000000" w:rsidRPr="00000000" w:rsidDel="00000000">
              <w:rPr>
                <w:i w:val="1"/>
                <w:rtl w:val="0"/>
              </w:rPr>
              <w:t xml:space="preserve">Zemesgrāmatu mērķis ir padarīt redzamas absolūtās tiesības. Kurām tiesībām ir jābūt absolūtām, to izlemj likums. Tādēļ nostiprinājums viens pats nevar piešķirt tiesībai absolūtu spēku. Tam nepieciešams pienācīgs likumisks pamatojums, jo privāta griba vai nejaušība absolūtu spēku piešķirt nevar. Jau tāpēc vien zemesgrāmatas nevar būt atvērtas visām un jebkādām tiesībām, bet tikai tādām, kurām ir absolūts spēks. Likums absolūtu spēku atzīst lietu tiesībām, un tās visas ir ne vien pieļaujams, bet arī nepieciešams nostiprināt zemesgrāmatās. Turpretī </w:t>
            </w:r>
            <w:r w:rsidR="00000000" w:rsidRPr="00000000" w:rsidDel="00000000">
              <w:rPr>
                <w:b w:val="1"/>
                <w:i w:val="1"/>
                <w:rtl w:val="0"/>
              </w:rPr>
              <w:t xml:space="preserve">saistību tiesībām nav absolūta spēka, un tām nav vietas zemesgrāmatās</w:t>
            </w:r>
            <w:r w:rsidR="00000000" w:rsidRPr="00000000" w:rsidDel="00000000">
              <w:rPr>
                <w:i w:val="1"/>
                <w:rtl w:val="0"/>
              </w:rPr>
              <w:t xml:space="preserve">, izņemot gadījumus, kad nostiprināšanu tieši paredz likums (sal. CL 1371. p.). [..] Saistība rodas ārpus zemesgrāmatām, un tās pastāvēšana nav atkarīga no nostiprināšanas. Ar nostiprinājumu panāk tikai to, ka zemesgrāmatā ierakstītā saistība iegūst lietisku spēku (dingliche Wirkung), t. i., spēku pret trešajām personām, kura saistību tiesībām citādi pietrūkst (sk. Virko E. Zemesgrāmatu pieejamība un ticamība (II). Jurista Vārds, 18.04.2008., Nr. 15 (520).”</w:t>
            </w:r>
            <w:r w:rsidR="00000000" w:rsidRPr="00000000" w:rsidDel="00000000">
              <w:rPr>
                <w:rtl w:val="0"/>
              </w:rPr>
              <w:t xml:space="preserve"> Situācijā, kad zemesgrāmatā nav identificēti konkrēti ieguldītāji, bet gan tikai vispārīgi norādīts, ka hipotēka nodrošina ieguldītāju prasījumus, nav saprotams, kuras būtu tās trešās personas, kuru interesēs saistību tiesībai, kas pastāv starp nodrošinājuma aģentu un ieguldītājiem, būtu jāpiešķir absolūtu spēku. Ja mērķis ir aizsargāt ieguldītāju intereses, tad tas netiek sasniegts ar šādu nostiprinājumu, jo ieguldītājiem jau tāpat ir no saistību tiesības izrietošs prasījums, kas ir spēkā arī bez ieraksta zemesgrāmatā. Tāpat norādāms, ka šāda veida zemesgrāmatu nostiprinājums nekādā veidā neietekmē nodrošinājuma aģenta tiesības un faktiskās iespējas rīkoties ar finanšu līdzekļiem, ko tas saņēmis no realizētās hipotēkas, un kas tiek ieskaitīti kredītiestādes kontā. Ieraksti zemesgrāmatās aprobežo tikai rīcību ar nekustamo īpašumu, bet nekādā veidā neierobežo nodrošinājuma aģenta rīcību ar finanšu līdzekļiem, kas atrodas uz nodrošinājuma aģenta vārda atvērtā kredītiestādes kontā. Līdz ar to absolūtā spēka piešķiršana minētajai saistību tiesībai, kas līgumiskā ceļā tiek nodibināta starp nodrošinājuma aģentu un ieguldītājiem, nekalpo nevienas trešās personas tiesību aizsardzībai. Ja pat hipotētiski analizētu situāciju, kad nodrošinājuma aģents kļūst maksātnespējīgs, tad jautājums par mantas (saņemto finanšu līdzekļu) piederību netiktu izšķirts, balstoties uz zemesgrāmatas atzīmi, bet gan analizējot nodrošinājuma aģenta noslēgto līgumu. Nodrošinājuma aģenta maksātnespējas gadījumā vai citos līgumā paredzētajos gadījumos, visticamāk, tiktu iedarbināts nodrošinājuma aģenta atcelšanas vai aizstāšanas mehānisms, kā to paredz grozījumi FITL 91.</w:t>
            </w:r>
            <w:r w:rsidR="00000000" w:rsidRPr="00000000" w:rsidDel="00000000">
              <w:rPr>
                <w:vertAlign w:val="superscript"/>
                <w:rtl w:val="0"/>
              </w:rPr>
              <w:t xml:space="preserve">1</w:t>
            </w:r>
            <w:r w:rsidR="00000000" w:rsidRPr="00000000" w:rsidDel="00000000">
              <w:rPr>
                <w:rtl w:val="0"/>
              </w:rPr>
              <w:t xml:space="preserve"> pantā, kas nozīmē to, ka arī zemesgrāmatu ieraksts par ķīlas ņēmēju tiktu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nepieļaujamiem nostiprinājumiem norādāms, ka nostiprinājumus zemesgrāmatas nodalījumos izteic ierakstos un atzīmēs. Tiesību doktrīnā un judikatūrā ir vairākkārt uzsvērts, ka </w:t>
            </w:r>
            <w:r w:rsidR="00000000" w:rsidRPr="00000000" w:rsidDel="00000000">
              <w:rPr>
                <w:b w:val="1"/>
                <w:rtl w:val="0"/>
              </w:rPr>
              <w:t xml:space="preserve">atzīmēm ir pagaidu raksturs un tās vai nu pārvēršas par ierakstiem vai arī izzūd, par ierakstiem nepārvēršoties</w:t>
            </w:r>
            <w:r w:rsidR="00000000" w:rsidRPr="00000000" w:rsidDel="00000000">
              <w:rPr>
                <w:rtl w:val="0"/>
              </w:rPr>
              <w:t xml:space="preserve">. Minētais secinājums galvenokārt ir izteikts attiecībā uz Zemesgrāmatu likums 45.panta 7.punktā minētajām atzīmēm, kas tiek nostiprinātas ar īpašnieka piekrišanu, proti:  </w:t>
            </w:r>
            <w:r w:rsidR="00000000" w:rsidRPr="00000000" w:rsidDel="00000000">
              <w:rPr>
                <w:i w:val="1"/>
                <w:rtl w:val="0"/>
              </w:rPr>
              <w:t xml:space="preserve">“Zemesgrāmatu likuma 45. p. 7. punkts pieļauj nostiprināt atzīmes, ar kurām nodrošinātās tiesības pašas par sevi drīkst nostiprināt zemesgrāmatā – īpašuma atzīme, hipotēkas atzīme, servitūta atzīme utt. Ja pati nodrošināmā tiesība nepieder pie tām tiesībām, kuras likums vispār atļauj nostiprināt, tad ar atzīmes palīdzību šādu neiespējamību nevar pārvarēt. Ciktāl nav pieļaujams pašas tiesības nostiprinājums kā tāds, tiktāl šo tiesību nevar arī atzīmēt. Tādēļ visi tādi nostiprinājuma lūgumi zemesgrāmatu nodaļai jāatstāj bez ievērības uz Zemesgrāmatu likuma 77. p. 3. punkta un 45. p. 7. punkta pamata. [..] (sk. Virko E. Zemesgrāmatu pieejamība un ticamība (II). Jurista Vārds, 18.04.2008., Nr. 15 (520).” </w:t>
            </w:r>
            <w:r w:rsidR="00000000" w:rsidRPr="00000000" w:rsidDel="00000000">
              <w:rPr>
                <w:rtl w:val="0"/>
              </w:rPr>
              <w:t xml:space="preserve">Tā kā likums neparedz to, ka ieraksta veidā zemesgrāmatā varētu pastāvēt tāds nostiprinājums, ka attiecīgā hipotēka nodrošina ieguldītāju prasījumus, tad attiecīgi arī atzīmes veidā šāds nostiprinājums nevar pastāvēt. Faktiski jau no pašas atzīmes ierakstīšanas brīža zemesgrāmatā tā </w:t>
            </w:r>
            <w:r w:rsidR="00000000" w:rsidRPr="00000000" w:rsidDel="00000000">
              <w:rPr>
                <w:i w:val="1"/>
                <w:rtl w:val="0"/>
              </w:rPr>
              <w:t xml:space="preserve">ex officio</w:t>
            </w:r>
            <w:r w:rsidR="00000000" w:rsidRPr="00000000" w:rsidDel="00000000">
              <w:rPr>
                <w:rtl w:val="0"/>
              </w:rPr>
              <w:t xml:space="preserve"> uzskatāma par izbeigušos, jo tai nav potenciāla jebkad pārvērsties par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atzīme par to, ka ķīla (vai  cits nodrošinājums) nodrošina ieguldītāju tiesības, nevar tikt ierakstīta tikai tāpēc vien, ka šādai atzīmei piekrīt un to vēlas nekustamā īpašuma īpašnieks (ķīlas devējs). Piemēram, paralēlā parāda saistības gadījumā vai fiduciārās saistības gadījumā šāds nostiprinājums atzīmes veidā nevar tikt koroborēts.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likumprojektos par grozījumiem FITL un KIL tiktu noteikts, ka, izmantojot jauno instrumentu nodrošinājuma aģenta iecelšanai, zemesgrāmatā jābūt veiktam attiecīgam nostiprinājumam atzīmes veidā, tad šāda atzīme, iespējams, hipotētiski varētu tiesiski pastāvēt, kaut arī tā nekad par ierakstu nepārvērstos. Taču tas aktualizē jautājumu par zemesgrāmatu nostiprinājumu mērķi un lomu, publiskās ticamības nodrošināšanā. Kā norādīts tiesību doktrīnā, tad: </w:t>
            </w:r>
            <w:r w:rsidR="00000000" w:rsidRPr="00000000" w:rsidDel="00000000">
              <w:rPr>
                <w:i w:val="1"/>
                <w:rtl w:val="0"/>
              </w:rPr>
              <w:t xml:space="preserve">“Nepieļaujams ieraksts nekādas lietu tiesības nerada. Nepieļaujama atzīme nekādu pirmtiesību nepiešķir. Ja labu laiku ierakstīs zemesgrāmatās, tas nenozīmē, ka visu gadu spīdēs saule. [..] Kaut arī uz nepieļaujamiem nostiprinājumiem neattiecas publiska ticamība un tādēļ tie paši par sevi nekustamā īpašuma ieguvējam nevar radīt nelabvēlīgas sekas, tie tomēr nevajadzīgi piesārņo zemesgrāmatu un maldina neizglītotas personas, kuras pret zemesgrāmatu ierakstiem parasti izturas ar lielu uzticību (sk. Virko E. Zemesgrāmatu pieejamība un ticamība (II). Jurista Vārds, 18.04.2008., Nr. 15 (520).”</w:t>
            </w:r>
            <w:r w:rsidR="00000000" w:rsidRPr="00000000" w:rsidDel="00000000">
              <w:rPr>
                <w:rtl w:val="0"/>
              </w:rPr>
              <w:t xml:space="preserve"> Līdzīgi kā norādītajā piemērā par laba laika ierakstīšanu zemesgrāmatā un saules spīdēšanu, ir vērtējama arī atzīme par to, ka ķīla nodrošina ieguldītāju (kuri zemesgrāmatā nav identificēti un pašam nodrošinājuma aģentam var būt nezināmi) prasījumus. Šāda atzīme nenodrošinās to, ka nodrošinājuma aģents finanšu līdzekļus, kas iegūti pakļaujot ķīlu piespiedu izpildei, izlieto ieguldītāju prasījumu apmierināšanai. Ieguldītājiem pret nodrošinājuma aģentu būs no saistību tiesībām izrietošs prasījums un nekādu lietu tiesību viņi nevarēs izlietot. Turklāt arī no mantas šķirtības viedokļa jāņem vērā, ka zemesgrāmata regulē tikai tiesības uz nekustamo īpašumu, proti, šāds nostiprinājums zemesgrāmatā neko neliecina par to, kurai personai pienākas kredītiestādes kontā esošie līdzekļi. Lai gan vispārīgi nodrošinājums kalpo ieguldītāju prasījumu apmierināšanai, jāņem vērā, ka nodrošinājuma aģentam arī pašam ir tiesības saņemt atlīdzību par ieguldītājiem sniegto pakalpojumu. Šī atlīdzība jeb komisijas maksa saskaņā ar noslēgtā līguma noteikumiem tiek ieturēta no ienākošās naudas plūsmām, tostarp ienākumiem, kas gūti no realizētās ķīlas. Tāpēc atzīme par to, ka ķīla kalpo tikai ieguldītāju prasījumu apmierināšanai, būtu savā būtībā arī maldinoša.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Mantas šķirtības vai mantas piederības jautājums tādās tiesiskās attiecībās, kurām ir zināma līdzība ar trastiem (fiduciārās saistības, paralēlā parāda un citas tamlīdzīgas saistības) šobrīd Latvijā netiek izšķirts, balstoties uz publisko reģistru ierakstiem. Piemēram, Kredītiestāžu likuma 1.panta pirmās daļas 14.punkts noteic, ka uzticības operācijas (trasts) ir “darījumi, kuros attiecības starp kredītiestādi un klientu balstās uz savstarpēju uzticēšanos un saskaņā ar kuru noteikumiem kredītiestāde uzņemas atbildību par klientam piederoša īpašuma pārvaldīšanu klienta labā, pārvaldot šo īpašumu šķirti no sava īpašuma”. Kredītiestāžu likumā vai citos normatīvajos aktos nav paredzēts publiskos reģistros visaptveroši un apkopojoši atzīmju vai ierakstu veidā trešo personu informēšanas nolūkos publicēt ziņas par to, kuru mantu kredītiestāde pārvalda šķirti no sava īpašuma, bet kuru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Mantas šķirtības vai piederības jautājuma risinājums atbilstoši likumprojektam ir paredzēts nevis ar publisko reģistru ierakstu palīdzību, bet gan ir ietverts likumā. Proti, FITL 91.</w:t>
            </w:r>
            <w:r w:rsidR="00000000" w:rsidRPr="00000000" w:rsidDel="00000000">
              <w:rPr>
                <w:vertAlign w:val="superscript"/>
                <w:rtl w:val="0"/>
              </w:rPr>
              <w:t xml:space="preserve">3</w:t>
            </w:r>
            <w:r w:rsidR="00000000" w:rsidRPr="00000000" w:rsidDel="00000000">
              <w:rPr>
                <w:rtl w:val="0"/>
              </w:rPr>
              <w:t xml:space="preserve">pants paredz noteikt, ka "Manta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 Minētajā normā ir sniegta skaidra un nepārprotama norāde uz to, ka mantas piederības noteikšanai jāvērtē ir pati līgumiskā saistība, t.i., prospekta noteikumi, nevis jāpievēršas publisko reģistru ierakstu izpētei. Turklāt praksē bieži vien nodrošinājuma aģents uzņemas ne tikai "collateral agent", bet arī citas, piemēram, "facility agent" funkcijas. Tas var izpausties kā ienākošās finanšu plūsmas, ne tikai saistībā ar nodrošinājumu, apkalpošana ieguldītāju interesēs. Šādi papildus pienākumi var tikt iekļauti līgumā par nodrošinājuma aģenta iecelšanu un pieskaņoti darījuma dalībnieku vajadzībām, un tie neaprobežojas tikai ar ķīlas tiesību izmantošanu. Līdz ar to zemesgrāmatā veiktie nostiprinājumi šādus mantas piederības vai šķirtības jautājumus pat hipotētiski nevar atrisināt.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iepriekš minētā kontekstā jāņem vērā arī izmaksu jautājums, proti, saskaņā ar Zemesgrāmatu likuma 107.pantu par jaunas tiesības, t.i., ķīlas tiesības ierakstīšanu uz nodrošinājuma aģenta vārda maksājama kancelejas nodeva 15 </w:t>
            </w:r>
            <w:r w:rsidR="00000000" w:rsidRPr="00000000" w:rsidDel="00000000">
              <w:rPr>
                <w:i w:val="1"/>
                <w:rtl w:val="0"/>
              </w:rPr>
              <w:t xml:space="preserve">euro</w:t>
            </w:r>
            <w:r w:rsidR="00000000" w:rsidRPr="00000000" w:rsidDel="00000000">
              <w:rPr>
                <w:rtl w:val="0"/>
              </w:rPr>
              <w:t xml:space="preserve">, bet par zemesgrāmatas atzīmi maksājama vēl papildus kancelejas nodeva 8 </w:t>
            </w:r>
            <w:r w:rsidR="00000000" w:rsidRPr="00000000" w:rsidDel="00000000">
              <w:rPr>
                <w:i w:val="1"/>
                <w:rtl w:val="0"/>
              </w:rPr>
              <w:t xml:space="preserve">euro </w:t>
            </w:r>
            <w:r w:rsidR="00000000" w:rsidRPr="00000000" w:rsidDel="00000000">
              <w:rPr>
                <w:rtl w:val="0"/>
              </w:rPr>
              <w:t xml:space="preserve">apmērā. No ieguldītāju viedokļa attiecīgā atzīme par to, ka “hipotēka nodrošina ieguldītāju prasījumus” nesniedz tiem lielāku tiesisko aizsardzību, salīdzinot ar situāciju, kad šādas atzīmes nav. Vienlaikus no izmaksu viedokļa koroborācija zemesgrāmatā kopumā tiek sadārdzināta par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norādīto, Finanšu ministrijas ieskatā, nav lietderīgi un jēgpilni pārņemt normatīvo regulējumu, kāds iekļauts Kolektīvās finansēšanas pakalpojumu likuma 7.panta piektajā daļā. Minētais attiecināms ne tikai uz zemesgrāmatu atzīmēm, bet arī citiem publisko reģistru ierakstiem. Izvēlētais risinājums šobrīd pilnībā atbilst Latvijas tiesību sistēmai un ilgstošā laika gaitā līdzīgās tiesiskajās situācijās aprobētajiem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D sadaļu "Finanšu instrumentu publiskā apgrozība"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var tikt iecelts, aizstāts un atcelts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nepastāvot attiecībā uz nodrošinājuma aģentu kā tiesību subjektu noteikti tiesību ierobežojumi, no likumprojektā un tā sākotnējās ietekmes novērtējuma ziņojumā (anotācijā) minētā  izriet, ka nodrošinājuma aģents  var būt patstāvīgs civiltiesiskās apgrozības subjekts ar patstāvīgām tiesībām, tostarp, būt arī par ķīlas ņēmēju ne tikai citu kreditoru, bet arī sava paša interesēs. Likumprojektā un tā sākotnējās ietekmes novērtējuma ziņojumā (anotācijā) nav sniegts skaidrojums kā praktiski tiks nodrošināta likumprojekta 91.3 pantā nostiprinātās mantas šķirtības praktiskā piemērošana. It īpaši, gadījumā, ja attiecīgais regulējums netiek iekļauts likumprojektā, attiecīgs skaidrojums ietverams sākotnējās ietekmes novērtējuma ziņojumā (anotācijā). Vēršam uzmanību, ka piemēram, zemesgrāmatā nostiprinot hipotēku uz  nodrošinājuma aģentu, neietverot norādi, ka hipotēka ierakstīta nodrošinājuma ņēmēju interesēs, no publiska reģistra ierakstiem nebūs iespējams secināt, vai hipotēka ierakstīta nodrošinājumu ņēmēju (pārstāvēto kreditoru) vai paša nodrošinājuma aģenta interesēs.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pie iepriekšējā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Finanšu instrumentu tirgus likumā (Latvijas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 2020, 119.A nr.; 2021, 84.B, 110., 193., 200. nr.; 2022, 75.A, 94., 128.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ievaddaļu, papildinot to ar 26.10.2023. grozījumu publikāciju.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Finanšu instrumentu tirgus likumā (Latvijas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 2020, 119.A nr.; 2021, 84.B, 110., 193., 200. nr.; 2022, 75.A, 94., 128. nr.; 2023, 221. nr.) šādu grozījumu: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ieceļ, aizstāj un atceļ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91.</w:t>
            </w:r>
            <w:r w:rsidR="00000000" w:rsidRPr="00000000" w:rsidDel="00000000">
              <w:rPr>
                <w:vertAlign w:val="superscript"/>
                <w:rtl w:val="0"/>
              </w:rPr>
              <w:t xml:space="preserve">1</w:t>
            </w:r>
            <w:r w:rsidR="00000000" w:rsidRPr="00000000" w:rsidDel="00000000">
              <w:rPr>
                <w:rtl w:val="0"/>
              </w:rPr>
              <w:t xml:space="preserve"> panta redakciju, jo esošajā redakcijā nodrošinājuma aģenta iecelšana ir paredzēta kā pienākums, nevis iespēja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D sadaļu "Finanšu instrumentu publiskā apgrozība"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var tikt iecelts, aizstāts un atcelts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ieceļ, aizstāj un atceļ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nodaļa atrodas uz robežas starp grozāmā likuma sadaļām, ierosinām grozījumā norādīt, kuru likuma sadaļu plānots papildināt ar jauno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D sadaļu "Finanšu instrumentu publiskā apgrozība"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var tikt iecelts, aizstāts un atcelts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Finanšu ministrijas grozījumiem Finanšu instrumentu tirgus likumā un secina, ka anotācijas 2.1. sadaļā tiek norādīts, ka nodrošināto obligāciju emisijas gadījumā</w:t>
            </w:r>
            <w:r w:rsidR="00000000" w:rsidRPr="00000000" w:rsidDel="00000000">
              <w:rPr>
                <w:b w:val="1"/>
                <w:rtl w:val="0"/>
              </w:rPr>
              <w:t xml:space="preserve"> ietekme var būt uz jebkuru tautsaimniecības nozari</w:t>
            </w:r>
            <w:r w:rsidR="00000000" w:rsidRPr="00000000" w:rsidDel="00000000">
              <w:rPr>
                <w:rtl w:val="0"/>
              </w:rPr>
              <w:t xml:space="preserve">, kuru pārstāv uzņēmumi, kas piesaista finansējumu kapitāla tirgū. Aicinām anotācijas 2. sadaļu papildināt ar tiesiskā regulējuma ietekmi uz tautsaimniecību, kā arī izmaksu monetāro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tās tautsaimniecības nozares, kurās darbojas uzņēmumi, kuri varētu potenciāli piesaistīt finansējumu caur kapitāla tirgiem. Šī ietekme izpaužas galvenokārt nevis ekonomiskā nozīmē, bet gan tiesiskā, jo jaunais normatīvais regulējums ir vērsts uz tiesiskās noteiktības nostiprināšanu, ka nodrošinājuma aģents var tikt iecelts ne tikai saskaņā ar ārvalsts, bet arī saskaņā ar Latvijas piemērojamo likumu. Praksē arī līdz šim pastāvēja instrumenti un juridiskie mehānismi nodrošinājuma aģenta iecelšana, piemēram, izmantojot paralēlā parāda nodibināšanu, bet šāda juridiskā konstrukcija nav iepriekš tikusi testēta tiesu praksē, tāpēc tirgus dalībnieki sastapās ar tiesisko nenoteiktību. Ievērojot minēto, likumprojekta ietekme uz tautsaimniecību nav izmērāma finansiālā vai mantiskā veidā, tāpēc ietekmes monetāro aprēķinu nav iespējams sniegt. Tiesiskās vides sakārtošana kopumā pozitīvi ietekmē valstī saimniecisko jautājumu risināšanu un veicina privāttiesisko apgrozību, tāpēc nenoliedzami, ka kaut kāda netieša un attālināta ietekme uz tautsaimniecību likumprojektam varētu būt, bet šādu ietekmi nav iespējams redzēt, izvērtēt vai aprēķināt.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23-TA-2524</w:t>
    </w:r>
    <w:r>
      <w:br/>
    </w:r>
    <w:r w:rsidR="00000000" w:rsidRPr="00000000" w:rsidDel="00000000">
      <w:rPr>
        <w:rtl w:val="0"/>
      </w:rPr>
      <w:t xml:space="preserve">19.02.2024. 10.51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23-TA-2524</w:t>
    </w:r>
    <w:r>
      <w:br/>
    </w:r>
    <w:r w:rsidR="00000000" w:rsidRPr="00000000" w:rsidDel="00000000">
      <w:rPr>
        <w:rtl w:val="0"/>
      </w:rPr>
      <w:t xml:space="preserve">19.02.2024. 10.51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Izziņa_23-TA-2524.docx</dc:title>
</cp:coreProperties>
</file>

<file path=docProps/custom.xml><?xml version="1.0" encoding="utf-8"?>
<Properties xmlns="http://schemas.openxmlformats.org/officeDocument/2006/custom-properties" xmlns:vt="http://schemas.openxmlformats.org/officeDocument/2006/docPropsVTypes"/>
</file>