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73323" w14:textId="77777777" w:rsidR="006C4940" w:rsidRDefault="006C4940" w:rsidP="00716A36">
      <w:pPr>
        <w:rPr>
          <w:rFonts w:ascii="Arial" w:hAnsi="Arial" w:cs="Arial"/>
        </w:rPr>
      </w:pPr>
    </w:p>
    <w:p w14:paraId="4D4190F1" w14:textId="77777777" w:rsidR="00AD6A2B" w:rsidRDefault="00AD6A2B" w:rsidP="00716A36">
      <w:pPr>
        <w:rPr>
          <w:rFonts w:ascii="Arial" w:hAnsi="Arial" w:cs="Arial"/>
        </w:rPr>
      </w:pPr>
      <w:r>
        <w:rPr>
          <w:rFonts w:ascii="Arial" w:hAnsi="Arial" w:cs="Arial"/>
        </w:rPr>
        <w:t>28.01.2021</w:t>
      </w:r>
      <w:r w:rsidR="00716A36">
        <w:rPr>
          <w:rFonts w:ascii="Arial" w:hAnsi="Arial" w:cs="Arial"/>
        </w:rPr>
        <w:t xml:space="preserve"> </w:t>
      </w:r>
      <w:r w:rsidR="00E804DE">
        <w:rPr>
          <w:rFonts w:ascii="Arial" w:hAnsi="Arial" w:cs="Arial"/>
        </w:rPr>
        <w:tab/>
      </w:r>
      <w:r w:rsidR="00716A36">
        <w:rPr>
          <w:rFonts w:ascii="Arial" w:hAnsi="Arial" w:cs="Arial"/>
        </w:rPr>
        <w:t>Nr.</w:t>
      </w:r>
      <w:r w:rsidR="009E2EEF">
        <w:rPr>
          <w:rFonts w:ascii="Arial" w:hAnsi="Arial" w:cs="Arial"/>
        </w:rPr>
        <w:t xml:space="preserve"> </w:t>
      </w:r>
      <w:r>
        <w:rPr>
          <w:rFonts w:ascii="Arial" w:hAnsi="Arial" w:cs="Arial"/>
        </w:rPr>
        <w:t>N-2021/547</w:t>
      </w:r>
    </w:p>
    <w:p w14:paraId="67625579" w14:textId="77777777" w:rsidR="00AD6A2B" w:rsidRPr="0016671B" w:rsidRDefault="00AD6A2B" w:rsidP="00AD6A2B">
      <w:pPr>
        <w:jc w:val="right"/>
        <w:rPr>
          <w:rFonts w:ascii="Arial" w:hAnsi="Arial" w:cs="Arial"/>
        </w:rPr>
      </w:pPr>
      <w:r w:rsidRPr="0016671B">
        <w:rPr>
          <w:rFonts w:ascii="Arial" w:hAnsi="Arial" w:cs="Arial"/>
        </w:rPr>
        <w:t>Ekonomikas ministrija; pasts@em.gov.lv</w:t>
      </w:r>
    </w:p>
    <w:p w14:paraId="538B13B3" w14:textId="77777777" w:rsidR="0016671B" w:rsidRPr="0016671B" w:rsidRDefault="0016671B" w:rsidP="0016671B">
      <w:pPr>
        <w:jc w:val="right"/>
        <w:rPr>
          <w:rFonts w:ascii="Arial" w:hAnsi="Arial" w:cs="Arial"/>
        </w:rPr>
      </w:pPr>
      <w:r w:rsidRPr="0016671B">
        <w:rPr>
          <w:rFonts w:ascii="Arial" w:hAnsi="Arial" w:cs="Arial"/>
        </w:rPr>
        <w:t>Ilgtspējīgas enerģētikas politikas</w:t>
      </w:r>
    </w:p>
    <w:p w14:paraId="197FA1BB" w14:textId="77777777" w:rsidR="0016671B" w:rsidRPr="0016671B" w:rsidRDefault="0016671B" w:rsidP="0016671B">
      <w:pPr>
        <w:jc w:val="right"/>
        <w:rPr>
          <w:rFonts w:ascii="Arial" w:hAnsi="Arial" w:cs="Arial"/>
        </w:rPr>
      </w:pPr>
      <w:r w:rsidRPr="0016671B">
        <w:rPr>
          <w:rFonts w:ascii="Arial" w:hAnsi="Arial" w:cs="Arial"/>
        </w:rPr>
        <w:t xml:space="preserve"> departamenta direktorei</w:t>
      </w:r>
    </w:p>
    <w:p w14:paraId="506C4565" w14:textId="77777777" w:rsidR="0016671B" w:rsidRPr="0016671B" w:rsidRDefault="0016671B" w:rsidP="0016671B">
      <w:pPr>
        <w:jc w:val="right"/>
        <w:rPr>
          <w:rFonts w:ascii="Arial" w:hAnsi="Arial" w:cs="Arial"/>
        </w:rPr>
      </w:pPr>
      <w:r w:rsidRPr="0016671B">
        <w:rPr>
          <w:rFonts w:ascii="Arial" w:hAnsi="Arial" w:cs="Arial"/>
        </w:rPr>
        <w:t xml:space="preserve">Līgai </w:t>
      </w:r>
      <w:proofErr w:type="spellStart"/>
      <w:r w:rsidRPr="0016671B">
        <w:rPr>
          <w:rFonts w:ascii="Arial" w:hAnsi="Arial" w:cs="Arial"/>
        </w:rPr>
        <w:t>Dreijaltei</w:t>
      </w:r>
      <w:proofErr w:type="spellEnd"/>
    </w:p>
    <w:p w14:paraId="427600B0" w14:textId="77777777" w:rsidR="00AD6A2B" w:rsidRDefault="00AD6A2B" w:rsidP="00AD6A2B">
      <w:pPr>
        <w:jc w:val="right"/>
        <w:rPr>
          <w:rFonts w:ascii="Arial" w:hAnsi="Arial" w:cs="Arial"/>
        </w:rPr>
      </w:pPr>
    </w:p>
    <w:p w14:paraId="440531D6" w14:textId="77777777" w:rsidR="00AD6A2B" w:rsidRDefault="00AD6A2B" w:rsidP="00AD6A2B">
      <w:pPr>
        <w:jc w:val="right"/>
        <w:rPr>
          <w:rFonts w:ascii="Arial" w:hAnsi="Arial" w:cs="Arial"/>
        </w:rPr>
      </w:pPr>
    </w:p>
    <w:p w14:paraId="1655A6AD" w14:textId="77777777" w:rsidR="00AD6A2B" w:rsidRDefault="00AD6A2B" w:rsidP="00AD6A2B">
      <w:pPr>
        <w:jc w:val="right"/>
        <w:rPr>
          <w:rFonts w:ascii="Arial" w:hAnsi="Arial" w:cs="Arial"/>
        </w:rPr>
      </w:pPr>
    </w:p>
    <w:p w14:paraId="68C15A4B" w14:textId="77777777" w:rsidR="0016671B" w:rsidRPr="0016671B" w:rsidRDefault="0016671B" w:rsidP="0016671B">
      <w:pPr>
        <w:jc w:val="right"/>
        <w:rPr>
          <w:rFonts w:ascii="Arial" w:hAnsi="Arial" w:cs="Arial"/>
        </w:rPr>
      </w:pPr>
      <w:r w:rsidRPr="0016671B">
        <w:rPr>
          <w:rFonts w:ascii="Arial" w:hAnsi="Arial" w:cs="Arial"/>
        </w:rPr>
        <w:t>Par MK 02.09.2020. noteikumu Nr. 561</w:t>
      </w:r>
    </w:p>
    <w:p w14:paraId="5CB1ECC0" w14:textId="77777777" w:rsidR="0016671B" w:rsidRPr="0016671B" w:rsidRDefault="0016671B" w:rsidP="0016671B">
      <w:pPr>
        <w:jc w:val="right"/>
        <w:rPr>
          <w:rFonts w:ascii="Arial" w:hAnsi="Arial" w:cs="Arial"/>
        </w:rPr>
      </w:pPr>
      <w:r w:rsidRPr="0016671B">
        <w:rPr>
          <w:rFonts w:ascii="Arial" w:hAnsi="Arial" w:cs="Arial"/>
        </w:rPr>
        <w:t xml:space="preserve">grozījumu projektu </w:t>
      </w:r>
    </w:p>
    <w:p w14:paraId="30D4651B" w14:textId="77777777" w:rsidR="0016671B" w:rsidRDefault="0016671B" w:rsidP="0016671B">
      <w:pPr>
        <w:jc w:val="right"/>
      </w:pPr>
    </w:p>
    <w:p w14:paraId="5F37911A" w14:textId="77777777" w:rsidR="0016671B" w:rsidRPr="00E54BC6" w:rsidRDefault="0016671B" w:rsidP="0016671B">
      <w:pPr>
        <w:jc w:val="both"/>
        <w:rPr>
          <w:color w:val="2A2A2A"/>
          <w:shd w:val="clear" w:color="auto" w:fill="FFFFFF"/>
        </w:rPr>
      </w:pPr>
    </w:p>
    <w:p w14:paraId="71C6798B" w14:textId="0A62239C" w:rsidR="0016671B" w:rsidRDefault="0016671B" w:rsidP="0016671B">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r>
        <w:rPr>
          <w:rFonts w:ascii="Arial" w:eastAsiaTheme="minorHAnsi" w:hAnsi="Arial" w:cs="Arial"/>
          <w:noProof/>
          <w:color w:val="2A2A2A"/>
          <w:lang w:eastAsia="en-US"/>
        </w:rPr>
        <mc:AlternateContent>
          <mc:Choice Requires="wps">
            <w:drawing>
              <wp:anchor distT="0" distB="0" distL="114300" distR="114300" simplePos="0" relativeHeight="251659264" behindDoc="0" locked="0" layoutInCell="1" allowOverlap="1" wp14:anchorId="61FF677F" wp14:editId="5B43AB3A">
                <wp:simplePos x="0" y="0"/>
                <wp:positionH relativeFrom="column">
                  <wp:posOffset>3612515</wp:posOffset>
                </wp:positionH>
                <wp:positionV relativeFrom="paragraph">
                  <wp:posOffset>3513455</wp:posOffset>
                </wp:positionV>
                <wp:extent cx="200025" cy="28575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200025" cy="28575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1255B443"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45pt,276.65pt" to="300.2pt,2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" strokecolor="#c00000" strokeweight=".5pt">
                <v:stroke joinstyle="miter"/>
              </v:line>
            </w:pict>
          </mc:Fallback>
        </mc:AlternateContent>
      </w:r>
      <w:r w:rsidRPr="007B682F">
        <w:rPr>
          <w:rFonts w:ascii="Arial" w:hAnsi="Arial" w:cs="Arial"/>
          <w:color w:val="2A2A2A"/>
          <w:shd w:val="clear" w:color="auto" w:fill="FFFFFF"/>
        </w:rPr>
        <w:t>AS “RĪGAS SILTUMS”, iepazīstoties ar 14.01.2021. pieteikto un Valsts sekretāru sanāksmē izskatīto noteikumu projektu “Grozījumi Ministru kabineta 2020.gada 2.septembra noteikumos Nr.561 “Noteikumi par elektroenerģijas ražošanu, uzraudzību un cenu noteikšanu, ražojot elektroenerģiju koģenerācijā”” (turpmāk tekstā – Grozījumi), aicina Grozījumu iesniedzēju Ekonomikas ministriju atkārtoti pārskatīt e</w:t>
      </w:r>
      <w:r w:rsidRPr="007B682F">
        <w:rPr>
          <w:rFonts w:ascii="Arial" w:eastAsiaTheme="minorHAnsi" w:hAnsi="Arial" w:cs="Arial"/>
          <w:color w:val="2A2A2A"/>
          <w:shd w:val="clear" w:color="auto" w:fill="FFFFFF"/>
          <w:lang w:eastAsia="en-US"/>
        </w:rPr>
        <w:t xml:space="preserve">lektrostaciju </w:t>
      </w:r>
      <w:proofErr w:type="spellStart"/>
      <w:r w:rsidRPr="007B682F">
        <w:rPr>
          <w:rFonts w:ascii="Arial" w:eastAsiaTheme="minorHAnsi" w:hAnsi="Arial" w:cs="Arial"/>
          <w:color w:val="2A2A2A"/>
          <w:shd w:val="clear" w:color="auto" w:fill="FFFFFF"/>
          <w:lang w:eastAsia="en-US"/>
        </w:rPr>
        <w:t>pārkompensācijas</w:t>
      </w:r>
      <w:proofErr w:type="spellEnd"/>
      <w:r w:rsidRPr="007B682F">
        <w:rPr>
          <w:rFonts w:ascii="Arial" w:eastAsiaTheme="minorHAnsi" w:hAnsi="Arial" w:cs="Arial"/>
          <w:color w:val="2A2A2A"/>
          <w:shd w:val="clear" w:color="auto" w:fill="FFFFFF"/>
          <w:lang w:eastAsia="en-US"/>
        </w:rPr>
        <w:t xml:space="preserve"> novēršana</w:t>
      </w:r>
      <w:r w:rsidRPr="007B682F">
        <w:rPr>
          <w:rFonts w:ascii="Arial" w:hAnsi="Arial" w:cs="Arial"/>
          <w:color w:val="2A2A2A"/>
          <w:shd w:val="clear" w:color="auto" w:fill="FFFFFF"/>
        </w:rPr>
        <w:t xml:space="preserve">s metodiku un </w:t>
      </w:r>
      <w:r w:rsidRPr="00E72BE7">
        <w:rPr>
          <w:rFonts w:ascii="Arial" w:hAnsi="Arial" w:cs="Arial"/>
          <w:color w:val="2A2A2A"/>
          <w:u w:val="single"/>
          <w:shd w:val="clear" w:color="auto" w:fill="FFFFFF"/>
        </w:rPr>
        <w:t>izslēgt</w:t>
      </w:r>
      <w:r w:rsidRPr="007B682F">
        <w:rPr>
          <w:rFonts w:ascii="Arial" w:hAnsi="Arial" w:cs="Arial"/>
          <w:color w:val="2A2A2A"/>
          <w:shd w:val="clear" w:color="auto" w:fill="FFFFFF"/>
        </w:rPr>
        <w:t xml:space="preserve"> no Grozījumu 8.pielikuma “Koģenerācijas stacijas kopējo kapitālieguldījumu iekšējās peļņas normas aprēķins” </w:t>
      </w:r>
      <w:r w:rsidRPr="007B682F">
        <w:rPr>
          <w:rFonts w:ascii="Arial" w:eastAsiaTheme="minorHAnsi" w:hAnsi="Arial" w:cs="Arial"/>
          <w:color w:val="2A2A2A"/>
          <w:shd w:val="clear" w:color="auto" w:fill="FFFFFF"/>
          <w:lang w:eastAsia="en-US"/>
        </w:rPr>
        <w:t>I</w:t>
      </w:r>
      <w:r w:rsidRPr="007B682F">
        <w:rPr>
          <w:rFonts w:ascii="Arial" w:hAnsi="Arial" w:cs="Arial"/>
          <w:color w:val="2A2A2A"/>
          <w:shd w:val="clear" w:color="auto" w:fill="FFFFFF"/>
        </w:rPr>
        <w:t xml:space="preserve"> sadaļas “</w:t>
      </w:r>
      <w:r w:rsidRPr="007B682F">
        <w:rPr>
          <w:rFonts w:ascii="Arial" w:eastAsiaTheme="minorHAnsi" w:hAnsi="Arial" w:cs="Arial"/>
          <w:color w:val="2A2A2A"/>
          <w:shd w:val="clear" w:color="auto" w:fill="FFFFFF"/>
          <w:lang w:eastAsia="en-US"/>
        </w:rPr>
        <w:t>Koģenerācijas stacijas kopējo kapitālieguldījumu iekšējās peļņas normas aprēķina gaita</w:t>
      </w:r>
      <w:r w:rsidRPr="007B682F">
        <w:rPr>
          <w:rFonts w:ascii="Arial" w:hAnsi="Arial" w:cs="Arial"/>
          <w:color w:val="2A2A2A"/>
          <w:shd w:val="clear" w:color="auto" w:fill="FFFFFF"/>
        </w:rPr>
        <w:t>” 2.punkt</w:t>
      </w:r>
      <w:r>
        <w:rPr>
          <w:rFonts w:ascii="Arial" w:hAnsi="Arial" w:cs="Arial"/>
          <w:color w:val="2A2A2A"/>
          <w:shd w:val="clear" w:color="auto" w:fill="FFFFFF"/>
        </w:rPr>
        <w:t>ā</w:t>
      </w:r>
      <w:r w:rsidRPr="007B682F">
        <w:rPr>
          <w:rFonts w:ascii="Arial" w:hAnsi="Arial" w:cs="Arial"/>
          <w:color w:val="2A2A2A"/>
          <w:shd w:val="clear" w:color="auto" w:fill="FFFFFF"/>
        </w:rPr>
        <w:t xml:space="preserve"> </w:t>
      </w:r>
      <w:r>
        <w:rPr>
          <w:rFonts w:ascii="Arial" w:hAnsi="Arial" w:cs="Arial"/>
          <w:color w:val="2A2A2A"/>
          <w:shd w:val="clear" w:color="auto" w:fill="FFFFFF"/>
        </w:rPr>
        <w:t>minētas</w:t>
      </w:r>
      <w:r w:rsidRPr="007B682F">
        <w:rPr>
          <w:rFonts w:ascii="Arial" w:hAnsi="Arial" w:cs="Arial"/>
        </w:rPr>
        <w:t xml:space="preserve"> formul</w:t>
      </w:r>
      <w:r>
        <w:rPr>
          <w:rFonts w:ascii="Arial" w:hAnsi="Arial" w:cs="Arial"/>
        </w:rPr>
        <w:t xml:space="preserve">as </w:t>
      </w:r>
      <w:r>
        <w:rPr>
          <w:rFonts w:ascii="Arial" w:eastAsiaTheme="minorHAnsi" w:hAnsi="Arial" w:cs="Arial"/>
          <w:color w:val="2A2A2A"/>
          <w:shd w:val="clear" w:color="auto" w:fill="FFFFFF"/>
          <w:lang w:eastAsia="en-US"/>
        </w:rPr>
        <w:t>lielum</w:t>
      </w:r>
      <w:bookmarkStart w:id="0" w:name="_GoBack"/>
      <w:bookmarkEnd w:id="0"/>
      <w:r>
        <w:rPr>
          <w:rFonts w:ascii="Arial" w:eastAsiaTheme="minorHAnsi" w:hAnsi="Arial" w:cs="Arial"/>
          <w:color w:val="2A2A2A"/>
          <w:shd w:val="clear" w:color="auto" w:fill="FFFFFF"/>
          <w:lang w:eastAsia="en-US"/>
        </w:rPr>
        <w:t>u</w:t>
      </w:r>
      <m:oMath>
        <m:r>
          <w:rPr>
            <w:rFonts w:ascii="Cambria Math" w:eastAsiaTheme="minorHAnsi" w:hAnsi="Cambria Math" w:cs="Arial"/>
            <w:color w:val="2A2A2A"/>
            <w:shd w:val="clear" w:color="auto" w:fill="FFFFFF"/>
            <w:lang w:eastAsia="en-US"/>
          </w:rPr>
          <m:t xml:space="preserve"> </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oMath>
      <w:r>
        <w:rPr>
          <w:rFonts w:ascii="Arial" w:eastAsiaTheme="minorHAnsi" w:hAnsi="Arial" w:cs="Arial"/>
          <w:color w:val="2A2A2A"/>
          <w:shd w:val="clear" w:color="auto" w:fill="FFFFFF"/>
          <w:lang w:eastAsia="en-US"/>
        </w:rPr>
        <w:t xml:space="preserve">, kas nosaka </w:t>
      </w:r>
      <w:r w:rsidRPr="007B682F">
        <w:rPr>
          <w:rFonts w:ascii="Arial" w:eastAsiaTheme="minorHAnsi" w:hAnsi="Arial" w:cs="Arial"/>
          <w:color w:val="2A2A2A"/>
          <w:shd w:val="clear" w:color="auto" w:fill="FFFFFF"/>
          <w:lang w:eastAsia="en-US"/>
        </w:rPr>
        <w:t>komersanta koģenerācijas staciju piešķirt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un faktiski saņemt</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publisk</w:t>
      </w:r>
      <w:r>
        <w:rPr>
          <w:rFonts w:ascii="Arial" w:eastAsiaTheme="minorHAnsi" w:hAnsi="Arial" w:cs="Arial"/>
          <w:color w:val="2A2A2A"/>
          <w:shd w:val="clear" w:color="auto" w:fill="FFFFFF"/>
          <w:lang w:eastAsia="en-US"/>
        </w:rPr>
        <w:t>o</w:t>
      </w:r>
      <w:r w:rsidRPr="007B682F">
        <w:rPr>
          <w:rFonts w:ascii="Arial" w:eastAsiaTheme="minorHAnsi" w:hAnsi="Arial" w:cs="Arial"/>
          <w:color w:val="2A2A2A"/>
          <w:shd w:val="clear" w:color="auto" w:fill="FFFFFF"/>
          <w:lang w:eastAsia="en-US"/>
        </w:rPr>
        <w:t xml:space="preserve"> finansējum</w:t>
      </w:r>
      <w:r>
        <w:rPr>
          <w:rFonts w:ascii="Arial" w:eastAsiaTheme="minorHAnsi" w:hAnsi="Arial" w:cs="Arial"/>
          <w:color w:val="2A2A2A"/>
          <w:shd w:val="clear" w:color="auto" w:fill="FFFFFF"/>
          <w:lang w:eastAsia="en-US"/>
        </w:rPr>
        <w:t xml:space="preserve">u, </w:t>
      </w:r>
      <w:r w:rsidRPr="007B682F">
        <w:rPr>
          <w:rFonts w:ascii="Arial" w:eastAsiaTheme="minorHAnsi" w:hAnsi="Arial" w:cs="Arial"/>
          <w:color w:val="2A2A2A"/>
          <w:shd w:val="clear" w:color="auto" w:fill="FFFFFF"/>
          <w:lang w:eastAsia="en-US"/>
        </w:rPr>
        <w:t>tai skaitā maksājum</w:t>
      </w:r>
      <w:r>
        <w:rPr>
          <w:rFonts w:ascii="Arial" w:eastAsiaTheme="minorHAnsi" w:hAnsi="Arial" w:cs="Arial"/>
          <w:color w:val="2A2A2A"/>
          <w:shd w:val="clear" w:color="auto" w:fill="FFFFFF"/>
          <w:lang w:eastAsia="en-US"/>
        </w:rPr>
        <w:t>us</w:t>
      </w:r>
      <w:r w:rsidRPr="007B682F">
        <w:rPr>
          <w:rFonts w:ascii="Arial" w:eastAsiaTheme="minorHAnsi" w:hAnsi="Arial" w:cs="Arial"/>
          <w:color w:val="2A2A2A"/>
          <w:shd w:val="clear" w:color="auto" w:fill="FFFFFF"/>
          <w:lang w:eastAsia="en-US"/>
        </w:rPr>
        <w:t xml:space="preserve"> no valsts vai pašvaldības budžeta, kredītu procentu likmju subsidēšan</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kā arī cit</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xml:space="preserve"> finanšu palīdzīb</w:t>
      </w:r>
      <w:r>
        <w:rPr>
          <w:rFonts w:ascii="Arial" w:eastAsiaTheme="minorHAnsi" w:hAnsi="Arial" w:cs="Arial"/>
          <w:color w:val="2A2A2A"/>
          <w:shd w:val="clear" w:color="auto" w:fill="FFFFFF"/>
          <w:lang w:eastAsia="en-US"/>
        </w:rPr>
        <w:t>u</w:t>
      </w:r>
      <w:r w:rsidRPr="007B682F">
        <w:rPr>
          <w:rFonts w:ascii="Arial" w:eastAsiaTheme="minorHAnsi" w:hAnsi="Arial" w:cs="Arial"/>
          <w:color w:val="2A2A2A"/>
          <w:shd w:val="clear" w:color="auto" w:fill="FFFFFF"/>
          <w:lang w:eastAsia="en-US"/>
        </w:rPr>
        <w:t>, kas tiek piešķirta vai sniegta no valsts, pašvaldības vai Eiropas Savienības budžeta līdzekļiem un ārvalstu finanšu palīdzības līdzekļiem</w:t>
      </w:r>
      <w:r>
        <w:rPr>
          <w:rFonts w:ascii="Arial" w:eastAsiaTheme="minorHAnsi" w:hAnsi="Arial" w:cs="Arial"/>
          <w:color w:val="2A2A2A"/>
          <w:shd w:val="clear" w:color="auto" w:fill="FFFFFF"/>
          <w:lang w:eastAsia="en-US"/>
        </w:rPr>
        <w:t>:</w:t>
      </w:r>
    </w:p>
    <w:p w14:paraId="6631C74C" w14:textId="77777777" w:rsidR="0016671B" w:rsidRPr="000D1BFD" w:rsidRDefault="003B003E" w:rsidP="0016671B">
      <w:pPr>
        <w:pStyle w:val="tvhtml"/>
        <w:shd w:val="clear" w:color="auto" w:fill="FFFFFF"/>
        <w:spacing w:before="0" w:beforeAutospacing="0" w:after="0" w:afterAutospacing="0" w:line="360" w:lineRule="auto"/>
        <w:ind w:firstLine="720"/>
        <w:jc w:val="center"/>
        <w:rPr>
          <w:rFonts w:ascii="Arial" w:hAnsi="Arial" w:cs="Arial"/>
        </w:rPr>
      </w:pPr>
      <m:oMathPara>
        <m:oMath>
          <m:nary>
            <m:naryPr>
              <m:chr m:val="∑"/>
              <m:limLoc m:val="subSup"/>
              <m:ctrlPr>
                <w:rPr>
                  <w:rFonts w:ascii="Cambria Math" w:hAnsi="Cambria Math"/>
                  <w:i/>
                </w:rPr>
              </m:ctrlPr>
            </m:naryPr>
            <m:sub>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sub>
            <m:sup>
              <m:r>
                <w:rPr>
                  <w:rFonts w:ascii="Cambria Math" w:hAnsi="Cambria Math"/>
                </w:rPr>
                <m:t>n</m:t>
              </m:r>
            </m:sup>
            <m:e>
              <m:f>
                <m:fPr>
                  <m:ctrlPr>
                    <w:rPr>
                      <w:rFonts w:ascii="Cambria Math" w:hAnsi="Cambria Math"/>
                      <w:i/>
                    </w:rPr>
                  </m:ctrlPr>
                </m:fPr>
                <m:num>
                  <m:sSub>
                    <m:sSubPr>
                      <m:ctrlPr>
                        <w:rPr>
                          <w:rFonts w:ascii="Cambria Math" w:hAnsi="Cambria Math"/>
                          <w:i/>
                        </w:rPr>
                      </m:ctrlPr>
                    </m:sSubPr>
                    <m:e>
                      <m:r>
                        <w:rPr>
                          <w:rFonts w:ascii="Cambria Math" w:hAnsi="Cambria Math"/>
                        </w:rPr>
                        <m:t>TNP</m:t>
                      </m:r>
                    </m:e>
                    <m:sub>
                      <m:r>
                        <w:rPr>
                          <w:rFonts w:ascii="Cambria Math" w:hAnsi="Cambria Math"/>
                        </w:rPr>
                        <m:t>t</m:t>
                      </m:r>
                    </m:sub>
                  </m:sSub>
                </m:num>
                <m:den>
                  <m:sSup>
                    <m:sSupPr>
                      <m:ctrlPr>
                        <w:rPr>
                          <w:rFonts w:ascii="Cambria Math" w:hAnsi="Cambria Math"/>
                          <w:i/>
                        </w:rPr>
                      </m:ctrlPr>
                    </m:sSupPr>
                    <m:e>
                      <m:r>
                        <w:rPr>
                          <w:rFonts w:ascii="Cambria Math" w:hAnsi="Cambria Math"/>
                        </w:rPr>
                        <m:t>(1+</m:t>
                      </m:r>
                      <m:f>
                        <m:fPr>
                          <m:ctrlPr>
                            <w:rPr>
                              <w:rFonts w:ascii="Cambria Math" w:hAnsi="Cambria Math"/>
                              <w:i/>
                            </w:rPr>
                          </m:ctrlPr>
                        </m:fPr>
                        <m:num>
                          <m:r>
                            <w:rPr>
                              <w:rFonts w:ascii="Cambria Math" w:hAnsi="Cambria Math"/>
                            </w:rPr>
                            <m:t>r</m:t>
                          </m:r>
                        </m:num>
                        <m:den>
                          <m:r>
                            <w:rPr>
                              <w:rFonts w:ascii="Cambria Math" w:hAnsi="Cambria Math"/>
                            </w:rPr>
                            <m:t>100</m:t>
                          </m:r>
                        </m:den>
                      </m:f>
                      <m:r>
                        <w:rPr>
                          <w:rFonts w:ascii="Cambria Math" w:hAnsi="Cambria Math"/>
                        </w:rPr>
                        <m:t>)</m:t>
                      </m:r>
                    </m:e>
                    <m:sup>
                      <m:r>
                        <w:rPr>
                          <w:rFonts w:ascii="Cambria Math" w:hAnsi="Cambria Math"/>
                        </w:rPr>
                        <m:t>t-</m:t>
                      </m:r>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+1</m:t>
                      </m:r>
                    </m:sup>
                  </m:sSup>
                </m:den>
              </m:f>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D</m:t>
                  </m:r>
                </m:e>
                <m:sub>
                  <m:sSub>
                    <m:sSubPr>
                      <m:ctrlPr>
                        <w:rPr>
                          <w:rFonts w:ascii="Cambria Math" w:hAnsi="Cambria Math"/>
                          <w:i/>
                        </w:rPr>
                      </m:ctrlPr>
                    </m:sSubPr>
                    <m:e>
                      <m:r>
                        <w:rPr>
                          <w:rFonts w:ascii="Cambria Math" w:hAnsi="Cambria Math"/>
                        </w:rPr>
                        <m:t>t</m:t>
                      </m:r>
                    </m:e>
                    <m:sub>
                      <m:r>
                        <w:rPr>
                          <w:rFonts w:ascii="Cambria Math" w:hAnsi="Cambria Math"/>
                        </w:rPr>
                        <m:t>0</m:t>
                      </m:r>
                    </m:sub>
                  </m:sSub>
                </m:sub>
              </m:sSub>
              <m:r>
                <w:rPr>
                  <w:rFonts w:ascii="Cambria Math" w:hAnsi="Cambria Math"/>
                </w:rPr>
                <m:t>=0</m:t>
              </m:r>
            </m:e>
          </m:nary>
        </m:oMath>
      </m:oMathPara>
    </w:p>
    <w:p w14:paraId="1EB7ADEA" w14:textId="3B8BD5EE" w:rsidR="0016671B" w:rsidRDefault="0016671B" w:rsidP="0016671B">
      <w:pPr>
        <w:pStyle w:val="tvhtml"/>
        <w:shd w:val="clear" w:color="auto" w:fill="FFFFFF"/>
        <w:spacing w:before="0" w:beforeAutospacing="0" w:after="0" w:afterAutospacing="0" w:line="360" w:lineRule="auto"/>
        <w:ind w:firstLine="720"/>
        <w:jc w:val="both"/>
        <w:rPr>
          <w:rFonts w:ascii="Arial" w:eastAsiaTheme="minorHAnsi" w:hAnsi="Arial" w:cs="Arial"/>
          <w:color w:val="2A2A2A"/>
          <w:shd w:val="clear" w:color="auto" w:fill="FFFFFF"/>
          <w:lang w:eastAsia="en-US"/>
        </w:rPr>
      </w:pPr>
      <w:r>
        <w:rPr>
          <w:rFonts w:ascii="Arial" w:eastAsiaTheme="minorHAnsi" w:hAnsi="Arial" w:cs="Arial"/>
          <w:color w:val="2A2A2A"/>
          <w:shd w:val="clear" w:color="auto" w:fill="FFFFFF"/>
          <w:lang w:eastAsia="en-US"/>
        </w:rPr>
        <w:t xml:space="preserve">Šī prasība pamatota ar to, ka veicot  provizorisko </w:t>
      </w:r>
      <w:r w:rsidRPr="00F274A5">
        <w:rPr>
          <w:rFonts w:ascii="Arial" w:eastAsiaTheme="minorHAnsi" w:hAnsi="Arial" w:cs="Arial"/>
          <w:color w:val="2A2A2A"/>
          <w:shd w:val="clear" w:color="auto" w:fill="FFFFFF"/>
          <w:lang w:eastAsia="en-US"/>
        </w:rPr>
        <w:t>kopējo kapitālieguldījumu iekšējās peļņas normas aprēķin</w:t>
      </w:r>
      <w:r>
        <w:rPr>
          <w:rFonts w:ascii="Arial" w:eastAsiaTheme="minorHAnsi" w:hAnsi="Arial" w:cs="Arial"/>
          <w:color w:val="2A2A2A"/>
          <w:shd w:val="clear" w:color="auto" w:fill="FFFFFF"/>
          <w:lang w:eastAsia="en-US"/>
        </w:rPr>
        <w:t>u</w:t>
      </w:r>
      <w:r w:rsidRPr="00F274A5">
        <w:rPr>
          <w:rFonts w:ascii="Arial" w:eastAsiaTheme="minorHAnsi" w:hAnsi="Arial" w:cs="Arial"/>
          <w:color w:val="2A2A2A"/>
          <w:shd w:val="clear" w:color="auto" w:fill="FFFFFF"/>
          <w:lang w:eastAsia="en-US"/>
        </w:rPr>
        <w:t xml:space="preserve"> AS “RĪGAS SILTUMS”</w:t>
      </w:r>
      <w:r>
        <w:rPr>
          <w:rFonts w:ascii="Arial" w:eastAsiaTheme="minorHAnsi" w:hAnsi="Arial" w:cs="Arial"/>
          <w:color w:val="2A2A2A"/>
          <w:shd w:val="clear" w:color="auto" w:fill="FFFFFF"/>
          <w:lang w:eastAsia="en-US"/>
        </w:rPr>
        <w:t xml:space="preserve"> piederošajai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i ar elektrisko jaudu 4 MW, </w:t>
      </w:r>
      <w:r w:rsidRPr="00F274A5">
        <w:rPr>
          <w:rFonts w:ascii="Arial" w:eastAsiaTheme="minorHAnsi" w:hAnsi="Arial" w:cs="Arial"/>
          <w:color w:val="2A2A2A"/>
          <w:shd w:val="clear" w:color="auto" w:fill="FFFFFF"/>
          <w:lang w:eastAsia="en-US"/>
        </w:rPr>
        <w:t xml:space="preserve">kas darbojas obligātā iepirkuma ietvaros no 2013.gada </w:t>
      </w:r>
      <w:r>
        <w:rPr>
          <w:rFonts w:ascii="Arial" w:eastAsiaTheme="minorHAnsi" w:hAnsi="Arial" w:cs="Arial"/>
          <w:color w:val="2A2A2A"/>
          <w:shd w:val="clear" w:color="auto" w:fill="FFFFFF"/>
          <w:lang w:eastAsia="en-US"/>
        </w:rPr>
        <w:t xml:space="preserve">un tika izbūvēta piesaistot Eiropas Savienības Kohēzijas fonda līdzfinansējumu, saskaņā ar Grozījumu noteiktu metodiku tiek iegūts </w:t>
      </w:r>
      <w:r w:rsidRPr="00F274A5">
        <w:rPr>
          <w:rFonts w:ascii="Arial" w:eastAsiaTheme="minorHAnsi" w:hAnsi="Arial" w:cs="Arial"/>
          <w:color w:val="2A2A2A"/>
          <w:shd w:val="clear" w:color="auto" w:fill="FFFFFF"/>
          <w:lang w:eastAsia="en-US"/>
        </w:rPr>
        <w:t>iekšējās peļņas normas</w:t>
      </w:r>
      <w:r>
        <w:rPr>
          <w:rFonts w:ascii="Arial" w:eastAsiaTheme="minorHAnsi" w:hAnsi="Arial" w:cs="Arial"/>
          <w:color w:val="2A2A2A"/>
          <w:shd w:val="clear" w:color="auto" w:fill="FFFFFF"/>
          <w:lang w:eastAsia="en-US"/>
        </w:rPr>
        <w:t xml:space="preserve"> lielums, kas būtiski pārsniedz Grozījumos noteikto 9% likmi </w:t>
      </w:r>
      <w:r w:rsidRPr="00913F46">
        <w:rPr>
          <w:rFonts w:ascii="Arial" w:eastAsiaTheme="minorHAnsi" w:hAnsi="Arial" w:cs="Arial"/>
          <w:color w:val="2A2A2A"/>
          <w:shd w:val="clear" w:color="auto" w:fill="FFFFFF"/>
          <w:lang w:eastAsia="en-US"/>
        </w:rPr>
        <w:t>atbalsta perioda beigās</w:t>
      </w:r>
      <w:r>
        <w:rPr>
          <w:rFonts w:ascii="Arial" w:eastAsiaTheme="minorHAnsi" w:hAnsi="Arial" w:cs="Arial"/>
          <w:color w:val="2A2A2A"/>
          <w:shd w:val="clear" w:color="auto" w:fill="FFFFFF"/>
          <w:lang w:eastAsia="en-US"/>
        </w:rPr>
        <w:t xml:space="preserve">, un elektrostacijai būtu piemērojams </w:t>
      </w:r>
      <w:r>
        <w:rPr>
          <w:rFonts w:ascii="Arial" w:eastAsiaTheme="minorHAnsi" w:hAnsi="Arial" w:cs="Arial"/>
          <w:color w:val="2A2A2A"/>
          <w:shd w:val="clear" w:color="auto" w:fill="FFFFFF"/>
          <w:lang w:eastAsia="en-US"/>
        </w:rPr>
        <w:lastRenderedPageBreak/>
        <w:t xml:space="preserve">nesamērīgs valsts atbalsta </w:t>
      </w:r>
      <w:r w:rsidRPr="006201D8">
        <w:rPr>
          <w:rFonts w:ascii="Arial" w:eastAsiaTheme="minorHAnsi" w:hAnsi="Arial" w:cs="Arial"/>
          <w:color w:val="2A2A2A"/>
          <w:shd w:val="clear" w:color="auto" w:fill="FFFFFF"/>
          <w:lang w:eastAsia="en-US"/>
        </w:rPr>
        <w:t xml:space="preserve">samazinošs koeficients – tā saucamais cenas diferencēšanas koeficients </w:t>
      </w:r>
      <w:proofErr w:type="spellStart"/>
      <w:r w:rsidRPr="006201D8">
        <w:rPr>
          <w:rFonts w:ascii="Arial" w:eastAsiaTheme="minorHAnsi" w:hAnsi="Arial" w:cs="Arial"/>
          <w:color w:val="2A2A2A"/>
          <w:shd w:val="clear" w:color="auto" w:fill="FFFFFF"/>
          <w:lang w:eastAsia="en-US"/>
        </w:rPr>
        <w:t>pārkompensācijas</w:t>
      </w:r>
      <w:proofErr w:type="spellEnd"/>
      <w:r w:rsidRPr="006201D8">
        <w:rPr>
          <w:rFonts w:ascii="Arial" w:eastAsiaTheme="minorHAnsi" w:hAnsi="Arial" w:cs="Arial"/>
          <w:color w:val="2A2A2A"/>
          <w:shd w:val="clear" w:color="auto" w:fill="FFFFFF"/>
          <w:lang w:eastAsia="en-US"/>
        </w:rPr>
        <w:t xml:space="preserve"> novēršanai</w:t>
      </w:r>
      <w:r>
        <w:rPr>
          <w:rFonts w:ascii="Arial" w:eastAsiaTheme="minorHAnsi" w:hAnsi="Arial" w:cs="Arial"/>
          <w:color w:val="2A2A2A"/>
          <w:shd w:val="clear" w:color="auto" w:fill="FFFFFF"/>
          <w:lang w:eastAsia="en-US"/>
        </w:rPr>
        <w:t xml:space="preserve">,  kas pie tam tiek attiecināts uz visu atbalsta periodu. Ja formulā neizmanto lielumu </w:t>
      </w:r>
      <m:oMath>
        <m:sSub>
          <m:sSubPr>
            <m:ctrlPr>
              <w:rPr>
                <w:rFonts w:ascii="Cambria Math" w:eastAsiaTheme="minorHAnsi" w:hAnsi="Cambria Math" w:cs="Arial"/>
                <w:color w:val="2A2A2A"/>
                <w:shd w:val="clear" w:color="auto" w:fill="FFFFFF"/>
                <w:lang w:eastAsia="en-US"/>
              </w:rPr>
            </m:ctrlPr>
          </m:sSubPr>
          <m:e>
            <m:r>
              <w:rPr>
                <w:rFonts w:ascii="Cambria Math" w:eastAsiaTheme="minorHAnsi" w:hAnsi="Cambria Math" w:cs="Arial"/>
                <w:color w:val="2A2A2A"/>
                <w:shd w:val="clear" w:color="auto" w:fill="FFFFFF"/>
                <w:lang w:eastAsia="en-US"/>
              </w:rPr>
              <m:t>D</m:t>
            </m:r>
          </m:e>
          <m:sub>
            <m:sSub>
              <m:sSubPr>
                <m:ctrlPr>
                  <w:rPr>
                    <w:rFonts w:ascii="Cambria Math" w:eastAsiaTheme="minorHAnsi" w:hAnsi="Cambria Math" w:cs="Arial"/>
                    <w:color w:val="2A2A2A"/>
                    <w:shd w:val="clear" w:color="auto" w:fill="FFFFFF"/>
                    <w:lang w:eastAsia="en-US"/>
                  </w:rPr>
                </m:ctrlPr>
              </m:sSubPr>
              <m:e>
                <m:r>
                  <w:rPr>
                    <w:rFonts w:ascii="Cambria Math" w:eastAsiaTheme="minorHAnsi" w:hAnsi="Cambria Math" w:cs="Arial"/>
                    <w:color w:val="2A2A2A"/>
                    <w:shd w:val="clear" w:color="auto" w:fill="FFFFFF"/>
                    <w:lang w:eastAsia="en-US"/>
                  </w:rPr>
                  <m:t>t</m:t>
                </m:r>
              </m:e>
              <m:sub>
                <m:r>
                  <m:rPr>
                    <m:sty m:val="p"/>
                  </m:rPr>
                  <w:rPr>
                    <w:rFonts w:ascii="Cambria Math" w:eastAsiaTheme="minorHAnsi" w:hAnsi="Cambria Math" w:cs="Arial"/>
                    <w:color w:val="2A2A2A"/>
                    <w:shd w:val="clear" w:color="auto" w:fill="FFFFFF"/>
                    <w:lang w:eastAsia="en-US"/>
                  </w:rPr>
                  <m:t>0</m:t>
                </m:r>
              </m:sub>
            </m:sSub>
          </m:sub>
        </m:sSub>
      </m:oMath>
      <w:r w:rsidRPr="0016671B">
        <w:rPr>
          <w:rFonts w:ascii="Arial" w:eastAsiaTheme="minorHAnsi" w:hAnsi="Arial" w:cs="Arial"/>
          <w:color w:val="2A2A2A"/>
          <w:shd w:val="clear" w:color="auto" w:fill="FFFFFF"/>
          <w:lang w:eastAsia="en-US"/>
        </w:rPr>
        <w:t xml:space="preserve">, tad </w:t>
      </w:r>
      <w:r w:rsidRPr="00F274A5">
        <w:rPr>
          <w:rFonts w:ascii="Arial" w:eastAsiaTheme="minorHAnsi" w:hAnsi="Arial" w:cs="Arial"/>
          <w:color w:val="2A2A2A"/>
          <w:shd w:val="clear" w:color="auto" w:fill="FFFFFF"/>
          <w:lang w:eastAsia="en-US"/>
        </w:rPr>
        <w:t>peļņas normas aprēķin</w:t>
      </w:r>
      <w:r>
        <w:rPr>
          <w:rFonts w:ascii="Arial" w:eastAsiaTheme="minorHAnsi" w:hAnsi="Arial" w:cs="Arial"/>
          <w:color w:val="2A2A2A"/>
          <w:shd w:val="clear" w:color="auto" w:fill="FFFFFF"/>
          <w:lang w:eastAsia="en-US"/>
        </w:rPr>
        <w:t>s</w:t>
      </w:r>
      <w:r w:rsidRPr="00F274A5">
        <w:rPr>
          <w:rFonts w:ascii="Arial" w:eastAsiaTheme="minorHAnsi" w:hAnsi="Arial" w:cs="Arial"/>
          <w:color w:val="2A2A2A"/>
          <w:shd w:val="clear" w:color="auto" w:fill="FFFFFF"/>
          <w:lang w:eastAsia="en-US"/>
        </w:rPr>
        <w:t xml:space="preserve"> </w:t>
      </w:r>
      <w:r>
        <w:rPr>
          <w:rFonts w:ascii="Arial" w:eastAsiaTheme="minorHAnsi" w:hAnsi="Arial" w:cs="Arial"/>
          <w:color w:val="2A2A2A"/>
          <w:shd w:val="clear" w:color="auto" w:fill="FFFFFF"/>
          <w:lang w:eastAsia="en-US"/>
        </w:rPr>
        <w:t xml:space="preserve">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i ir zem 9%. Būtībā tas norāda uz to, ka SC “Ziepniekkalns” </w:t>
      </w:r>
      <w:proofErr w:type="spellStart"/>
      <w:r>
        <w:rPr>
          <w:rFonts w:ascii="Arial" w:eastAsiaTheme="minorHAnsi" w:hAnsi="Arial" w:cs="Arial"/>
          <w:color w:val="2A2A2A"/>
          <w:shd w:val="clear" w:color="auto" w:fill="FFFFFF"/>
          <w:lang w:eastAsia="en-US"/>
        </w:rPr>
        <w:t>biokurināmā</w:t>
      </w:r>
      <w:proofErr w:type="spellEnd"/>
      <w:r>
        <w:rPr>
          <w:rFonts w:ascii="Arial" w:eastAsiaTheme="minorHAnsi" w:hAnsi="Arial" w:cs="Arial"/>
          <w:color w:val="2A2A2A"/>
          <w:shd w:val="clear" w:color="auto" w:fill="FFFFFF"/>
          <w:lang w:eastAsia="en-US"/>
        </w:rPr>
        <w:t xml:space="preserve"> k</w:t>
      </w:r>
      <w:r w:rsidRPr="00F274A5">
        <w:rPr>
          <w:rFonts w:ascii="Arial" w:eastAsiaTheme="minorHAnsi" w:hAnsi="Arial" w:cs="Arial"/>
          <w:color w:val="2A2A2A"/>
          <w:shd w:val="clear" w:color="auto" w:fill="FFFFFF"/>
          <w:lang w:eastAsia="en-US"/>
        </w:rPr>
        <w:t xml:space="preserve">oģenerācijas </w:t>
      </w:r>
      <w:r>
        <w:rPr>
          <w:rFonts w:ascii="Arial" w:eastAsiaTheme="minorHAnsi" w:hAnsi="Arial" w:cs="Arial"/>
          <w:color w:val="2A2A2A"/>
          <w:shd w:val="clear" w:color="auto" w:fill="FFFFFF"/>
          <w:lang w:eastAsia="en-US"/>
        </w:rPr>
        <w:t>elektro</w:t>
      </w:r>
      <w:r w:rsidRPr="00F274A5">
        <w:rPr>
          <w:rFonts w:ascii="Arial" w:eastAsiaTheme="minorHAnsi" w:hAnsi="Arial" w:cs="Arial"/>
          <w:color w:val="2A2A2A"/>
          <w:shd w:val="clear" w:color="auto" w:fill="FFFFFF"/>
          <w:lang w:eastAsia="en-US"/>
        </w:rPr>
        <w:t>stacija</w:t>
      </w:r>
      <w:r>
        <w:rPr>
          <w:rFonts w:ascii="Arial" w:eastAsiaTheme="minorHAnsi" w:hAnsi="Arial" w:cs="Arial"/>
          <w:color w:val="2A2A2A"/>
          <w:shd w:val="clear" w:color="auto" w:fill="FFFFFF"/>
          <w:lang w:eastAsia="en-US"/>
        </w:rPr>
        <w:t xml:space="preserve"> nav pārkompensēta, bet izmantojot esošo formulu AS “RĪGAS SILTUMS” būs Latvijas valstij jāatmaksā saņemtais finansējums no Eiropas savienības budžeta līdzekļiem.</w:t>
      </w:r>
    </w:p>
    <w:p w14:paraId="0D9FA017" w14:textId="0797B4CA" w:rsidR="00C83C84" w:rsidRPr="0016671B" w:rsidRDefault="0016671B" w:rsidP="0016671B">
      <w:pPr>
        <w:spacing w:line="360" w:lineRule="auto"/>
        <w:jc w:val="both"/>
        <w:rPr>
          <w:rFonts w:ascii="Arial" w:eastAsiaTheme="minorHAnsi" w:hAnsi="Arial" w:cs="Arial"/>
          <w:color w:val="2A2A2A"/>
          <w:szCs w:val="24"/>
          <w:shd w:val="clear" w:color="auto" w:fill="FFFFFF"/>
          <w:lang w:eastAsia="en-US"/>
        </w:rPr>
      </w:pPr>
      <w:r w:rsidRPr="0016671B">
        <w:rPr>
          <w:rFonts w:ascii="Arial" w:eastAsiaTheme="minorHAnsi" w:hAnsi="Arial" w:cs="Arial"/>
          <w:color w:val="2A2A2A"/>
          <w:szCs w:val="24"/>
          <w:shd w:val="clear" w:color="auto" w:fill="FFFFFF"/>
          <w:lang w:eastAsia="en-US"/>
        </w:rPr>
        <w:t xml:space="preserve">Iepriekšminētā cenas diferencēšanas koeficienta </w:t>
      </w:r>
      <w:proofErr w:type="spellStart"/>
      <w:r w:rsidRPr="0016671B">
        <w:rPr>
          <w:rFonts w:ascii="Arial" w:eastAsiaTheme="minorHAnsi" w:hAnsi="Arial" w:cs="Arial"/>
          <w:color w:val="2A2A2A"/>
          <w:szCs w:val="24"/>
          <w:shd w:val="clear" w:color="auto" w:fill="FFFFFF"/>
          <w:lang w:eastAsia="en-US"/>
        </w:rPr>
        <w:t>pārkompensācijas</w:t>
      </w:r>
      <w:proofErr w:type="spellEnd"/>
      <w:r w:rsidRPr="0016671B">
        <w:rPr>
          <w:rFonts w:ascii="Arial" w:eastAsiaTheme="minorHAnsi" w:hAnsi="Arial" w:cs="Arial"/>
          <w:color w:val="2A2A2A"/>
          <w:szCs w:val="24"/>
          <w:shd w:val="clear" w:color="auto" w:fill="FFFFFF"/>
          <w:lang w:eastAsia="en-US"/>
        </w:rPr>
        <w:t xml:space="preserve"> novēršanai piemērošana var novest AS “RĪGAS SILTUMS” pie nesamērīgiem finansiāliem zaudējumiem un to kompensācijai būs iespējams nepieciešams ievērojami paaugstināt siltumenerģijas pārdošanas tarifu rīdziniekiem.</w:t>
      </w:r>
    </w:p>
    <w:p w14:paraId="3FCD5A5D" w14:textId="77777777" w:rsidR="00C83C84" w:rsidRDefault="00C83C84" w:rsidP="00AD6A2B">
      <w:pPr>
        <w:rPr>
          <w:rFonts w:ascii="Arial" w:hAnsi="Arial" w:cs="Arial"/>
        </w:rPr>
      </w:pPr>
    </w:p>
    <w:p w14:paraId="44106A9E" w14:textId="77777777" w:rsidR="00C83C84" w:rsidRDefault="00C83C84" w:rsidP="00AD6A2B">
      <w:pPr>
        <w:rPr>
          <w:rFonts w:ascii="Arial" w:hAnsi="Arial" w:cs="Arial"/>
        </w:rPr>
      </w:pPr>
    </w:p>
    <w:p w14:paraId="44D6F827" w14:textId="77777777" w:rsidR="00C83C84" w:rsidRDefault="00C83C84" w:rsidP="00AD6A2B">
      <w:pPr>
        <w:rPr>
          <w:rFonts w:ascii="Arial" w:hAnsi="Arial" w:cs="Arial"/>
        </w:rPr>
      </w:pPr>
    </w:p>
    <w:p w14:paraId="05FAD852" w14:textId="77777777" w:rsidR="00C83C84" w:rsidRDefault="00C83C84" w:rsidP="00AD6A2B">
      <w:pPr>
        <w:rPr>
          <w:rFonts w:ascii="Arial" w:hAnsi="Arial" w:cs="Arial"/>
        </w:rPr>
      </w:pPr>
    </w:p>
    <w:p w14:paraId="034987B4" w14:textId="77777777" w:rsidR="00C83C84" w:rsidRDefault="00C83C84" w:rsidP="00AD6A2B">
      <w:pPr>
        <w:rPr>
          <w:rFonts w:ascii="Arial" w:hAnsi="Arial" w:cs="Arial"/>
        </w:rPr>
      </w:pPr>
    </w:p>
    <w:p w14:paraId="36E7A390" w14:textId="77777777" w:rsidR="00C83C84" w:rsidRDefault="00C83C84" w:rsidP="00AD6A2B">
      <w:pPr>
        <w:rPr>
          <w:rFonts w:ascii="Arial" w:hAnsi="Arial" w:cs="Arial"/>
        </w:rPr>
      </w:pPr>
    </w:p>
    <w:p w14:paraId="6F7A945E" w14:textId="77777777" w:rsidR="00C83C84" w:rsidRDefault="00C83C84" w:rsidP="00AD6A2B">
      <w:pPr>
        <w:rPr>
          <w:rFonts w:ascii="Arial" w:hAnsi="Arial" w:cs="Arial"/>
        </w:rPr>
      </w:pPr>
    </w:p>
    <w:p w14:paraId="4C9ACED0" w14:textId="77777777" w:rsidR="00C83C84" w:rsidRDefault="00C83C84" w:rsidP="00AD6A2B">
      <w:pPr>
        <w:rPr>
          <w:rFonts w:ascii="Arial" w:hAnsi="Arial" w:cs="Arial"/>
        </w:rPr>
      </w:pPr>
    </w:p>
    <w:p w14:paraId="69FCD45B" w14:textId="77777777" w:rsidR="00C83C84" w:rsidRDefault="00C83C84" w:rsidP="00AD6A2B">
      <w:pPr>
        <w:rPr>
          <w:rFonts w:ascii="Arial" w:hAnsi="Arial" w:cs="Arial"/>
        </w:rPr>
      </w:pPr>
    </w:p>
    <w:p w14:paraId="236B9C40" w14:textId="77777777" w:rsidR="00C83C84" w:rsidRDefault="00C83C84" w:rsidP="00330E92">
      <w:pPr>
        <w:tabs>
          <w:tab w:val="center" w:pos="4678"/>
          <w:tab w:val="left" w:pos="6096"/>
        </w:tabs>
        <w:rPr>
          <w:rFonts w:ascii="Arial" w:hAnsi="Arial" w:cs="Arial"/>
        </w:rPr>
      </w:pPr>
      <w:r>
        <w:rPr>
          <w:rFonts w:ascii="Arial" w:hAnsi="Arial" w:cs="Arial"/>
        </w:rPr>
        <w:t>Valdes loceklis</w:t>
      </w:r>
      <w:r w:rsidR="001A2588">
        <w:rPr>
          <w:rFonts w:ascii="Arial" w:hAnsi="Arial" w:cs="Arial"/>
        </w:rPr>
        <w:tab/>
      </w:r>
      <w:r w:rsidR="001A2588" w:rsidRPr="001A2588">
        <w:rPr>
          <w:rFonts w:ascii="Arial" w:hAnsi="Arial" w:cs="Arial"/>
          <w:sz w:val="20"/>
        </w:rPr>
        <w:t>(paraksts</w:t>
      </w:r>
      <w:r w:rsidR="001A2588">
        <w:rPr>
          <w:rFonts w:ascii="Arial" w:hAnsi="Arial" w:cs="Arial"/>
          <w:sz w:val="20"/>
        </w:rPr>
        <w:t xml:space="preserve"> *</w:t>
      </w:r>
      <w:r w:rsidR="001A2588" w:rsidRPr="001A2588">
        <w:rPr>
          <w:rFonts w:ascii="Arial" w:hAnsi="Arial" w:cs="Arial"/>
          <w:sz w:val="20"/>
        </w:rPr>
        <w:t>)</w:t>
      </w:r>
      <w:r w:rsidR="005730FE">
        <w:rPr>
          <w:rFonts w:ascii="Arial" w:hAnsi="Arial" w:cs="Arial"/>
          <w:sz w:val="20"/>
        </w:rPr>
        <w:tab/>
      </w:r>
      <w:r w:rsidR="005730FE">
        <w:rPr>
          <w:rFonts w:ascii="Arial" w:hAnsi="Arial" w:cs="Arial"/>
        </w:rPr>
        <w:t>R. Elliņš</w:t>
      </w:r>
    </w:p>
    <w:p w14:paraId="7255FA05" w14:textId="77777777" w:rsidR="00C83C84" w:rsidRDefault="00C83C84" w:rsidP="00AD6A2B">
      <w:pPr>
        <w:rPr>
          <w:rFonts w:ascii="Arial" w:hAnsi="Arial" w:cs="Arial"/>
        </w:rPr>
      </w:pPr>
    </w:p>
    <w:p w14:paraId="6765898D" w14:textId="77777777" w:rsidR="005730FE" w:rsidRDefault="005730FE" w:rsidP="00AD6A2B">
      <w:pPr>
        <w:rPr>
          <w:rFonts w:ascii="Arial" w:hAnsi="Arial" w:cs="Arial"/>
        </w:rPr>
      </w:pPr>
    </w:p>
    <w:p w14:paraId="5F0DE5E5" w14:textId="54C6B272" w:rsidR="00C83C84" w:rsidRDefault="005730FE" w:rsidP="001A5D73">
      <w:pPr>
        <w:tabs>
          <w:tab w:val="center" w:pos="4678"/>
          <w:tab w:val="left" w:pos="6096"/>
        </w:tabs>
        <w:rPr>
          <w:rFonts w:ascii="Arial" w:hAnsi="Arial" w:cs="Arial"/>
        </w:rPr>
      </w:pPr>
      <w:r>
        <w:rPr>
          <w:rFonts w:ascii="Arial" w:hAnsi="Arial" w:cs="Arial"/>
        </w:rPr>
        <w:tab/>
      </w:r>
    </w:p>
    <w:p w14:paraId="33396A91" w14:textId="77777777" w:rsidR="00C83C84" w:rsidRDefault="00C83C84" w:rsidP="00AD6A2B">
      <w:pPr>
        <w:rPr>
          <w:rFonts w:ascii="Arial" w:hAnsi="Arial" w:cs="Arial"/>
        </w:rPr>
      </w:pPr>
    </w:p>
    <w:p w14:paraId="3CBA177D" w14:textId="77777777" w:rsidR="00C83C84" w:rsidRDefault="00C83C84" w:rsidP="00AD6A2B">
      <w:pPr>
        <w:rPr>
          <w:rFonts w:ascii="Arial" w:hAnsi="Arial" w:cs="Arial"/>
        </w:rPr>
      </w:pPr>
    </w:p>
    <w:p w14:paraId="4A23F5F2" w14:textId="77777777" w:rsidR="00C83C84" w:rsidRDefault="00C83C84" w:rsidP="00AD6A2B">
      <w:pPr>
        <w:rPr>
          <w:rFonts w:ascii="Arial" w:hAnsi="Arial" w:cs="Arial"/>
        </w:rPr>
      </w:pPr>
    </w:p>
    <w:p w14:paraId="609F0F17" w14:textId="77777777" w:rsidR="00C83C84" w:rsidRPr="000D28BC" w:rsidRDefault="00C83C84" w:rsidP="00AD6A2B">
      <w:pPr>
        <w:rPr>
          <w:rFonts w:ascii="Arial" w:hAnsi="Arial" w:cs="Arial"/>
          <w:i/>
          <w:sz w:val="20"/>
        </w:rPr>
      </w:pPr>
    </w:p>
    <w:p w14:paraId="5BFABC42" w14:textId="62421462" w:rsidR="00C83C84" w:rsidRPr="00002A7F" w:rsidRDefault="00C83C84" w:rsidP="00AD6A2B">
      <w:pPr>
        <w:rPr>
          <w:rFonts w:ascii="Arial" w:hAnsi="Arial" w:cs="Arial"/>
          <w:iCs/>
          <w:szCs w:val="24"/>
        </w:rPr>
      </w:pPr>
      <w:r w:rsidRPr="00002A7F">
        <w:rPr>
          <w:rFonts w:ascii="Arial" w:hAnsi="Arial" w:cs="Arial"/>
          <w:iCs/>
          <w:szCs w:val="24"/>
        </w:rPr>
        <w:t>S. Pļiskačevs</w:t>
      </w:r>
      <w:r w:rsidR="00CF6D04">
        <w:rPr>
          <w:rFonts w:ascii="Arial" w:hAnsi="Arial" w:cs="Arial"/>
          <w:iCs/>
          <w:szCs w:val="24"/>
        </w:rPr>
        <w:t xml:space="preserve">  </w:t>
      </w:r>
      <w:r w:rsidRPr="00002A7F">
        <w:rPr>
          <w:rFonts w:ascii="Arial" w:hAnsi="Arial" w:cs="Arial"/>
          <w:iCs/>
          <w:szCs w:val="24"/>
        </w:rPr>
        <w:t>67017380</w:t>
      </w:r>
    </w:p>
    <w:p w14:paraId="3D1522FE" w14:textId="77777777" w:rsidR="00516A89" w:rsidRPr="00330E92" w:rsidRDefault="00516A89" w:rsidP="00AD6A2B">
      <w:pPr>
        <w:rPr>
          <w:rFonts w:ascii="Arial" w:hAnsi="Arial" w:cs="Arial"/>
          <w:i/>
          <w:szCs w:val="24"/>
        </w:rPr>
      </w:pPr>
    </w:p>
    <w:p w14:paraId="6EEC3D24" w14:textId="77777777" w:rsidR="00792BDE" w:rsidRPr="00330E92" w:rsidRDefault="00792BDE" w:rsidP="00AD6A2B">
      <w:pPr>
        <w:rPr>
          <w:rFonts w:ascii="Arial" w:hAnsi="Arial" w:cs="Arial"/>
          <w:i/>
          <w:szCs w:val="24"/>
        </w:rPr>
      </w:pPr>
    </w:p>
    <w:p w14:paraId="77F28A3B" w14:textId="77777777" w:rsidR="00792BDE" w:rsidRPr="00330E92" w:rsidRDefault="00792BDE" w:rsidP="00AD6A2B">
      <w:pPr>
        <w:rPr>
          <w:rFonts w:ascii="Arial" w:hAnsi="Arial" w:cs="Arial"/>
          <w:i/>
          <w:szCs w:val="24"/>
        </w:rPr>
      </w:pPr>
    </w:p>
    <w:p w14:paraId="2EADF8E3" w14:textId="078B5480" w:rsidR="001A2588" w:rsidRPr="00DF1A24" w:rsidRDefault="00516A89" w:rsidP="00AD6A2B">
      <w:pPr>
        <w:rPr>
          <w:rFonts w:ascii="Arial" w:hAnsi="Arial" w:cs="Arial"/>
          <w:b/>
          <w:bCs/>
          <w:szCs w:val="24"/>
        </w:rPr>
      </w:pPr>
      <w:r w:rsidRPr="00DF1A24">
        <w:rPr>
          <w:rFonts w:ascii="Arial" w:hAnsi="Arial" w:cs="Arial"/>
          <w:b/>
          <w:bCs/>
          <w:szCs w:val="24"/>
        </w:rPr>
        <w:t xml:space="preserve">* </w:t>
      </w:r>
      <w:r w:rsidR="00DF1A24" w:rsidRPr="00DF1A24">
        <w:rPr>
          <w:rFonts w:ascii="Arial" w:hAnsi="Arial" w:cs="Arial"/>
          <w:b/>
          <w:bCs/>
          <w:szCs w:val="24"/>
        </w:rPr>
        <w:t>Dokuments parakstīts ar drošu elektronisko parakstu un satur laika zīmogu</w:t>
      </w:r>
      <w:r w:rsidR="00495FBC">
        <w:rPr>
          <w:rFonts w:ascii="Arial" w:hAnsi="Arial" w:cs="Arial"/>
          <w:b/>
          <w:bCs/>
          <w:szCs w:val="24"/>
        </w:rPr>
        <w:t>.</w:t>
      </w:r>
    </w:p>
    <w:sectPr w:rsidR="001A2588" w:rsidRPr="00DF1A24" w:rsidSect="00330E92">
      <w:headerReference w:type="default" r:id="rId6"/>
      <w:headerReference w:type="first" r:id="rId7"/>
      <w:pgSz w:w="11906" w:h="16838"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6CF19" w14:textId="77777777" w:rsidR="003B003E" w:rsidRDefault="003B003E" w:rsidP="006C4940">
      <w:r>
        <w:separator/>
      </w:r>
    </w:p>
  </w:endnote>
  <w:endnote w:type="continuationSeparator" w:id="0">
    <w:p w14:paraId="49FF0539" w14:textId="77777777" w:rsidR="003B003E" w:rsidRDefault="003B003E" w:rsidP="006C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D4620E" w14:textId="77777777" w:rsidR="003B003E" w:rsidRDefault="003B003E" w:rsidP="006C4940">
      <w:r>
        <w:separator/>
      </w:r>
    </w:p>
  </w:footnote>
  <w:footnote w:type="continuationSeparator" w:id="0">
    <w:p w14:paraId="78BABB51" w14:textId="77777777" w:rsidR="003B003E" w:rsidRDefault="003B003E" w:rsidP="006C4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1EA4F" w14:textId="77777777" w:rsidR="006C4940" w:rsidRDefault="006C4940" w:rsidP="006C494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15C9D" w14:textId="77777777" w:rsidR="00050238" w:rsidRDefault="00050238" w:rsidP="00050238">
    <w:pPr>
      <w:pStyle w:val="Header"/>
      <w:jc w:val="center"/>
    </w:pPr>
    <w:r>
      <w:rPr>
        <w:noProof/>
      </w:rPr>
      <w:drawing>
        <wp:inline distT="0" distB="0" distL="0" distR="0" wp14:anchorId="16876701" wp14:editId="63873F4B">
          <wp:extent cx="3160800" cy="1479600"/>
          <wp:effectExtent l="0" t="0" r="1905" b="635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S_header.png"/>
                  <pic:cNvPicPr/>
                </pic:nvPicPr>
                <pic:blipFill>
                  <a:blip r:embed="rId1">
                    <a:extLst>
                      <a:ext uri="{28A0092B-C50C-407E-A947-70E740481C1C}">
                        <a14:useLocalDpi xmlns:a14="http://schemas.microsoft.com/office/drawing/2010/main" val="0"/>
                      </a:ext>
                    </a:extLst>
                  </a:blip>
                  <a:stretch>
                    <a:fillRect/>
                  </a:stretch>
                </pic:blipFill>
                <pic:spPr>
                  <a:xfrm>
                    <a:off x="0" y="0"/>
                    <a:ext cx="3160800" cy="14796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CEE"/>
    <w:rsid w:val="00002A7F"/>
    <w:rsid w:val="00050238"/>
    <w:rsid w:val="000D28BC"/>
    <w:rsid w:val="0016671B"/>
    <w:rsid w:val="001A2588"/>
    <w:rsid w:val="001A5D73"/>
    <w:rsid w:val="00225A55"/>
    <w:rsid w:val="002F5E08"/>
    <w:rsid w:val="00330E92"/>
    <w:rsid w:val="003B003E"/>
    <w:rsid w:val="003C1C13"/>
    <w:rsid w:val="004736FC"/>
    <w:rsid w:val="00495FBC"/>
    <w:rsid w:val="00516A89"/>
    <w:rsid w:val="005730FE"/>
    <w:rsid w:val="005A5F1D"/>
    <w:rsid w:val="005B2C27"/>
    <w:rsid w:val="005E0971"/>
    <w:rsid w:val="005E3063"/>
    <w:rsid w:val="006426C7"/>
    <w:rsid w:val="006A3BF2"/>
    <w:rsid w:val="006C4940"/>
    <w:rsid w:val="00716A36"/>
    <w:rsid w:val="00750CEE"/>
    <w:rsid w:val="00792BDE"/>
    <w:rsid w:val="008F4147"/>
    <w:rsid w:val="00914E2C"/>
    <w:rsid w:val="00942D58"/>
    <w:rsid w:val="009E2EEF"/>
    <w:rsid w:val="00A10493"/>
    <w:rsid w:val="00AD6A2B"/>
    <w:rsid w:val="00B65443"/>
    <w:rsid w:val="00C83C84"/>
    <w:rsid w:val="00C9138F"/>
    <w:rsid w:val="00CA717D"/>
    <w:rsid w:val="00CF6D04"/>
    <w:rsid w:val="00D31913"/>
    <w:rsid w:val="00DF1A24"/>
    <w:rsid w:val="00E11539"/>
    <w:rsid w:val="00E804DE"/>
    <w:rsid w:val="00ED46D0"/>
    <w:rsid w:val="00F06293"/>
    <w:rsid w:val="00F63204"/>
    <w:rsid w:val="00F70F7C"/>
    <w:rsid w:val="00FB14AE"/>
    <w:rsid w:val="00FE1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AB8C7"/>
  <w15:chartTrackingRefBased/>
  <w15:docId w15:val="{0517EE4B-B23C-4D91-81A9-811DE8D97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imHelvetica" w:hAnsi="RimHelvetica"/>
      <w:sz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940"/>
    <w:pPr>
      <w:tabs>
        <w:tab w:val="center" w:pos="4680"/>
        <w:tab w:val="right" w:pos="9360"/>
      </w:tabs>
    </w:pPr>
  </w:style>
  <w:style w:type="character" w:customStyle="1" w:styleId="HeaderChar">
    <w:name w:val="Header Char"/>
    <w:basedOn w:val="DefaultParagraphFont"/>
    <w:link w:val="Header"/>
    <w:uiPriority w:val="99"/>
    <w:rsid w:val="006C4940"/>
    <w:rPr>
      <w:rFonts w:ascii="RimHelvetica" w:hAnsi="RimHelvetica"/>
      <w:sz w:val="24"/>
      <w:lang w:val="lv-LV" w:eastAsia="lv-LV"/>
    </w:rPr>
  </w:style>
  <w:style w:type="paragraph" w:styleId="Footer">
    <w:name w:val="footer"/>
    <w:basedOn w:val="Normal"/>
    <w:link w:val="FooterChar"/>
    <w:uiPriority w:val="99"/>
    <w:unhideWhenUsed/>
    <w:rsid w:val="006C4940"/>
    <w:pPr>
      <w:tabs>
        <w:tab w:val="center" w:pos="4680"/>
        <w:tab w:val="right" w:pos="9360"/>
      </w:tabs>
    </w:pPr>
  </w:style>
  <w:style w:type="character" w:customStyle="1" w:styleId="FooterChar">
    <w:name w:val="Footer Char"/>
    <w:basedOn w:val="DefaultParagraphFont"/>
    <w:link w:val="Footer"/>
    <w:uiPriority w:val="99"/>
    <w:rsid w:val="006C4940"/>
    <w:rPr>
      <w:rFonts w:ascii="RimHelvetica" w:hAnsi="RimHelvetica"/>
      <w:sz w:val="24"/>
      <w:lang w:val="lv-LV" w:eastAsia="lv-LV"/>
    </w:rPr>
  </w:style>
  <w:style w:type="paragraph" w:styleId="BalloonText">
    <w:name w:val="Balloon Text"/>
    <w:basedOn w:val="Normal"/>
    <w:link w:val="BalloonTextChar"/>
    <w:uiPriority w:val="99"/>
    <w:semiHidden/>
    <w:unhideWhenUsed/>
    <w:rsid w:val="00D319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913"/>
    <w:rPr>
      <w:rFonts w:ascii="Segoe UI" w:hAnsi="Segoe UI" w:cs="Segoe UI"/>
      <w:sz w:val="18"/>
      <w:szCs w:val="18"/>
      <w:lang w:val="lv-LV" w:eastAsia="lv-LV"/>
    </w:rPr>
  </w:style>
  <w:style w:type="character" w:styleId="Hyperlink">
    <w:name w:val="Hyperlink"/>
    <w:basedOn w:val="DefaultParagraphFont"/>
    <w:uiPriority w:val="99"/>
    <w:unhideWhenUsed/>
    <w:rsid w:val="0016671B"/>
    <w:rPr>
      <w:color w:val="0563C1" w:themeColor="hyperlink"/>
      <w:u w:val="single"/>
    </w:rPr>
  </w:style>
  <w:style w:type="paragraph" w:customStyle="1" w:styleId="tvhtml">
    <w:name w:val="tv_html"/>
    <w:basedOn w:val="Normal"/>
    <w:link w:val="tvhtmlChar"/>
    <w:rsid w:val="0016671B"/>
    <w:pPr>
      <w:spacing w:before="100" w:beforeAutospacing="1" w:after="100" w:afterAutospacing="1"/>
    </w:pPr>
    <w:rPr>
      <w:rFonts w:ascii="Times New Roman" w:hAnsi="Times New Roman"/>
      <w:szCs w:val="24"/>
    </w:rPr>
  </w:style>
  <w:style w:type="character" w:customStyle="1" w:styleId="tvhtmlChar">
    <w:name w:val="tv_html Char"/>
    <w:basedOn w:val="DefaultParagraphFont"/>
    <w:link w:val="tvhtml"/>
    <w:rsid w:val="0016671B"/>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1866</Words>
  <Characters>1064</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1</vt:lpstr>
      <vt:lpstr>1</vt:lpstr>
    </vt:vector>
  </TitlesOfParts>
  <Company>Rigas Siltums</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Kanceleja</dc:creator>
  <cp:keywords/>
  <dc:description/>
  <cp:lastModifiedBy>Alvils Strīķeris</cp:lastModifiedBy>
  <cp:revision>2</cp:revision>
  <cp:lastPrinted>2013-09-02T11:47:00Z</cp:lastPrinted>
  <dcterms:created xsi:type="dcterms:W3CDTF">2021-02-03T19:25:00Z</dcterms:created>
  <dcterms:modified xsi:type="dcterms:W3CDTF">2021-02-03T19:25:00Z</dcterms:modified>
</cp:coreProperties>
</file>