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24-TA-613: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pilnveidot valsts un pašvaldību iestāžu darbinieku digitālās prasmes un veicināt uz sabiedrību un uzņēmējiem orientēto digitālo iespēju un platformu izmantošanu, tādējādi paaugstinot informācijas un komunikācijas tehnoloģiju iespēju izmantošanu, un mazinot digitālo plaisu 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līmenī darbs ar iedzīvotājiem un pakalpojumu sniegšana notiek arī pašvaldību kapitālsabiedrībās. Uzskatām, ka arī tās būtu jāiekļauj mērķgrupā.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6. punkta redakciju par pasākuma mērķi, kas nosaka, ka pasākuma ietvaros var plānots pilnveidot tiešās pārvaldes iestāžu, valsts institūciju, kas nav Ministru kabineta padotībā, atvasinātu publiska personu vai to iestāžu, tiesu iestāžu, prokuratūras, kā arī privātpersonu, kurām deleģēts valsts pārvaldes uzdevums, darbinieku digitālās prasmes – minētais uzskaitījums ietver arī valsts un pašvaldību kapitālsabiedrību, kas pilda deleģētos pārvaldes uzdevumus,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veicināt digitālo pašapkalpošanās prasmju attīstību sabiedrībā, pilnveidot valsts un pašvaldību vienoto klientu apkalpošanas centru darbinieku digitālās prasmes un veicināt uz sabiedrību un uzņēmējiem orientēto digitālo iespēju un platformu izmantošanu, tādējādi paaugstinot informācijas un komunikācijas tehnoloģiju iespēju izmantošanu un mazinot digitālo plaisu sabiedrībā.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plānotais kopējais finansējums ir 4 335 338 </w:t>
            </w:r>
            <w:r w:rsidR="00000000" w:rsidRPr="00000000" w:rsidDel="00000000">
              <w:rPr>
                <w:i w:val="1"/>
                <w:rtl w:val="0"/>
              </w:rPr>
              <w:t xml:space="preserve">euro</w:t>
            </w:r>
            <w:r w:rsidR="00000000" w:rsidRPr="00000000" w:rsidDel="00000000">
              <w:rPr>
                <w:rtl w:val="0"/>
              </w:rPr>
              <w:t xml:space="preserve"> (tai skaitā elastības finansējums 684 008 </w:t>
            </w:r>
            <w:r w:rsidR="00000000" w:rsidRPr="00000000" w:rsidDel="00000000">
              <w:rPr>
                <w:i w:val="1"/>
                <w:rtl w:val="0"/>
              </w:rPr>
              <w:t xml:space="preserve">euro</w:t>
            </w:r>
            <w:r w:rsidR="00000000" w:rsidRPr="00000000" w:rsidDel="00000000">
              <w:rPr>
                <w:rtl w:val="0"/>
              </w:rPr>
              <w:t xml:space="preserve">), tai skaitā Eiropas Sociālā fonda Plus finansējums 3 685 037 </w:t>
            </w:r>
            <w:r w:rsidR="00000000" w:rsidRPr="00000000" w:rsidDel="00000000">
              <w:rPr>
                <w:i w:val="1"/>
                <w:rtl w:val="0"/>
              </w:rPr>
              <w:t xml:space="preserve">euro</w:t>
            </w:r>
            <w:r w:rsidR="00000000" w:rsidRPr="00000000" w:rsidDel="00000000">
              <w:rPr>
                <w:rtl w:val="0"/>
              </w:rPr>
              <w:t xml:space="preserve"> (tai skaitā elastības finansējums 581 407 </w:t>
            </w:r>
            <w:r w:rsidR="00000000" w:rsidRPr="00000000" w:rsidDel="00000000">
              <w:rPr>
                <w:i w:val="1"/>
                <w:rtl w:val="0"/>
              </w:rPr>
              <w:t xml:space="preserve">euro</w:t>
            </w:r>
            <w:r w:rsidR="00000000" w:rsidRPr="00000000" w:rsidDel="00000000">
              <w:rPr>
                <w:rtl w:val="0"/>
              </w:rPr>
              <w:t xml:space="preserve">) un nacionālais finansējums (valsts budžeta finansējums, pašvaldību budžeta finansējums) – 650 301 </w:t>
            </w:r>
            <w:r w:rsidR="00000000" w:rsidRPr="00000000" w:rsidDel="00000000">
              <w:rPr>
                <w:i w:val="1"/>
                <w:rtl w:val="0"/>
              </w:rPr>
              <w:t xml:space="preserve">euro</w:t>
            </w:r>
            <w:r w:rsidR="00000000" w:rsidRPr="00000000" w:rsidDel="00000000">
              <w:rPr>
                <w:rtl w:val="0"/>
              </w:rPr>
              <w:t xml:space="preserve"> (tai skaitā elastības finansējums 102 601 </w:t>
            </w:r>
            <w:r w:rsidR="00000000" w:rsidRPr="00000000" w:rsidDel="00000000">
              <w:rPr>
                <w:i w:val="1"/>
                <w:rtl w:val="0"/>
              </w:rPr>
              <w:t xml:space="preserve">euro</w:t>
            </w:r>
            <w:r w:rsidR="00000000" w:rsidRPr="00000000" w:rsidDel="00000000">
              <w:rPr>
                <w:rtl w:val="0"/>
              </w:rPr>
              <w:t xml:space="preserve">). Maksimālais Eiropas Sociālā fonda Plus finansējuma apmērs nepārsniedz 85 procentus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9.punktā šobrīd tiek norādīts, ka paredzēts arī pašvaldību budžetu līdzfinansējums, lūdzam precizēt nacionālā līdzfinansējuma sadalījumu pa finansējuma avotiem, norādot paredzēto valsts budžeta līdzfinansējuma apmēru un pašvaldību budžeta līdzfinansējuma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pašvaldību gatavību iesaistīties projekta īstenošanā kā sadarbības partneriem ir plānots apzināt, uzsākot projekta īstenošanu, tas ir, pēc tam, kad būs pabeigta Latvijas Atveseļošanas un noturības mehānisma plāna 2.3.2.1.i. “Digitālās prasmes iedzīvotājiem t.sk. jauniešiem” investīcijas projekta “Sabiedrības digitālo prasmju attīstība” (turpmāk – ANM projekts) īstenošana, MK noteikumu projektā nav iespējams norādīt konkrētu projekta īstenošanai plānoto pašvaldības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3.sadaļā “Tiesību akta projekta ietekme uz valsts budžetu un pašvaldību budžetiem” ir indikatīvi norādīts pašvaldību budžeta finansējums, ievērojot kopējo finansējuma apmēru, ko plānots novirzīt apmācību aktivitātēm, kā arī ņemot vērā aktivitātes, ko plānots īstenot, iesaistot pašvaldības kā sadarbības partnerus un ko plānots īstenot centralizēti.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plānotais kopējais finansējums ir 4 335 338 </w:t>
            </w:r>
            <w:r w:rsidR="00000000" w:rsidRPr="00000000" w:rsidDel="00000000">
              <w:rPr>
                <w:i w:val="1"/>
                <w:rtl w:val="0"/>
              </w:rPr>
              <w:t xml:space="preserve">euro</w:t>
            </w:r>
            <w:r w:rsidR="00000000" w:rsidRPr="00000000" w:rsidDel="00000000">
              <w:rPr>
                <w:rtl w:val="0"/>
              </w:rPr>
              <w:t xml:space="preserve"> (tai skaitā elastības finansējums 684 008 </w:t>
            </w:r>
            <w:r w:rsidR="00000000" w:rsidRPr="00000000" w:rsidDel="00000000">
              <w:rPr>
                <w:i w:val="1"/>
                <w:rtl w:val="0"/>
              </w:rPr>
              <w:t xml:space="preserve">euro</w:t>
            </w:r>
            <w:r w:rsidR="00000000" w:rsidRPr="00000000" w:rsidDel="00000000">
              <w:rPr>
                <w:rtl w:val="0"/>
              </w:rPr>
              <w:t xml:space="preserve">), tai skaitā Eiropas Sociālā fonda Plus finansējums 3 685 037 </w:t>
            </w:r>
            <w:r w:rsidR="00000000" w:rsidRPr="00000000" w:rsidDel="00000000">
              <w:rPr>
                <w:i w:val="1"/>
                <w:rtl w:val="0"/>
              </w:rPr>
              <w:t xml:space="preserve">euro</w:t>
            </w:r>
            <w:r w:rsidR="00000000" w:rsidRPr="00000000" w:rsidDel="00000000">
              <w:rPr>
                <w:rtl w:val="0"/>
              </w:rPr>
              <w:t xml:space="preserve"> (tai skaitā elastības finansējums 581 407 </w:t>
            </w:r>
            <w:r w:rsidR="00000000" w:rsidRPr="00000000" w:rsidDel="00000000">
              <w:rPr>
                <w:i w:val="1"/>
                <w:rtl w:val="0"/>
              </w:rPr>
              <w:t xml:space="preserve">euro</w:t>
            </w:r>
            <w:r w:rsidR="00000000" w:rsidRPr="00000000" w:rsidDel="00000000">
              <w:rPr>
                <w:rtl w:val="0"/>
              </w:rPr>
              <w:t xml:space="preserve">) un nacionālais finansējums (valsts budžeta finansējums, pašvaldību budžeta finansējums) – 650 301 </w:t>
            </w:r>
            <w:r w:rsidR="00000000" w:rsidRPr="00000000" w:rsidDel="00000000">
              <w:rPr>
                <w:i w:val="1"/>
                <w:rtl w:val="0"/>
              </w:rPr>
              <w:t xml:space="preserve">euro</w:t>
            </w:r>
            <w:r w:rsidR="00000000" w:rsidRPr="00000000" w:rsidDel="00000000">
              <w:rPr>
                <w:rtl w:val="0"/>
              </w:rPr>
              <w:t xml:space="preserve"> (tai skaitā elastības finansējums 102 601 </w:t>
            </w:r>
            <w:r w:rsidR="00000000" w:rsidRPr="00000000" w:rsidDel="00000000">
              <w:rPr>
                <w:i w:val="1"/>
                <w:rtl w:val="0"/>
              </w:rPr>
              <w:t xml:space="preserve">euro</w:t>
            </w:r>
            <w:r w:rsidR="00000000" w:rsidRPr="00000000" w:rsidDel="00000000">
              <w:rPr>
                <w:rtl w:val="0"/>
              </w:rPr>
              <w:t xml:space="preserve">). Maksimālais Eiropas Sociālā fonda Plus finansējuma apmērs nepārsniedz 85 procentus no projekta kopējā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iesniegumā pasākuma īstenošanai kopējo pasākuma pieejamo finansējumu plāno ne vairāk kā 3 651 330 </w:t>
            </w:r>
            <w:r w:rsidR="00000000" w:rsidRPr="00000000" w:rsidDel="00000000">
              <w:rPr>
                <w:i w:val="1"/>
                <w:rtl w:val="0"/>
              </w:rPr>
              <w:t xml:space="preserve">euro</w:t>
            </w:r>
            <w:r w:rsidR="00000000" w:rsidRPr="00000000" w:rsidDel="00000000">
              <w:rPr>
                <w:rtl w:val="0"/>
              </w:rPr>
              <w:t xml:space="preserve">, tai skaitā Eiropas Sociālā fonda Plus finansējumu 3 103 630 </w:t>
            </w:r>
            <w:r w:rsidR="00000000" w:rsidRPr="00000000" w:rsidDel="00000000">
              <w:rPr>
                <w:i w:val="1"/>
                <w:rtl w:val="0"/>
              </w:rPr>
              <w:t xml:space="preserve">euro </w:t>
            </w:r>
            <w:r w:rsidR="00000000" w:rsidRPr="00000000" w:rsidDel="00000000">
              <w:rPr>
                <w:rtl w:val="0"/>
              </w:rPr>
              <w:t xml:space="preserve">un nacionālo finansējumu (valsts budžeta finansējumu, pašvaldību budžeta finansējumu) – 547 700</w:t>
            </w:r>
            <w:r w:rsidR="00000000" w:rsidRPr="00000000" w:rsidDel="00000000">
              <w:rPr>
                <w:i w:val="1"/>
                <w:rtl w:val="0"/>
              </w:rPr>
              <w:t xml:space="preserve"> 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10.punktā šobrīd tiek norādīts, ka paredzēts arī pašvaldību budžetu līdzfinansējums, lūdzam precizēt nacionālā līdzfinansējuma sadalījumu pa finansējuma avotiem, norādot paredzēto valsts budžeta līdzfinansējuma apmēru un pašvaldību budžeta līdzfinansējuma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2.punktā.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iesniegumā pasākuma īstenošanai kopējo pasākuma pieejamo finansējumu plāno ne vairāk kā 3 651 330 </w:t>
            </w:r>
            <w:r w:rsidR="00000000" w:rsidRPr="00000000" w:rsidDel="00000000">
              <w:rPr>
                <w:i w:val="1"/>
                <w:rtl w:val="0"/>
              </w:rPr>
              <w:t xml:space="preserve">euro</w:t>
            </w:r>
            <w:r w:rsidR="00000000" w:rsidRPr="00000000" w:rsidDel="00000000">
              <w:rPr>
                <w:rtl w:val="0"/>
              </w:rPr>
              <w:t xml:space="preserve">, tai skaitā Eiropas Sociālā fonda Plus finansējumu 3 103 630 </w:t>
            </w:r>
            <w:r w:rsidR="00000000" w:rsidRPr="00000000" w:rsidDel="00000000">
              <w:rPr>
                <w:i w:val="1"/>
                <w:rtl w:val="0"/>
              </w:rPr>
              <w:t xml:space="preserve">euro </w:t>
            </w:r>
            <w:r w:rsidR="00000000" w:rsidRPr="00000000" w:rsidDel="00000000">
              <w:rPr>
                <w:rtl w:val="0"/>
              </w:rPr>
              <w:t xml:space="preserve">un nacionālo finansējumu (valsts budžeta finansējumu, pašvaldību budžeta finansējumu) – 547 700</w:t>
            </w:r>
            <w:r w:rsidR="00000000" w:rsidRPr="00000000" w:rsidDel="00000000">
              <w:rPr>
                <w:i w:val="1"/>
                <w:rtl w:val="0"/>
              </w:rPr>
              <w:t xml:space="preserve"> 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Atbalstāmo darbību un izmaksu attiecināmības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praksē un, lai ievērotu ANO Konvencijā par personu ar invaliditāti tiesībām noteikto vienlīdzīgu iespēju un nediskrimināciijas principu, aicinām paredzēt attiecināmās izmaksas HP specifisko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izmaksas horizontālā principa “Vienlīdzība, iekļaušana, nediskriminācija un pamattiesību ievērošana” darbību īstenošanai, tai skaitā ekspertu konsultāciju, pandusu un pacēlāju nomas, indukcijas cilpu nomas, zīmju valodas tulka, Braila raksta drukas, reāllaika transkripcijas, subtitru nodrošināšanas pakalpojumu izmaksas,  kā arī  publicitātes un komunikācijas materiālu sagatavošana un izplatīšana piekļūstamos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noteikuma projekta 20. punkta redakciju, kas papildināta ar 20.11.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Atbalstāmo darbību un izmaksu attiecināmības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mācību vajadzību apzināšana un izvērtēšana;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prasību nodrošināt plānoto mācību vajadzību izvērtēšanu, t.sk., iespējamo demarkāciju, Ekonomikas ministrijas Apvienotajā komisijā, kas nodrošina integrētu pieeju cilvēkkapitāla attīstības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VARAM norāda, ka mācības nav saistītas ar privāto sektoru, norādām, ka pēc būtības Ekonomikas ministrijas izveidotā komisija lemj par visa darba tirgus mācību vajadzībām, t.sk., attiecībā uz tiem darbiniekiem, kas šobrīd ir nodarbināti valsts vai pašvaldību iestādēs. Līdz ar to šāda pieeja ir svarīga integrētai un jēgpilnai investīciju vadībai Latvijas cilvēkkapitāla attīstībai.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nodrošinās plānoto mācību vajadzību izvērtēšanu ar Cilvēkkapitāta attīstības padomes lēmumu Ekonomikas ministrijas vadībā izveidotajā Apvienotās pieaugušo izglītības koordinācijas komisijā, kuras mērķis ir nodrošināt integrētu pieeju cilvēkkapitāla attīstības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mācību vajadzību apzināšana un izvērtēšana;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ārvalstu komandējumu izmaksas finansējuma saņēmēja projekta vadītājam un īstenošanas personālam un projekta vadības un īstenošanas personāla iekšzemes komandējumu un darba braucienu izmaksas atbilstoši normatīvajiem aktiem par kārtību, kādā atlīdzināmi ar komandējumu saistītie izdevumi, ja tās ir pamatotas un saistītas ar projekta īstenošanu. Iekšzemes komandējumu izmaksas tiek segtas atbilstoši Finanšu ministrijas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ārvalstu komandējumu nepieciešamību projekta īstenošanas kontekstā, kur saskaņā ar anotāciju ir paredzētas lokālās mācības.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svītrot MK noteikumu projekta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ārvalstu komandējumu nepieciešamību, MK noteikumu projekta apakšpunkts tiek saglabāts. Ārvalstu komandējumu iekļaušana projekta attiecināmajās izmaksās var sniegt vērtīgu ieguldījumu projekta kvalitatīvai ieviešanai turpmāk minēto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ārvalstu komandējumi dod iespēju gūt tiešu pieredzi no valstīm, kur digitālo prasmju attīstība ir augstā līmenī. Iegūtās zināšanas un pieredze var tikt pielāgotas un ieviestas Latvijā; 2) apmeklējot ārvalstu kompānijas un institūcijas, ir iespējams izveidot sadarbības tīklu, kas var nodrošināt piekļuvi jaunākajām tehnoloģijām, inovācijām un resursiem, kuri Latvijā var vēl nebūt;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dažas digitālās prasmes un tehnoloģijas var būt pieejamas tikai ārvalstīs, piemēram, specifiskas mācību programmas, kuras nav pieejamas vietējā līmenī. Komandējumi var būt vienīgais veids, kā iegūt šīs zināšanas un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starptautiskās konferences un semināri bieži vien ir vieta, kur tiek prezentēti jaunākie pētījumi un attīstības tendences. Dalība šajos pasākumos ļauj projekta dalībniekiem būt informētiem par jaunākajiem atklājumiem un integrēt tos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jaunu ideju ieviešana un partnerību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iegūstot starptautisko pieredzi, projekta dalībnieki paaugstina savas konkurētspējas līmeni globālā mērogā, kas ir svarīgi gan individuālajā, gan institucionālajā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ārvalstu komandējumu izmaksas finansējuma saņēmēja projekta vadītājam un īstenošanas personālam un projekta vadības un īstenošanas personāla iekšzemes komandējumu un darba braucienu izmaksas atbilstoši normatīvajiem aktiem par kārtību, kādā atlīdzināmi ar komandējumu saistītie izdevumi, ja tās ir pamatotas un saistītas ar projekta īstenošanu. Iekšzemes komandējumu izmaksas tiek segtas atbilstoši Finanšu ministrijas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20.5.5. ēdināšanas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piedāvātās pozīcijas atbilstību mērķa sasniegšanai un ekonomiskai lietderībai.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svītrot MK noteikumu projekta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ēdināšanas izmaksu nepieciešamību un atbilstību mērķa sasniegšanai un ekonomiskai lietderībai, MK noteikumu projekta apakšpunkts tiek saglabāts. Vienlaikus jānorāda, ka pēc iespējas tiks organizētās arī tiešsaistes apmācības/pasākumi, izvērtējot piemērotāko un lietderīgāko konkrētā pasākuma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ēdināšanas izmaksu attiecināšana ES fondu apmācību projektos ir ierasta prakse, nodrošinot projekta efektivitāti, dalībnieku labklājību un projekta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nodrošinot ēdināšanu, tiek veicināta dalībnieku labklājība, nodrošināta koncentrēšanās spēja  un produktivitāte, kas ir būtiski, lai nodrošinātu veiksmīgu apmācību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ēdināšanu projekta norises vietā, tiek ietaupīts laiks, ko dalībnieki citādi tērētu, meklējot ēdināšanas vietas ārpusē. Tas ļauj maksimāli izmantot apmācību laiku un samazina pārtraukumus;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kopīgas ēdienreizes veicina socializēšanos un savstarpējās sadarbības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20.6.5. ēdināšanas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20.5.6. informācijas un komunikācijas tehnoloģiju iespēju izmantošanas veicināšanas komunikācijas kampaņu organizēšanas un īstenošanas izmaksas šo noteikumu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plānoto izmaksu ekonomisko pamatotību un nepieciešamību pasākuma mērķa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svītrot MK noteikumu projekta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programmā 2021.-2027.gadam noteiktajam pasākuma ietvaros ir plānots atbalsts sabiedrības digitālo iespēju izmantošanas veicināšanai, paaugstinot IKT iespēju izmantošanu iedzīvotājiem, atbalstot e-prasmju komunikācijas un mācību pasākumus, veicinot atvērto datu, atvērto digitālo risinājumu un platformu plašāku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Eiropas Parlamenta un Padomes lēmumā (ES) 2022/2481 (2022. gada 14. decembris), ar ko izveido politikas programmu "Digitālās desmitgades ceļš" 2030. gadam (turpmāk – Dekādes programma), ir noteikti līdz 2030. gadam sasniedzamie vispārīgie digitālie mērķi un digitālie mērķrādītāji, to sasniegšanas uzraudzība un arī daudzvalstu projektu veidošana. Dekādes programmā noteikto digitālo mērķrādītāju sasniegšanas uzraudzība paredz Eiropas Savienības dalībvalstīm iesniegt Eiropas Komisijai valstu digitālās desmitgades stratēģiskos ceļvežus par laiku līdz 2030. gadam, rosinot, ja tas iespējams un izmērāms valstu līmenī, valstu prognozētās trajektorijas, kurās apraksta pieņemtos, plānotos vai īstenotos instrumentus, lai dotu ieguldījumu Dekādes programmā izklāstīto vispārīgo mērķu un digitālo mērķrādītāju sasniegšanā Eiropas Savienības līmenī. Lai nodrošinātu minētā uzdevuma izpildi, 2024. gada 30. janvārī MK tika pieņemts informatīvais ziņojums "Digitālās desmitgades stratēģiskais ceļvedis Latvijai līdz 2030. gadam" (protokols Nr.5/25§), kurā iekļauta informācija par Latvijas apņemšanos sasniegt Eiropas Komisijas izvirzīto mērķi līdz 2030. gadam – nodrošināt, ka visi galvenie publiskie pakalpojumi iedzīvotājiem un uzņēmējiem ir pieejami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augstāk minētos Dekādes programmā noteiktos mērķus, ir jāturpina īstenot mērķtiecīgi pasākumi digitālo risinājumu izmantošanas veicināšanai, līdz ar to 4.2.4.3. pasākuma "Digitālo prasmju pilnveide" (turpmāk – 4.2.4.3. pasākums) ietvaros ir plānoti ieguldījumi gan mācību, gan komunikācijas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IKT straujo attīstību paplašinās arī digitāli pieejamo valsts un pašvaldību pakalpojumu klāsts, tādēļ īpaši būtiskas kļūst sabiedrības prasmes digitālo risinājumu izmantošanā, it īpaši tas ir kļuvis aktuāli pašreiz. LV ir augsts līmenis izveidoto e-pakalpojumu pieejamībā, bet vienlaikus ir jāisteno pasākumi šo risinājumu izmantošanas veicināšanai, lai nodrošinātu digitālajos risinājumos ieguldīto līdzekļu lielāku atdevi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izaicinājumu risināšanai ir nepieciešama kompleksa pieeja un, ņemot vērā, ka identificētie šķēršļi patstāvīgai e-pakalpojumu un risinājumu izmantošanai ietver gan nepietiekamas prasmes, gan lietošanas ieradumus, ir būtiski paaugstināt dažādu sabiedrības grupu digitālās prasmes un informētības līmeni par digitālo risinājumu priekšrocībām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ES fondu 2014-2020 plānošanas perioda pieredze liecina, ka centralizēti īstenotie komunikācijas pasākumi ir veicinājuši izveidoto valsts digitālo risinājumu izmantošanas līmeņa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4.2.4.3. pasākuma ietvaros VARAM plāno īstenot centralizētas aktivitātes divos virzienos: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1)Valsts un pašvaldības darbinieku (digitālo mentoru) apmācības, nodrošinot attīstītu kvalitatīvu un visaptverošu digitālo mentoru tīklu, kas atbalsta un iedrošina dažādas sabiedrības grupas valsts pārvaldes digitālo risinājumu lietošanā un valsts e-pakalpojumu pieteikšanā un saņemšanā, kā arī caur digitālo prasmju pilnveidi uzlabo vietējo kopienu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parāda, ka digitālie mentori ir būtisks kanāls sabiedrības informēšanai paradumu maiņai un izglītošanai, kā arī iedrošināšanai digitālo risinājumu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Apmācītie digitālie mentori - apmācīti valsts un pašvaldību iestāžu darbinieki, t.sk. skolotāji, bibliotekāri, vēstniecību un pārstāvniecību ārvalstīs darbinieki u.c., savu pienākumu ietvaros tālāk konsultē, iedrošina un sniedz atbalstu ikvienam sabiedrības pārstāvim e-pakalpojumu un dažādu digitālo rīku (personas apliecība (eID karte), e-paraksts, e-adrese) lietošanā, lai ikviens, neatkarīgi no digitālajām prasmēm, spētu saņemt sev nepieciešamos pakalpojumus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ir plaši izvērsts publisko bibliotēku tīkls, bibliotekāri sniedz būtisku ieguldījumu digitālo iespēju izmantošanā reģionos un atbalstu digitālo pamatprasmju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informēšana un komunikācijas aktivitātes par valsts rādītajiem digitālajiem risinājumiem, t.sk digitālajiem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pētījuma “Integrēts Publisko pakalpojumu sniegšanas un gala lietotāju vajadzību monitorings” ietvaros veiktās Latvijas iedzīvotāju aptaujas rezultāti, turpina pieaugt iedzīvotāju vēlme pieteikt pakalpojumus elektroniski. Līdz ar to ir būtiski nodrošināt informāciju par valsts radītajiem digitālajiem risinājumiem, jo attālināta pakalpojumu pieteikšana un saņemšana ne tikai potenciāli uzlabo sabiedrības dzīves kvalitāti, nodrošina vienlīdzīgas iespējas un mazina digitālo plaisu, bet arī samazina administratīvo un finansiālo slogu valsts pārvaldei, tai skaitā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arvien vairāk iedzīvotāju Latvijā izvēlas saziņu ar valsts un pašvaldību iestādēm drošā elektroniskā veidā un e-adreses lietotāju skaits jau pārsniedz 200 000 fizisko personu, kas ļauj iestādēm būtiski ietaupīt finanšu resursus, samazinot papīra dokumentu plūsmu un ietaupot pakalpojumu sniedzošo iestāžu darbinieku laiku – pusstundu uz vienu pakalpojumu. Līdz ar to ir jāturpina īstenot mērķtiecīgas komunikācijas aktivitātes par valsts izveidotajiem un plānotajiem digitālajiem risinājumiem, lai nodrošinātu vēl aktīvāku šo risinājumu izmantošanu gan fiziskām, gan juridiskām personām, kas savukārt nodrošinātu gan papildu finanšu ietaupījumu valsts iestādēm, gan arī sociālekonomisko ieguvumu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20.6.6. izmaksas, kas saistītas ar komunikācijas kampaņu organizēšanu un īstenošanu informācijas un komunikācijas tehnoloģiju iespēju izmantošanas veicināšanai un šo noteikumu </w:t>
            </w:r>
            <w:r w:rsidR="00000000" w:rsidRPr="00000000" w:rsidDel="00000000">
              <w:rPr>
                <w:rtl w:val="0"/>
              </w:rPr>
              <w:t xml:space="preserve">17.6.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25.punktu ar nosacījumu, ka finansējuma saņēmējs uzkrāj, uzskaita un iesniedz sadarbības iestādē apkopotus datus par atbalstu saņēmušajām šo noteikumu 8.1. apakšpunktā minētajām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uzkrāj, uzskaita un iesniedz sadarbības iestādē apkopotus datus par atbalstu saņēmušajām šo noteikumu 8.1. apakšpunktā minētajām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MK noteikumu projekta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vārdu “pieejamība” aizstāt ar vārdu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skaidro,  ka "piekļūstamība" kā termins pakāpeniski ieviests Tiesību aktos pēc VARAM iniciatīvas, lai būtu korekta un saskaņota terminoloģija. 2022. gada LZA TK sēdē Aldis Lauzis arī atzīmē, ka "pieejamība" un "piekļūstamība" ir šķiramas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gadā tika nolemts, ka "piekļūstamība" ir "accessibility"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 accessibility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 301549:2017, prot. Nr. 490 (27.01.2017)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LZA TK ITTEA protokoli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http://www.akadterm.lv/term.php?term=accessibility&amp;lang=EN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gadā lemts, ka "pieejamība" ir "availability"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 availability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ISO/IEC 17788:2014 3.1.1, prot. Nr. 477 (06.05.2016)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LZA TK ITTEA protokoli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http://www.akadterm.lv/term.php?term=availability&amp;lang=EN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nepieciešamību veikt izmaksu un ieguvumu analīzi, un resursu taupības nolūkos lūdzam to veikt anotācijas ietvaros balstoties uz MK noteikumu projekta 8.punktā plānotajiem sasniedzamajiem rādītājiem un konsultējoties ar CFLA speciālistiem par analīzes veikšanas praktisko pusi. Ja saskaņošanas procesā zaudētais laiks vairs neļauj veikt izmaksu un ieguvumu analīzi anotācijas ietvaros, aicinām to paredzēt MK noteikumu projektā, lai to varētu veikt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ka “noteikumu projekta ietvaros īstenotā projekta joma ir digitālo prasmju pilnveide (izglītība), kur plānotais projekta ieguvums nav aprēķināms - projekta ietvaros netiek radītas taustāmas materiālās vērtības, ko būtu iespējams kvantificēt, izmērīt, novērtēt vai uzskaitīt izmaksu un ieguvumu analīzes ietvaros, nosakot to nākotnes vērtību”, neatbilst realitātei. Ir veikti pietiekami daudz pētījumi, kuru ietvaros ir noteikta šādu pasākumu ietekme uz sabiedrību un kas izteikta naudas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aprēķinātu sociālekonomiskos ieguvumus no pasākuma, kura mērķis ir uzlabot valsts un pašvaldību iestāžu darbinieku digitālās prasmes, jāņem vērā dažādi faktori, kas ietekmē gan sabiedrību, gan ekonomiku. Šeit ir trīs piemēri, kas parāda, kā šie ieguvumi var tikt aprēķināti: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produktivitātes palielināšanās, kur kā pieņēmumus var izmantot produktivitātes pieaugumu pēc mācībām, vidējo gada algu un darba laiku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izmaksu ietaupījumi no samazinātām kļūdām un efektīvākas procedūru izpildes, kur kā pieņēmumus var izmantot kļūdu samazināšanos un efektivitātes uzlabošanos pēc mācībām un izmaksas kļūdu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labklājības uzlabošana un digitālās plaisas mazināšana, kur kā pieņēmumus var izmantot par digitālo prasmju uzlabošanos, laika ietaupījumus u.c. pieņēmumus, ko var izteikt naudas izteiksmē, ņemot vērā izmaksas vai atalgojumu, ko var iztērēt vai saņemt par ietaupīto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avotus, piemēram, var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komisijas pētījumus par digitālo prasmju ietekmi uz sabiedrības labklājību un ekonomisko izaugsmi Eiropā, kas liecina, ka digitālo prasmju uzlabošana var radīt ievērojamus ekonomiskos ieguvumus (European Commission, Digital Economy and Society Index (DESI) 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pētījumus par digitālās plaisas mazināšanas sociālekonomiskajiem ieguvumiem (WEF Global Information Technology Report 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pētījumus par digitālo prasmju apmācību ietekmi uz kļūdu samazināšanu un efektivitātes uzlabošanu, kas liecina, ka uzņēmumi, kas iegulda darbinieku digitālajās prasmēs, var samazināt kļūdu skaitu par 15-30%. (McKinsey Global Institute, 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pētījumus par digitālo risinājumu ieviešanu un to ekonomisko ietekmi. (PwC Digital IQ Survey 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OECD pētījumus par digitālo prasmju ietekmi uz produktivitāti liecina, ka digitālo prasmju uzlabošana var palielināt darba produktivitāti par 10-20% (OECD Skills Outlook 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Statistikas datus par vidējām algām Latvijā un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anotāciju, t.sk. ar informāciju par 4.2.4.3.pasākuma lietderīguma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4.2.4.3.pasākuma ietvaros ir plānots apmācīt valsts un pašvaldību darbiniekus par valsts izveidotajiem digitālajiem risinājumiem, lai darbinieki paši efektīvāk izmantotu šos risinājumus, gan arī sniegtu atbalstu iedzīvotājiem to izmantošanā, tādējādi veicinot Digitālās desmitgades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ietvaros nav plānots tiešs atbalsts vispārējo digitālo prasmju pilnveidei, līdz ar to uz to nav attiecināmi Finanšu ministrijas iebildumā norādītie piemēri, kā arī iebildumā norādītie avoti neietver datus, kas minēti iebilduma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4.2.4.3. pasākuma īstenošana veicinās valsts radīto digitālo risinājumu izmantošanu un tādējādi arī veicinās minēto risinājumu plānoto ieguvumu sasniegšanu, t.sk., piemēram, AF plāna reformu un investīciju virziena "Valsts pārvaldes, tai skaitā pašvaldību, digitālā transformācija" projektu ietvaros ir aprēķināti ieguvumi, kas atspoguļoti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"Projekta īstenošanas nosacījumi" ar informāciju par Vides aizsardzības un reģionālās attīstības ministrijas funkciju nodalīšanu kā atbildīgajai iestādei un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aprakstu par izmaksu un ieguvumu analīzes nepieciešamību, skaidrojot projekta ieguldījumus arī no lietderīguma aspekta. Lūdzam skaidrot gan kvantitatīvi, gan kvalitatīvi. Šobrīd plānots, ka vidēji uz vienu apmācīto personu tiks tērēti 2,3 tūkst euro (nedaudz mazāk nekā izmaksas par vienu mācību gadu augstskolā), bet būtu jāsaprot, ko ietver plānotie ieguldījumi un kāds ir plānotais ieguvums sabiedrībai no vismaz 1867 izglītotākām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4.2.4.3. pasākuma ietvaros netiek plānotas izmaksas vidēji uz vienu apmācīto personu, bet MK noteikumu projektā tiek noteikts minimālais mācībās piedalījušos valsts un pašvaldību darbinieku skaits atbilstoši Eiropas Savienības kohēzijas politikas programmā 2021. – 2027. gadam noteiktajam rādītājam, proti, tiks apmācīti par digitālajiem risinājumiem zinoši pašvaldību iestāžu darbinieki (digitālie mentori), kas savukārt veicinās pārējās sabiedrības digitālo prasmju un zināšanu attīstību un valsts izstrādāto digitālo risinājumu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4.2.4.3. pasākuma mērķa grupa netiešā veidā ir visa Latvijas sabiedrība, līdz ar to nav iespējams veikt kvantitatīvu projekta ieguldījumu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4.2.4.3. pasākuma ietvaros aktivitātes tiks īstenotas  divos virzienos: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un pašvaldību iestāžu darbinieku (digitālo mentoru) apmācības, nodrošinot attīstītu kvalitatīvu un visaptverošu digitālo mentoru tīklu, kas atbalsta un iedrošina dažādas sabiedrības grupas valsts pārvaldes digitālo risinājumu lietošanā un valsts digitālo pakalpojumu pieteikšanā un saņemšanā, kā arī caur digitālo prasmju pilnveidi uzlabo vietējo kopienu dzīves kvalitāti. Atbilstoši 4.2.4.SAM rādītāju metodoloģijas aprakstam vidējās izmaksas aktivitātes veikšanai uz vienu apmācāmo indikatīvi būtu 960 euro bez PVN. Savukārt faktiskais apmācīto skaits būs atkarīgs no pašvaldību vajadzību analīzes un no veikto apmācību iepirkumu rezultātiem, kas var atšķirties atkarībā no satura, kas konkrētāk tiks atspoguļots projekta iesniegumā, tai skaitā, sadarbojoties ar pašvaldībām. Paredzams, ka, ņemot vērā, ka tiks īstenoti arī attālinātu apmācību pasākumi, kopējais apmācīto darbinieku skaits varētu būtiski pārsniegt šobrīd MK noteikumos noteikto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mācībām tiks īstenoti dažādi komunikācijas un personu iesaistes pasākumi, lai informētu iedzīvotājus par digitālo mentoru atbalsta iespējām, kā arī veicinātu digitālo prasmju pilnveidi, piemēram, komunikācija masu medijos, pasākumi (gan nacionāla, gan reģionāla līmeņa). Atbilstoši 4.2.4.SAM rādītāju metodoloģijas aprakstam vidēji indikatīvās izmaksas uz vienu iedzīvotāju plānotas 1,31 euro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skaidrojumu skat. izziņas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9. un 10.punktā šobrīd tiek norādīts, ka paredzēts arī pašvaldību budžetu līdzfinansējums, lūdzam anotācijas 3.sadaļas 6.punktā precizēt nacionālā līdzfinansējuma sadalījumu pa finansējuma avotiem, norādot paredzēto valsts budžeta līdzfinansējuma apmēru un pašvaldību budžeta līdzfinansējuma apmēru, jo šobrīd anotācijas 3.sadaļas 6.punktā tiek norādīts, ka paredzēts tikai valsts budžeta līdzfinansējums, vienlaicīgi precizējot anotācijas 3.sadaļā norādīto informāciju 2.1.,  2.3., 3.1., 3.3., 5.1., 5.3. apakšpunktos norādīto kopējo pasākuma finansējuma sadalījumu pa gadiem un finansējuma avotiem, izdalot gan valsts budžeta līdzfinansējuma apmēru, gan pašvaldību budžeta līdzfinansējuma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lūdzam papildināt anotāciju ar skaidrojumu, kā tiks piesaistīts projektam pašvaldību līdzfinansējums, ja finansējuma saņēmējs būs VARAM, un vai tas būs kā sadarbības partneru finansējums, vai tas nāks no visām pašvaldībām utt., jo patreiz nav skaidrs pašvaldību līdzfinansējuma piesaistes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pašvaldību gatavību kā sadarbības partneriem iesaistīties projekta īstenošanā ir plānots apzināt, uzsākot projekta īstenošanu, tas ir, pēc tam, kad būs pabeigta ANM projekta īstenošana, MK noteikumu projektā nav iespējams norādīt konkrētu projektu īstenošanai plānoto pašvaldības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3.sadaļā “Tiesību akta projekta ietekme uz valsts budžetu un pašvaldību budžetiem” ir indikatīvi norādīts pašvaldību budžeta finansējums, ievērojot kopējo finansējuma apmēru, ko plānots novirzīt apmācību aktivitātēm, kā arī ņemot vērā aktivitātes, ko plānots īstenot, iesaistot pašvaldības kā sadarbības partnerus, un aktivitātes ko plānots īstenot centralizēti.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plānots, ka iedzīvotāju apmācību ietvaros VARAM kā finansējuma saņēmējs centralizēti veiks monitoringu, lai nomērītu sabiedrības digitālās pašapkalpošanās prasmes un sekotu līdzi paradumu maiņai izmantot primāros publiskos un privātos pakalpojumus digitālā veidā, iedzīvotāju apmācību materiālu izstrādi. Pašvaldību iesaiste projekta īstenošanā ir plānota, tās piesaistot kā sadarbības partnerus un noslēdzot ar tām sadarbības līgumu, tajā nosakot darbības (iedzīvotāju apmācību īstenošana), ko īstenos pašvaldība, kā arī līdzfinansējuma daļu, kas attiecīgi būtu jāsedz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izvērtējot ANM projekta īstenošanas pieredzi un apzinot pašvaldību vajadzības, tiks secināts, ka efektīvāk ir īstenot centralizētu iepirkumu, var tikt pieņemts lēmums, ka VARAM kā finansējuma saņēmējs centralizēti veic iedzīvotāju apmācību nodrošināšanas iepirkumu, pašvaldības iesaistot satura izstrādē, mācību vajadzību apzināšanā, komunikācijā ar pašvaldību iedzīvotājiem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 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ierosināti grozījumi Eiropas Savienības kohēzijas politikas programmā 2021.-2027.gadam par noteikumu projekta 8.1.apakšpunktā minēto uzraudzības rādītāju, lūdzam papildināt protokollēmuma projektu ar rīcību gadījumā, ja netiek saņemts Eiropas Komisijas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anotāciju papildināt ar informāciju par pieteikto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informēt Ministru kabinetu par priekšlikumiem rīcībai gadījumā, ja netiek saņemts pozitīvs Eiropas Komisijas lēmums par grozījumiem Eiropas Savienības kohēzijas politikas programmā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protokollēmuma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programmas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8.1. apakšpunktā noteikto rādītāju nosaukumus atbilstoši Eiropas Savienības kohēzijas politikas programmā 2021.—2027. gadam noteiktajiem.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13 600 iedzīvotāji, kuriem ir padziļinātas digitālās pašapkalpošanās prasmes, tai skaitā par šo noteikumu 10. punktā minēto finansējumu – vismaz 11 454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400 nodarbinātas personas, tostarp pašnodarbinātas personas (personu skaits), tai skaitā par šo noteikumu 10. punktā minēto finansējumu – vismaz 337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precizējusi rādītāja “iedzīvotāji, kuriem ir padziļinātas digitālās pašapkalpošanās prasmes”, norādot tā formulējumu atbilstoši Eiropas Savienības kohēzijas politikas programmā 2021.—2027. gadam (turpmāk – Programma)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rādītāja “nodarbinātas personas” nosaukums netiek precizēts atbilstoši Programmā norādītajai redakcijai, ņemot vērā, ka 4.2.4.3.pasākuma ietvaros nav plānots apmācīt pašnodarbinātas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norādīts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13 600 iedzīvotāji, kuriem ir padziļinātas digitālās pašapkalpošanās prasmes, tai skaitā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finansējumu – vismaz 11 454 iedzīvotāji;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programmas iznākuma rādītājs – 1 867 nodarbinātas personas (personu skaits) – tai skaitā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finansējumu – vismaz 1 572 nodarbinātas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 Eiropas Komisijas saņemto komentāru par grozījumu projektu Eiropas Savienības kohēzijas politikas programmā 2021.-2027.gadam (turpmāk - Programma) ar lūgumu nesvītrot no Programmas rādītāju starpposma vērtības, lūdzam papildināt noteikumu projektu ar sasniedzamo iznākuma rādītāja starpposma vērtību līdz 2024.gada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4.2.4.3 pasākums tiks īstenots, ievērojot demarkāciju ar AF 2.3.2.1.i. investīciju "Digitālās prasmes iedzīvotājiem, tostarp jauniešiem", projektu "Sabiedrības digitālo prasmju attīstība" (līgums par projekta īstenošanu noslēgts 2023. gada 22. decembrī), kas paredz pasākumus digitālo prasmju attīstībai (AF nosacījumi paredz aktivitāšu īstenošanu līdz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demarkāciju ar minēto AF investīciju, kas tiek īstenota līdz 2026.gadam, 4.2.4.3.pasākuma ietvaros mācību aktivitātes tiks uzsāktas 2026. gadā, kad tiks pabeigtas AF pasākumu ietvaros īstenotās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ievērojot pasākuma ieviešanas laika grafiku, tai skaitā projektā paredzēto aktivitāšu īstenošanas laika grafiku,  starpposma vērtība līdz 2024. gada 31. decembrim nevar rasties, un attiecīgi noteikumu projekts netiek papildināts ar sasniedzamo iznākuma rādītāja starpposma vērtību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Eiropas Komisijas saņemto komentāru par grozījumu projektu Eiropas Savienības kohēzijas politikas programmā 2021.-2027.gadam (turpmāk - Programma) ar lūgumu nesvītrot no Programmas rādītāju starpposma vērtības, VARAM veica atbilstošus precizējumus un nesvītroja no Programmas rādītāju starpposma vērtības, par ko VARAM gaidāmajā vidusposma pārskatā skaidros 4.2.4.3.pasākuma starpvērtības sasniegšanas kavēšanos, kas saistīta ar demarkācijas nodrošināšanu ar AF 2.3.2.1.i,.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8.2. punktu, atbilstoši Finanšu ministrijas vadlīnijās Nr. 1.4. “Vadlīnijas Ministru kabineta noteikumu par specifiskā atbalsta mērķa īstenošanu izstrādei Eiropas Savienības fondu 2021.—2027. gada plānošanas periodā” norādītajam, ka nacionālos rādītājus piemēro tikai tad, kad Eiropas Savienības kohēzijas politikas programmā 2021.—2027. gadam nav noteikti iznākuma un/vai rezultāta rādītāji, tādējādi mazinot noteiktās prasības un administratīvo slogu finansējuma saņēmējam, kas nav noteiktas kā obligātās prasības Eiropas Savienības un Latvijas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noteikumu projekta 25.5.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400 nodarbinātas personas (personu skaits), tai skaitā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finansējumu – vismaz 337 nodarbinātas personas;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nacionālie rezultāta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8.2.apakšpunktā svītrot vārdu "rezultāta".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400 nodarbinātas personas (personu skaits), tai skaitā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finansējumu – vismaz 337 nodarbinātas personas;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īstenotas vismaz piecas integrētās komunikāciju kampaņas – tai skaitā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finansējumu – vismaz četras kampaņas.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minēto nacionālo rādītāju vai detalizēti pamatot tā jēgpilnu sasaisti ar projekta mērķa grupas vajadzībām un programmas ietvaros īstenojamo mācību darbību sasaisti ar šādiem pasākumiem.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4. un 30.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Pasākumam pieejamais kopējais finansējums ir 3 651 330 </w:t>
            </w:r>
            <w:r w:rsidR="00000000" w:rsidRPr="00000000" w:rsidDel="00000000">
              <w:rPr>
                <w:i w:val="1"/>
                <w:rtl w:val="0"/>
              </w:rPr>
              <w:t xml:space="preserve">euro</w:t>
            </w:r>
            <w:r w:rsidR="00000000" w:rsidRPr="00000000" w:rsidDel="00000000">
              <w:rPr>
                <w:rtl w:val="0"/>
              </w:rPr>
              <w:t xml:space="preserve">, tai skaitā Eiropas Sociālā fonda Plus finansējums 3 103 630 </w:t>
            </w:r>
            <w:r w:rsidR="00000000" w:rsidRPr="00000000" w:rsidDel="00000000">
              <w:rPr>
                <w:i w:val="1"/>
                <w:rtl w:val="0"/>
              </w:rPr>
              <w:t xml:space="preserve">euro</w:t>
            </w:r>
            <w:r w:rsidR="00000000" w:rsidRPr="00000000" w:rsidDel="00000000">
              <w:rPr>
                <w:rtl w:val="0"/>
              </w:rPr>
              <w:t xml:space="preserve"> un valsts budžeta līdzfinansējums 547 700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viennozīmīgu interpretāciju, lūdzam precizēt noteikumu projekta 10.punktu un to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Projektu iesniegumos pasākuma īstenošanai kopējo pasākuma pieejamo finansējumu plāno ne vairāk kā 3 651 330 </w:t>
            </w:r>
            <w:r w:rsidR="00000000" w:rsidRPr="00000000" w:rsidDel="00000000">
              <w:rPr>
                <w:i w:val="1"/>
                <w:rtl w:val="0"/>
              </w:rPr>
              <w:t xml:space="preserve">euro</w:t>
            </w:r>
            <w:r w:rsidR="00000000" w:rsidRPr="00000000" w:rsidDel="00000000">
              <w:rPr>
                <w:rtl w:val="0"/>
              </w:rPr>
              <w:t xml:space="preserve">, tai skaitā Eiropas Sociālā fonda Plus finansējumu 3 103 630 </w:t>
            </w:r>
            <w:r w:rsidR="00000000" w:rsidRPr="00000000" w:rsidDel="00000000">
              <w:rPr>
                <w:i w:val="1"/>
                <w:rtl w:val="0"/>
              </w:rPr>
              <w:t xml:space="preserve">euro</w:t>
            </w:r>
            <w:r w:rsidR="00000000" w:rsidRPr="00000000" w:rsidDel="00000000">
              <w:rPr>
                <w:rtl w:val="0"/>
              </w:rPr>
              <w:t xml:space="preserve"> un valsts budžeta līdzfinansējumu 547 700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iesniegumā pasākuma īstenošanai kopējo pasākuma pieejamo finansējumu plāno ne vairāk kā 3 651 330 </w:t>
            </w:r>
            <w:r w:rsidR="00000000" w:rsidRPr="00000000" w:rsidDel="00000000">
              <w:rPr>
                <w:i w:val="1"/>
                <w:rtl w:val="0"/>
              </w:rPr>
              <w:t xml:space="preserve">euro</w:t>
            </w:r>
            <w:r w:rsidR="00000000" w:rsidRPr="00000000" w:rsidDel="00000000">
              <w:rPr>
                <w:rtl w:val="0"/>
              </w:rPr>
              <w:t xml:space="preserve">, tai skaitā Eiropas Sociālā fonda Plus finansējumu 3 103 630 </w:t>
            </w:r>
            <w:r w:rsidR="00000000" w:rsidRPr="00000000" w:rsidDel="00000000">
              <w:rPr>
                <w:i w:val="1"/>
                <w:rtl w:val="0"/>
              </w:rPr>
              <w:t xml:space="preserve">euro </w:t>
            </w:r>
            <w:r w:rsidR="00000000" w:rsidRPr="00000000" w:rsidDel="00000000">
              <w:rPr>
                <w:rtl w:val="0"/>
              </w:rPr>
              <w:t xml:space="preserve">un nacionālo finansējumu (valsts budžeta finansējumu, pašvaldību budžeta finansējumu) – 547 700</w:t>
            </w:r>
            <w:r w:rsidR="00000000" w:rsidRPr="00000000" w:rsidDel="00000000">
              <w:rPr>
                <w:i w:val="1"/>
                <w:rtl w:val="0"/>
              </w:rPr>
              <w:t xml:space="preserve"> 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pasākuma ietvaros ir Vides aizsardzības un reģionālās attīstības ministrija kā par digitālo transformāciju atbildīgā nozares ministrija. Ja sadarbības iestāde apstiprina projekta iesniegumu un noslēdz vienošanos par projekta īstenošanu, projekta iesniedzējs ir arī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 panta 3. punktu persona, kuras projekta iesniegums ir apstiprināts, ir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izteikt noteikumu projekta 12. punkta otro teikumu šādā redakcijā: "Ja sadarbības iestāde apstiprina projekta iesniegumu, projekta iesniedzējs ir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sadarbības iestāde apstiprina projekta iesniegumu, projekta iesniedzējs ir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pasākuma ietvaros ir Viedās administrācijas un reģionālās attīstības ministrija kā par digitālo transformāciju atbildīgā nozares ministrija. Ja sadarbības iestāde apstiprina projekta iesniegumu, projekta iesniedzējs ir finansējuma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atbalstāmo darbību īstenošanā projekta iesniedzējs par sadarbības partneri var piesaistīt tiešās vai pastarpinātās pārvaldes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projektā galvenās prasības, kādām ir jāatbilst sadarbības partnerim, ņemot vērā, ka šobrīd noteikumu 13. punktā ietvertā norāde, ka par sadarbības partneri var piesaistīt tiešās vai pastarpinātās pārvaldes iestādi, ir vispārīga. Tostarp lūdzam norādīt finansējuma saņēmēja un sadarbības partnera sadarbības pamatprincipus, pienākumus un tiesības, mērķu un rādītāju savstarpējo sasniegšanas dalījumu (ja attiecināms). Aicinām skaidri norādīt sadarbības partnera veicamās darbības un resursus, ar kādiem tas iesaistās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Detalizētākas sadarbības partnera prasības netiek norādītas, ņemot vērā, ka tiek paredzēts, ka par partneri var piesaistīt jebkuru tiešās vai pastarpinātās pārvaldes iestādi pēc nepieciešamības, ņemot vēra projekta mērķi, kas paredz izglītot valsts un pašvaldību iestāžu darbiniekus, kā arī komunicēt par  iestāžu izveidotajiem digitālajiem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projektā nav iespējams skaidri nodalīt, kādas darbības un izmaksas būs attiecināmas uz finansējuma saņēmēju, un kādas uz sadarbības partneri. Ja projekta īstenošanā tiks piesaistīts sadarbības partneris, tad finansējuma saņēmēja un sadarbības partnera sadarbības pamatprincipi, pienākumi un tiesības, mērķu un rādītāju savstarpējais sasniegšanas dalījums tiks noteikts sadarbības līgumā starp finansējuma saņēmēju un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atbalstāmo darbību īstenošanā projekta iesniedzējs par sadarbības partneriem var piesaistīt tiešās vai pastarpinātās pārvaldes iestādes, atvasinātas publiskas personas un citas valsts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projekta iesniedzējs projekta īstenošanā piesaista vienu vai vairākus sadarbības partnerus, projekta iesniegumā pamato projekta ietvaros plānotās partnerības nepieciešamību. Finansējuma saņēmējs un sadarbības partneris (ja attiecināms) slēdz sadarbības līgumu saskaņā ar normatīvo aktu,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14. punktā iekļauta atruna "ja attiecināms", lūdzam papildināt anotāciju ar atbilstošu informāciju, kādos gadījumos var netikt slēgts sadarbības līgums, vai arī svītrot noteikumu projekta 14. punktā minēto atrunu.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projekta iesniedzējs projekta īstenošanā piesaista vienu vai vairākus sadarbības partnerus, projekta iesniegumā pamato projekta ietvaros plānotās partnerības nepieciešamību. Finansējuma saņēmējs un sadarbības partneris slēdz sadarbības līgumu saskaņā ar normatīvo aktu, kas nosaka kārtību, kādā Eiropas Savienības fondu vadībā iesaistītās institūcijas nodrošina šo fondu ieviešanu 2021.–2027. gada plānošanas periodā, tai skaitā projekta sadarbības partneriem, kas veic arī saimniecisko darbību, iekļaujot nosacījumu, ka projekta finansējums nekvalificējas kā komercdarbības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mācību programmu izstrāde un aktualizācija;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kāda veida programmas (formālās / neformālās) plānots izstrādāt un kā plānots izmantot jau šobrīd pieejamo programmu piedāvājumu.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Skaidrojam, ka plānots izstrādāt neformālās izglītības programmu par digitālajiem risinājumiem valstī. Mācību programmas sagatavošana, apzinot mērķa grupas, kas ir valsts un pašvaldību iestādes, aktuālās mācību vajadzības, un īstenošanas uzsākšana tiek plānota secīgi pēc Atveseļošanās un noturības mehānisma projekta noslēguma, novēršot demarkācijas iespējas. Programmas izstrādē, pēc nepieciešamības, tiks iestrādāti un pilnveidoti pieejamie materiāli par digitālajiem risinājumiem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mācību programmu izstrāde un aktualizācija;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monitoringa veikšana;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detalizētu informāciju par monitoringa procesu, datiem un mērķiem.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monitoringu veikšana;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mācību vajadzību apzināšana un izvērtēšana;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apņemas nodrošināt plānoto mācību vajadzību noteikšanu un izvērtēšanu Ekonomikas ministrijas izveidotajā Apvienotajā pieaugušo izglītības koordinācijas komisijā, aicinām iekļaut atsauci uz komisiju, papildinot ar šādu redakciju: “Ekonomikas ministrijas izveidota komisija, kuras sastāvā iekļauj Ekonomikas ministrijas, Labklājības ministrijas, Izglītības un zinātnes ministrijas, Latvijas Darba devēju konfederācijas, Latvijas Brīvo arodbiedrību savienības un citu kompetento institūciju vai biedrību un nodibinājumu pārstāvjus un ekspertus, saskaņā ar cilvēkkapitāla attīstības stratēģiskajiem mērķiem un atbilstoši darba tirgus pieprasījumam un tautsaimniecības nozaru attīstības prognozēm nosaka, izskata, apstiprina un aktualizē mācību piedāvājumu, tādējādi nodrošinot mācību savstarpēju papildinātību starp dažādām mērķa grupām, kā arī veic regulāru pieaugušo izglītības pasākumu īstenošanas rezultātu novērtējumu. Komisijas nolikumu un sastāvu apstiprina ekonomikas ministrs.”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4.2.4.3. pasākuma ietvaros tiks īstenots viens VARAM projekts, kurā  ir plānots specifisks un konkrēti mērķēts atbalsts valsts un pašvaldību darbinieku prasmju pilnveidei par digitālajiem risinājumiem (e-pakalpojumiem) valstī, kāds nav plānots citu ES fondu 2021.-2027. gada plānošanas perioda pasākumu ietvaros, tas ir, 4.2.4.3. pasākumam ir plānots cits ieviešanas mehānisms nekā Izglītības un zinātnes ministrijas un Labklājības ministrijas īstenoto pasākumu ietvaros, kur ir cita mērķauditorija un par kuru ietvaros plānoto saturu ir būtiski diskutēt Ekonomikas ministrijas izveidotajā Apvienotās pieaugušo izglītības koordinācijas komisijā (turpmāk – Komisija), lai nodrošinātu saskaņotu mācību piedāvājumu un darbību nepārklāšanos.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4.2.4.3. pasākuma ieviešanas mehānismu, VARAM ieskatā, atsauces iekļaušana noteikumos, uz Komisiju nav nepieciešama,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2024. gada 17. jūlija nolikuma “Apvienotās pieaugušo izglītības koordinācijas komisijas nolikums” Nr.1-5.2/2024/36 (turpmāk – Komisijas nolikums) 5.punkts reglamentē Komisijas sastāvu, un tajā ir VARAM pārstāvis, kuram ir balsstiesības.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nolikuma 13. punkts noteic, ka ikvienam Komisijas loceklim ir tiesības ierosināt papildu jautājumu izskatīšanu Komisijas sēdē, nosūtot elektronisku pieteikumu ar pamatojumu Komisijas priekšsēdētājam un Komisijas sekretariātam ne vēlāk kā divas darba dienas pirms Komisijas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jau pastāv mehānisms,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vai VARAM var ierosināt papildu jautājumu izskatīšanu Komisijā. Atbilstoši  LDDK ierosinājumam (skat. izziņas 3. un 23. punktu) VARAM (Komisijas  nolikuma 13. punkta kārtībā) plāno pieteikt  izskatīšanai Komisijā jautājumu par 4.2.4.3. pasākuma ietvaros paredzētajām apmācībām, to saturu, mācību vajadzību izvērtēšanu, demarkāciju ar citiem pieaugušo apmācību pasākumiem un ieviešanas laika grafiku, nodrošinot Komisijas nolikuma 3.6. apakšpunktā noteikto (īstenot starpinstitucionālu sadarbību un informācijas apmaiņu pieaugušo izglītības jomā ar atbildīgajām nozaru ministrijām, t.sk., ja attiecināms, nodrošināt informācijas apmaiņu par Komisijas sastāvā ietilpstošo ministriju atbildībā esošiem valsts budžeta un Eiropas Savienības Atveseļošanās fonda, Eiropas Sociālā fonda plus un Taisnīgas pārkārtošanās fonda finansētiem pasākumiem, kuros paredzētas pieaugušo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pārvaldes iekārtas likumā nostiprinātie principi jau paredz, ka valsts pārvaldes iestādēm savā starpā ir jāsadarbojas atbilstoši savai kompetencei, līdz ar to, apsvērums, ka noteikumu projektā netiek ietverta tieša atsauce uz Ekonomikas ministrijas izveidoto komisiju, nenozīmē, ka iestāžu sadarbība atbilstoši kompetencei nevar tikt nodrošināta.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mācību vajadzību apzināšana un izvērtēšana;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mācību vajadzību apzināšana un izvērtēšana;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 saistīta ar darba tirgus dalībnieku prasmju un kompetenču izvērtēšanu, aicinām mācību vajadzību izvērtēšanu, t.sk., iespējamo demarkāciju, nodrošināt Ekonomikas ministrijas Apvienotajā komisijā, kas nodrošina integrētu pieeju cilvēkkapitāla attīstības jautājumiem.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par mācību vajadzību izvērtēšanas nodrošināšanu Ekonomikas ministrijas Apvienotajā komisijā, skaidrojam, ka 4.2.4.3. pasākums nav tieši saistīts ar darba tirgus (privātā sektora) dalībnieku prasmju un kompetenču attīstību, bet ar pasākuma atbalstu tiks paaugstinātas valsts un pašvaldību darbinieku prasmes par digitālajiem risinājumiem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mācību vajadzību apzināšana un izvērtēšana;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kā finansējuma saņēmējs pārbaudīs mērķa grupas dalībnieka (fiziskas personas) atbilstību dalībai projektā (piemēram, IT sistēmā, vai veicot noteiktu dokumentu pārbaudi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mācību piedāvājums tiks attiecināts tikai uz mērķa grupu, kas ir valsts un pašvaldību iestādes, attiecīgi, ikviens mērķa grupas dalībnieks varēs pieteikties tiešsaistes mācībām. Piereģistrējoties apmācībām, dalībniekiem būs jānorāda kontaktinformācija, t.sk. darba vieta, tādējādi nodrošinot atbilstību mērķa grupai un ka tiek sasniegts MK noteikumos noteiktais iznākuma rādītājs, vienlaikus paredzams, ka, ņemot vērā, ka tiks īstenoti arī attālinātu apmācību pasākumi, kopējais apmācīto darbinieku skaits varētu būtiski pārsniegt šobrīd MK noteikumos noteikto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īstenošanas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ietvaros ir attiecināmas šādas projekta tiešās attiecināmās izmaksas, kas ir tieši saistītas ar projekta īstenošanu un nepieciešamas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tiek pieļauta iespēja piesaistīt sadarbības partneri, nepieciešams precizēt, kuras izmaksas būtu attiecināmas uz finansējuma saņēmēju un kuras -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13.punktu.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ietvaros ir attiecināmas šādas projekta tiešās attiecināmās izmaksas, kas ir tieši saistītas ar projekta īstenošanu un nepieciešamas projekta rezultātu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ietvaros ir attiecināmas šādas projekta tiešās attiecināmās izmaksas, kas ir tieši saistītas ar projekta īstenošanu un nepieciešamas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20. punkts nebūtu papildināms ari ar izmaksu pozīciju attiecībā uz komunikācijas un vizuālās identitātes prasību nodrošināšanas pasākumiem par projekta īstenošanu (noteikumu projekta 17.7. apakšpunktā minētā atbalstāmā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20.7.apakšpunkts.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ietvaros ir attiecināmas šādas projekta tiešās attiecināmās izmaksas, kas ir tieši saistītas ar projekta īstenošanu un nepieciešamas projekta rezultātu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jaunradītu projekta vadības un īstenošanas personāla darba vietu aprīkojuma, biroja mēbeļu, tehnikas, datorprogrammu un licenču iegādes vai īres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un īstenošanas personāls ir nodarbināts projektā uz darba līguma pamata. Ja projekta vadības un īstenošanas personāls ir nodarbināts nepilnu darba laiku vai daļlaiku, jaunradītas darba vietas aprīkojuma iegādes vai īres izmaksas ir attiecināmas proporcionāli darba slodzes procentuālajam sadalījumam, bet daļlaika noslodzes gadījumā – ņemot vērā darbinieka iesaistes periodu projektā pret kopējo projekta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20.3.apakšpunktu aiz vārda "aprīkojuma" ar vārdiem  "vai gadījumos, ja esošo darba vietu aprīkojums ir nolietojies un tiek norakstīts'.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attiecīgu precizējumu veikt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jaunradītu projekta vadības un īstenošanas personāla darba vietu aprīkojuma</w:t>
            </w:r>
            <w:r w:rsidR="00000000" w:rsidRPr="00000000" w:rsidDel="00000000">
              <w:rPr>
                <w:b w:val="1"/>
                <w:rtl w:val="0"/>
              </w:rPr>
              <w:t xml:space="preserve"> vai gadījumos, ja esošo darba vietu aprīkojums ir nolietojies un tiek norakstīts,</w:t>
            </w:r>
            <w:r w:rsidR="00000000" w:rsidRPr="00000000" w:rsidDel="00000000">
              <w:rPr>
                <w:rtl w:val="0"/>
              </w:rPr>
              <w:t xml:space="preserve"> biroja mēbeļu, tehnikas, datorprogrammu un licenču iegādes vai īres izmaksas ne vairāk kā 3 000 euro vienai darba vietai visā projekta īstenošanas laikā, ja projekta vadības un īstenošanas personāls ir nodarbināts projektā uz darba līguma pamata. Ja projekta vadības un īstenošanas personāls ir nodarbināts nepilnu darba laiku vai daļlaiku, jaunradītas darba vietas aprīkojuma </w:t>
            </w:r>
            <w:r w:rsidR="00000000" w:rsidRPr="00000000" w:rsidDel="00000000">
              <w:rPr>
                <w:b w:val="1"/>
                <w:rtl w:val="0"/>
              </w:rPr>
              <w:t xml:space="preserve">vai gadījumos, ja esošo darba vietu aprīkojums ir nolietojies un tiek norakstīts</w:t>
            </w:r>
            <w:r w:rsidR="00000000" w:rsidRPr="00000000" w:rsidDel="00000000">
              <w:rPr>
                <w:rtl w:val="0"/>
              </w:rPr>
              <w:t xml:space="preserve">, iegādes vai īres izmaksas ir attiecināmas proporcionāli darba slodzes procentuālajam sadalījumam, bet daļlaika noslodzes gadījumā – ņemot vērā darbinieka iesaistes periodu projektā pret kopējo projekta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projekta vadības un īstenošanas personāla darba vietu aprīkojuma, biroja mēbeļu, tehnikas, datorprogrammu un licenču iegādes vai īres izmaksas ne vairāk kā 3000 </w:t>
            </w:r>
            <w:r w:rsidR="00000000" w:rsidRPr="00000000" w:rsidDel="00000000">
              <w:rPr>
                <w:i w:val="1"/>
                <w:rtl w:val="0"/>
              </w:rPr>
              <w:t xml:space="preserve">euro</w:t>
            </w:r>
            <w:r w:rsidR="00000000" w:rsidRPr="00000000" w:rsidDel="00000000">
              <w:rPr>
                <w:rtl w:val="0"/>
              </w:rPr>
              <w:t xml:space="preserve"> vienai darba vietai (gan jaunradītai, gan esošai, kuras aprīkojums ir nolietojies un tiek norakstīts) visā projekta īstenošanas laikā, ja projekta vadības un īstenošanas personāls ir nodarbināts projektā uz darba līguma pamata. Ja projekta vadības un īstenošanas personāls ir nodarbināts nepilnu darba laiku vai daļlaiku, darba vietas aprīkojuma iegādes vai īres izmaksas (gan jaunradītai, gan esošai darba vietai, kuras aprīkojums ir nolietojies un tiek norakstīts) ir attiecināmas proporcionāli darba slodzes procentuālajam sadalījumam, bet daļlaika noslodzes gadījumā – ņemot vērā darbinieka iesaistes periodu projektā pret kopējo projekta īstenošanas ilgumu;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20.5.1. lektoru, ekspertu, konsultantu, moderatoru atlīdzība (ieskaitot honorārus, ceļošanas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lektoru, ekspertu, konsultantu, moderatoru atlīdzības izmaksas nav uzskatāmas par īstenošanas personāla izmaksām un vai šie eksperti tiks piesaistīti kā ārpakalpojums?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20.5.1. un 20.6. apakšpunktā minētie speciālisti nodrošinās projekta saturisko īstenošanu kā pakalpojumu sniedzēji, kas tiks piesaistīti, ievērojot noteikumu projekta 28. punktā noteikto kārtību, kas paredz, ka finansējuma saņēmējs projekta īstenošanai nepieciešamo preču un pakalpojumu iegādi veic saskaņā ar normatīvajiem aktiem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sadaļu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20.6.1. lektoru, ekspertu, konsultantu, moderatoru atlīdzība (ieskaitot honorārus, ceļošanas izdevumus);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ekspertu pakalpojumi un veiktie izvērtējumi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 </w:t>
            </w:r>
            <w:r w:rsidR="00000000" w:rsidRPr="00000000" w:rsidDel="00000000">
              <w:rPr>
                <w:rtl w:val="0"/>
              </w:rPr>
              <w:t xml:space="preserve">apakšpunktā minēto atbalstāmo darbību plānošanai un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detalizētu skaidrojumu anotācijā par ekspertu pakalpojumu nepieciešamību projekta tiešo darbību īstenošanai un to ekonomisko pamatotību.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Skaidrojam, ka projekta ietvaros ekspertu piesaiste ir būtiska, lai nodrošinātu augsti kvalificētu un specializētu zināšanu un prasmju pieejamību un pilnveidi. Eksperti var tikt piesaistīti, piemēram, mācību programmu izstrādē, mācību aktivitāšu īstenošanā un organizēšanā, monitoringa veikšanā, mācību vajadzību apzināšanā un izvērtēšanā un komunikācijas pasākumu ieviešanā. Detalizēta informācija un ekspertu piesaistes pamatojums tiks sniegts un attiecīgi vērtēts projekta iesniegumā, kontekstā projekta mērķi un sasniedzamajiem rādītājiem. Šādas darbības ir būtiskas, lai efektīvi īstenotu projekta mērķus, sasniedzot pēc iespējas plašāku auditoriju un veicinot digitālo prasmju uzlabošanu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ekspertu piesaiste tiks veikta saskaņā ar normatīvajiem aktiem publisko iepirkumu jomā, nodrošinot atklātu, pārredzamu un konkurenci nodrošinošu procedūru. Šāda pieeja garantē, ka tiks izvēlēti vispiemērotākie pakalpojumu sniedzēji par konkurētspējīgām cenām, tādējādi optimizējot projekta izmaksas un nodrošinot izmaksu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ekspertu pakalpojumi un izvērtējumi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un </w:t>
            </w:r>
            <w:r w:rsidR="00000000" w:rsidRPr="00000000" w:rsidDel="00000000">
              <w:rPr>
                <w:rtl w:val="0"/>
              </w:rPr>
              <w:t xml:space="preserve">17.6.</w:t>
            </w:r>
            <w:r w:rsidR="00000000" w:rsidRPr="00000000" w:rsidDel="00000000">
              <w:rPr>
                <w:rtl w:val="0"/>
              </w:rPr>
              <w:t xml:space="preserve"> apakšpunktā minēto atbalstāmo darbību plānošanai un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nodrošina komunikācijas un vizuālās identitātes prasības saskaņā ar regulas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uz noteikumu projekta 17.7.apakšpunktā minēto atbalstāmo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nodrošina šo noteikumu </w:t>
            </w:r>
            <w:r w:rsidR="00000000" w:rsidRPr="00000000" w:rsidDel="00000000">
              <w:rPr>
                <w:rtl w:val="0"/>
              </w:rPr>
              <w:t xml:space="preserve">17.8. </w:t>
            </w:r>
            <w:r w:rsidR="00000000" w:rsidRPr="00000000" w:rsidDel="00000000">
              <w:rPr>
                <w:rtl w:val="0"/>
              </w:rPr>
              <w:t xml:space="preserve">apakšpunktā</w:t>
            </w:r>
            <w:r w:rsidR="00000000" w:rsidRPr="00000000" w:rsidDel="00000000">
              <w:rPr>
                <w:rtl w:val="0"/>
              </w:rPr>
              <w:t xml:space="preserve"> minētās komunikācijas un vizuālās identitātes prasības saskaņā ar regulas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minētais sadarbības partneris (ja attiecināms) nodrošina interešu konflikta neesību saskaņā ar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Aicinām atbilstoši precizēt atsauci noteikumu projekta 25.4. apakšpunktā. Vēršam uzmanību, ka saskaņā ar Regulas 2024/2509 279. pantu atsauces uz atcelto regulu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un šo noteikumu 13. punktā minētais sadarbības partneris (ja attiecināms) nodrošina interešu konflikta neesību saskaņā ar Eiropas Parlamenta un Padomes 2024. gada 23. septembra Regulas (ES, Euratom) 2024/2509 par finanšu noteikumiem, ko piemēro Savienības vispārējam budžetam (pārstrādāta redakcija),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minētais sadarbības partneris (ja attiecināms)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kā arī paraksta interešu konflikta neesības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minētais sadarbības partneris (ja attiecināms) nodrošina interešu konflikta neesību saskaņā ar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finansējuma saņēmējs izveidos iekšējās kontroles sistēmu korupcijas un interešu konflikta riska novēršanai publiskas personas institūcijā atbilstoši normatīvajam regulējumam par iekšējās kontroles sistēmas pamatprasībām korupcijas un interešu konflikta riska novēršanai publiskas personas institūcijā.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sadaļu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minētais sadarbības partneris (ja attiecināms)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kā arī paraksta interešu konflikta neesības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nodrošina, lai pasākuma ietvaros plānotais atbalsts nepārklātos ar citiem valsts un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26.punktu aiz vārda "nodrošina" ar vārdiem "dubultā finansējuma neiestāšanos,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dubultā finansējuma neiestāšanās nodrošināma ne tikai kontekstā ar darbību finansēšanu no citiem finanšu atbalsta instrumentiem, bet arī konkrētajam projektam piešķirtā finansējuma ietvaros darbības nedrīkst tikt finansētas dubultā.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nodrošina </w:t>
            </w:r>
            <w:r w:rsidR="00000000" w:rsidRPr="00000000" w:rsidDel="00000000">
              <w:rPr>
                <w:b w:val="1"/>
                <w:rtl w:val="0"/>
              </w:rPr>
              <w:t xml:space="preserve">dubultā finansējuma neiestāšanos, tostarp</w:t>
            </w:r>
            <w:r w:rsidR="00000000" w:rsidRPr="00000000" w:rsidDel="00000000">
              <w:rPr>
                <w:rtl w:val="0"/>
              </w:rPr>
              <w:t xml:space="preserve">, lai pasākuma ietvaros plānotais atbalsts nepārklātos ar citiem valsts un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nodrošina dubultā finansējuma neiestāšanos, tostarp nodrošina, lai pasākuma ietvaros plānotais atbalsts nepārklātos ar citiem valsts un ārvalstu finanšu atbalsta instrumentiem.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un sadarbības partneris (ja attiecināms)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kā arī vides piekļūstamības un izmantojamības nodrošināšana – zaļais publiskais iepirkums – un, kur tas ir attiecināms un atbilstošs ieguldījumu specifikai, īstenojams sociāli atbildīgs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28.punktu, aizstājot vārdus "Atbalstāma ir vides prasību integrācija'' ar vārdiem "Finansējuma saņēmējs un sadarbības partneris (ja attiecināms) izvērtē iespēju integrēt prasības", tādējādi samazinot noteiktās prasības un administratīvo slogu finansējuma saņēmējam, kas nav noteiktas kā obligātās prasības Eiropas Savienības un Latvijas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28.punktu.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un sadarbības partneris (ja attiecināms) projekta īstenošanai nepieciešamo preču un pakalpojumu iegādi veic saskaņā ar normatīvajiem aktiem publisko iepirkumu jomā, īstenojot atklātu, pārredzamu, nediskriminējošu un konkurenci nodrošinošu konkursa procedūru. Finansējuma saņēmējs un sadarbības partneris (ja attiecināms) izvērtē iespēju integrēt vides prasības preču un pakalpojumu iepirkumos, kā arī vides piekļūstamības un izmantojamības nodrošināšanu – zaļais publiskais iepirkums – un, kur tas ir attiecināms un atbilstošs ieguldījumu specifikai, īsteno sociāli atbildīgu iepirkumu.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pamatotu, datos balstītu informāciju par investīcijas sasniedzamo rezultātu attiecībā uz sabiedrības ieguvumiem (nevis mācību dalībnieku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šī ietekme tiks mērīta un noteikta, lai izvērtētu projekta ieguldījuma atdevi mērķu sasniegšanā.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apguves rezultātā valsts un pašvaldību darbinieki iegūs zināšanas par dažādiem digitālajiem risinājumiem. Iegūtās zināšanas tiks nodotas tālāk sabiedrībā, veicinot privāto un publisko pakalpojumu lietošanu. Statistika par publisko pakalpojumu, piemēram latvija.lv pakalpojumiem, lietošanu tiks izgūta no Atvērto datu portāla: https://data.gov.lv/dati/lv/dataset/statistika-par-latvija-lv-e-pakalpojumiem.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plašāku skaidrojumu izziņas 4. un 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jauno 4.2.4.3. pasākuma ieviešanas modeli un izmaiņas ieviešanas nosacījumos, aicinām pārskatīt anotācijā sniegto informāciju attiecībā uz izmaksu un ieguvumu analīzi. Šis pasākums ir investīciju projekts ar skaidri definētiem mērķiem un precīzi noteiktu apmācāmo personu skaitu, un tā ieguvumi ir tieši saistīti ar digitālo prasmju paaugstināšanu un to tūlītēju pielietojumu sabiedrībā. Līdz ar to nav korekti to pielīdzināt vispārējās izglītības projektiem, kuru atdeve ir grūti kvantificējama un novērojama tikai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izmaksu un ieguvumu analīzei būtu jāpievēršas digitālo prasmju pieauguma ietekmei uz administratīvo efektivitāti, darba ražīgumu un pakalpojumu pieejamību, nevis tikai apmācīto skaitam kā gala rezultātam. Ieguvumu novērtējums var ietvert iedzīvotāju ietaupīto laiku, samazinātās izmaksas valsts un pašvaldību iestādēm, kā arī paaugstināto e-pakalpojumu lietojumu, kas ir kvantificējami rādītāji ar tiešu fiskālo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izmaksu un ieguvumu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apmācīti tiek 13 600 iedzīvotāji un katrs no viņiem vidēji gadā veic 5 administratīvas darbības, kas pēc apmācībām tiek pārceltas uz digitālo vidi, ietaupot vidēji 0.5 stundas katrā gadījumā, kopējais sabiedrības laika ietaupījums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13 600 × 5 × 0.5 = 34 000 stundas/gadā.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vidējās darba stundas vērtība ir 10 EUR, tad kopējais sabiedrības ietaupījums laika izteiksmē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34 000 × 10 = 340 000 EUR/gadā.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tikai viens no iespējamiem piemēriem, kas ilustrē, kā izmaksu un ieguvumu analīze varētu tikt veidota šajā atbalsta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konsultēties ar Centrālās finanšu un līgumu aģentūras speciālistiem par analīzes veikšanas praktisko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pārskatījusi anotācijā sniegto informāciju attiecībā uz izmaksu un ieguvumu analīzi un skaidro, ka, lai arī ir mainījies 4.2.4.3.pasākuma ieviešanas modelis, tā mērķis un gala ieguvums – veicināt uz sabiedrību un uzņēmējiem orientēto digitālo iespēju un platformu izmantošanu, tādējādi paaugstinot informācijas un komunikācijas tehnoloģiju iespēju izmantošanu un mazinot digitālo plaisu sabiedrībā – tiek saglabāts.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4.2.4.3. pasākuma ietvaros plānoto investīcija lietderība ir izvērtēta, to sasaistot ar izaicinājumiem, kas jārisina, lai sasniegtu Digitālās desmitgades programmā noteiktos mērķus, kas paredz nodrošināt, ka līdz 2030.gadam simtprocentīgi visi galvenie publiskie pakalpojumi iedzīvotājiem un uzņēmējiem ir pieejami tiešsaistē, kā arī sasaistot ar Eiropas Komisijas noteikto mērķi panākt, ka vismaz pamata digitālās prasmes ir 80% Eiropas Savienības iedzīvotāju. Šie mērķi ir īpaši aktuāli, ņemot vērā Digitālās dekādes 2024. gada ziņojumā par Latviju norādīto, ka Latvijas rādītājs vismaz digitālo pamatprasmju ziņā 2023. gadā ir vēl samazinājies, salīdzinot ar 2024. gadu (45,3%, ES vidējais rādītājs – 55,6%).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izaicinājumi un novērtējums  ir būtisks pamatojums 4.2.4.3. pasākuma īstenošanas nepieciešamībai, kā arī ieviešanas modeļa maiņai. Šāda pieeja palīdz efektīvāk sasniegt noteiktos sabiedrības digitālās attīstības mērķus, nodrošinot labākas digitālās prasmes visai sabiedrībai, kas savukārt sekmēs valsts digitālo risinājumu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Finanšu ministrijas aicinājumu pārskatīt anotācijā sniegto informāciju attiecībā uz ieguvumiem, kas parādītu digitālo prasmju pieauguma ietekmi uz administratīvo efektivitāti, darba ražīgumu un pakalpojumu pieejamību, skaidrojam, ka anotācijā minētie piemēri sniedz konkrētu informāciju par ieguvumiem sabiedrībai, ko rada valsts radītie digitālie risinājumi, ja tie tiks ieviesti un pilnvērtīgi izmantoti. Svarīgs priekšnosacījums to efektīvai izmantošanai ir apmācīti iedzīvotāji ar pilnveidotām digitālajām prasmēm, kas sekmēs efektīvāku pakalpojumu izmantošanu un samazinās barjeras piekļuvei digitālajiem risinājumiem. Detalizēts apmācību saturs tiks izstrādāts projekta ietvaros, ņemot vērā sasniedzamos mērķus, apzinātās vajadzības, kā arī tiks ņemta vērā ANM projekta īstenošanas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apzināts un noteikts apmācāmo Valsts un pašvaldības vienotais klientu apkalpošanas centru darbinieku skaits, t.i. 400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kad beidzas aktīvā apmācību fāze Atveseļošanas un noturības mehānisma (turpmāk – ANM) plāna 2.3.2.1.i. “Digitālās prasmes iedzīvotājiem t.sk. jauniešiem” investīcijas ietvaros, un kādi ir to rezultāti, t.i. apmācīto iedzīvotāju skaits, apmācīto mentoru skaits, un vai apmācītie mentori nepārklāsies ar plānotajiem VPKAC apmācāmiem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ņemot vērā izziņas 38.punkta sniegto informāciju, lūdzam papildināt anotāciju ar skaidrojumu, kādi ilgtspējas pasākumi tika iekļauti sadarbības līgumos ar pašvaldībām, un papildināt anotāciju ar izziņā ietverto informāciju par iemesliem, kāpēc pašvaldības, savu funkciju ietvaros, nevar nodrošināt ANM plāna 2.3.2.1.i. “Digitālās prasmes iedzīvotājiem t.sk. jauniešiem” investīcijā noteikto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pie ”Pasākumam pieejamais finansējums” norādīto informāciju, salāgojot to ar noteikumu projekta 9.punktā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anotācijā skaidrojumu, par plānoto sinerģiju ar Eiropas Savienības Atveseļošanas un noturības mehānisma (turpmāk - AF) plāna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skaidrojot, kāpēc nepieciešama vēl 400 Valsts un pašvaldību vienoto klientu apkalpošanas centru (VPVKAC) darbinieku izglītošana, kas  sniedz atbalstu iedzīvotājiem digitālo risinājumu izmantošanā, ja AF 2.3.2.1.i. investīcijas “Digitālās prasmes iedzīvotājiem t.sk. jauniešiem” īstenošanu” Viedās administrācijas un reģionālās attīstības ministrijas (turpmāk - VARAM) projekta ietvaros, jau ir paredzēta VARAM projekta sadarbības partneru – pašvaldību – izvirzīto mācību īstenotāju — mentoru mācības, vienlaikus paredzot pēc projekta noslēguma sadarbības partneriem nodrošināt projekta rezultātu ilgtspēja, tai skaitā nodrošinot digitālo pašapkalpošanās prasmju mācību pasākumus iedzīvotājiem vismaz 3 gadus pēc projekta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sinerģiju 4.2.4.3.pasākuma ietvaros plānoto monitoringa ietvara izveidei un aprobēšanai praksē ar 2.3.2.1.i. investīcijas “Digitālās prasmes iedzīvotājiem t.sk. jauniešiem” īstenošanu” VARAM projekta ietvaros plānoto darbību, kas paredz monitoringa izveidi, lai nomērītu sabiedrības digitālās pašapkalpošanās prasmes un sekotu līdzi paradumu maiņai izmantot primāros publiskos un privātos pakalpojumus digitālā veidā, mācību programmu, materiālus, mācību kursus un moduļus (klātienes un tālmācības) par dažādām digitālo prasmju tēmām (kā izmantot primāri nepieciešamos elektroniskos pakalpojumus, izmantot drošu elektronisko parakstu, valsts pakalpojumu izmantošanu savu pamattiesību īstenošanai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ANM projekta ietvaros tiek apmācīti mentori – pašvaldību izvirzītie mācību programmu  pasniedzēji, kas ANM projekta ietvaros veic iedzīvotāju digitālo prasmju apmācību un mācību programmas pasniegšanu iedzīvotājiem. Pēc ANM projekta aktivitāšu īstenošanas beigām, pašvaldībām ir uzdevums nodrošināt iedzīvotājiem digitālo pašapkalpošanās prasmju mācību aktivitātes. Tomēr jāņem vērā, ka ANM projekta īstenošanas nosacījumi nespecificē kādas tieši ir pašvaldību īstenojamās mācību aktivitātes pēc ANM projekta beigām un, ievērojot konsolidācijas budžeta iespējas arī pašvaldībās, kļūst skaidrs, ka tāda līmeņa mācību aktivitātes, kādas tās ir ietvertas ANM projekta tvērumā, pašvaldības par saviem līdzekļiem nespēs organizēt. Ievērojot minēto, 4.2.4.3. pasākuma ietvaros  ir paredzēts turpināt ANM projektā ietvaros iesākto sadarbību ar pašvaldībām iedzīvotāju digitālās pašapkalpošanās prasmju veicināšanas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4.2.4.3. pasākuma ietvaros ir plānota arī 400 Valsts un pašvaldību vienoto klientu apkalpošanas centru (turpmāk – VPVKAC) darbinieku, kas  ikdienā valsts un pašvaldību vienoto klientu apkalpošanas centros sniedz atbalstu iedzīvotājiem digitālo risinājumu izmantošanā – anotācijā ir sniegts pamatojums minētās darbības nepieciešamībai, skaidrojot VPVKAC lomu e-pakalpojumu izmantošanā. Šīs aktivitātes ietvaros, tiks sistematizēts VPVKAC tīkla darbinieku ikgadējo apmācību mehānisms, kas līdz šim nodrošināts gadu no gada par atsevišķām mācību tēmām, izmantojot VARAM valsts budžeta dotācijas līdzekļus. Aktivitātes ietvaros paredzēts izstrādāt visaptverošu un detalizētu mācību programmu VPVKAC tīkla darbiniekiem par dažādām tēmām, tostarp efektīvu klientu apkalpošanu un ar to saistīto problemātiku, komunikāciju ar klientu, e-pakalpojumu izmantošanu un to praktisko specifiku, lai nodrošinātu tīkla kontaktpunktos pēc iespējas augstākas kvalitātes pakalpojuma sniegšanas iespējas. Papildus, izstrādātie mācību materiāli būs pielāgojami un izmantojami arī pēc projekta īstenošanas beigām, tādējādi nodrošinot projekta rezultātu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ANM projekta ietvaros netiek veikta VPVKAC darbinieku apmācība, projekta ietvaros arī netiek veikts minētās mērķa grupas monitorings, līdz ar to 4.2.4.3. pasākuma ietvaros paredzēts veikt mērķgrupas monitoringu, lai mērītu mācību dalībnieku zināšanu un prasmju izmaiņu dinamiku pirms un pēc dalības mācībās, kas ļaus izdarīt secinājumus par mācību tēmu satura atbilstību VPVKAC tīkla ikdienas darbībai un, nepieciešamības gadījumā, veikt mācību programmās korekcijas, tādējādi sekmējot pēc iespējas augstākas kvalitātes pakalpojuma sniegšanu VPVKAC tīkla klientiem,. Lai nodrošinātu iepriekš minētā izpildi tiks izveidots un aprobēts praksē monitoringa ietvars – veikti atbilstoši precizējumi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iedzīvotājiem kā 4.2.4.3.pasākuma mērķgrupu, VARAM veiks mērķa grupas monitoringu, kura ietvaros tiks nodrošināta  iedzīvotāju pašnovērtējuma zināšanu testa organizēšana, lai novērtētu iedzīvotāju digitālo prasmju līmeni – tiks izmantota ANM projekta ietvaros izveidotā monotoringa forma, nepieciešamības gadījumā to pielāgojot 4.2.4.3.pasākumam.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ANM projekta ietvaros plānots nodrošināt, ka pieaug to iedzīvotāju īpatsvars, kuriem ir padziļinātas digitālās pašapkalpošanās prasmes, lai iedzīvotāji spētu pilnvērtīgi izmantot valsts un pašvaldību nodrošinātos digitālos pakalpojumus. Taču, kā rāda statistikas datu tendences un līdzšinējā pieredze, šādu pasākumu īstenošana jānodrošina nepārtraukti – arī pēc ANM plāna īstenošanas, ņemot vērā digitālo tehnoloģiju dinamiski straujo attīstības tempu, kā arī ņemot vērā Digitālās dekādes 2024. gada ziņojumā par Latviju uzsvērto, ka ir svarīgi turpināt koncentrēties uz vismaz pamata digitālo prasmju uzlabošanu un jāpalielina investīcijas šajā jomā, kā arī jānodrošina, lai neviens netiktu atstāts novārtā.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projekta ietvaros plānotās darbības ir nepietiekamas, tai skaitā, ņemot vērā, ka to īstenošana ir plānota tikai līdz 2026.gada vidum, kā arī, ņemot vērā mūsdienu straujās digitālās pārmaiņas un aktuālās tendences, apmācību materiāli un apmācības ir nepārtraukti jāatjauno, lai nodrošinātu apmācību aktualitāti un tās atbilstu jaunākajām tendencēm un tehnoloģiskajām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izziņas 18.punktā sniegto skaidrojumu par mērķa grupas atbilstības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anotācijas 1.3.sadaļu.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ir plānots nodrošināt, ka šo noteikumu mērķa grupa ir informēta par savām tiesībām piedalīties mācībās.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nodrošinātu, ka pasākuma mērķa grupa - valsts un pašvaldību iestāžu darbinieki - ir informēti par savām tiesībām piedalīties mācības, ir paredzēts komunicēt vairākos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nosūtot oficiālas vēstules valsts un pašvaldību iestādēm, ietverot detalizētu informāciju par projektu, tā mērķiem un ieguvumiem, piedaloties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iekšējos komunikācijas kanālus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 digitālām platformām, (piemēram, e-pasti, sociālie tīkli,  mājaslapas),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tiešas saziņas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izsūtīšana digitālajiem aģentiem un digitālajiem līderiem, kuri piedalījušies mācībās programmas “Dari digitāli” ietvaros” (ap 8 000 valsts un pašvaldību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izsūtīšana Digitālajiem vēstnešiem -  kopiena, kas izveidota projekta Eiropas Savienības Atveseļošanas un noturības mehānisma plāna investīcijas 2.3.2.2.i. “Valsts un pašvaldību digitālās transformācijas prasmju un spēju attīstība” projekta Nr. 2.3.2.2.i.0/1/23/I/VARAM/001 “Publiskās pārvaldes digitālā akadēmija”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nodošana Digitālajiem inovāciju centriem (piemēram, Kuldīgas digitālais inovāciju centrs, Cēsu digitālais centrs), kas tiešā veidā strādā ar pašvaldības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dalība pasākumos, kuros piedalās valsts un pašvaldību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ieviešanas laikā, īstenojot projekta ietvaros paredzētās komunikācijas aktivitātes, lai caur šiem dažādajiem komunikācijas veidiem mērķa grupas dalībnieki būtu informēti un motivēti piedalīties projekta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papildināto anotācijas 1.3. sadaļu “Risinājumu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anotācijā teikuma dalu "tiks piemērots izņēmums attiecībā uz vienoto kritēriju un vienoto izvēles kritēriju piemērošanu", lai nodrošinātu viennozīmīgu izpratni, ka 4.2.4.3.pasākuma kritēriju komplekts netika iekļauts Uzraudzības komitejā apstiprinātajā izņēmumu sarakstā. Vienlaikus no Finanšu ministrijas puses konceptuāli atbalstām, ka šajā ierobežotā projektu iesniegumu atlasē tiks piemēroti tikai vienotie kritēriji un vienotie izvēles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būtu papildināms apraksts anotācijā, ka finansējuma saņēmējs nodrošina atbalsta savstarpēju papildinātību arī ar 1.2.2.SAM tā mērķu sekmīgai sasniegšanai, ņemot vēra, ka šāda papildinātība minēta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VARAM ieskatā 4.2.4.3.pasākuma ietvaros plānotajām darbībām ir netieša papildinātība ar 1.2.2.SAM, ņemot vērā, ka, veicinot valsts digitālo risinājumu izmantošanu, tiek  uzlabotas digitālās prasmes un izpratne par digitālajiem risinājumiem kopumā, līdz ar to tiek veicināta arī komersantu digitālo risinājumu izmantošana. Ņemot vērā iepriekš minēto, anotācijā netiek veikti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kādi KPI sasniedzami un kā konkrētie pasākumi saistāmi ar mērķa grupas sasniegšanu un efektīvu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 piecas integrētās komunikācijas kampaņas, t.sk. reģionālajos medijos;</w:t>
            </w:r>
            <w:r w:rsidR="00000000" w:rsidRPr="00000000" w:rsidDel="00000000">
              <w:rPr>
                <w:i w:val="1"/>
                <w:rtl w:val="0"/>
              </w:rPr>
              <w:t xml:space="preserve">b) dalība sarunu festivālā LAMPA, Latvijas atvērto tehnoloģiju asociācijas kultūras datu hakatonā, forumā "5G Techritory", Digitālajā nedēļā u.c.;</w:t>
            </w:r>
            <w:r w:rsidR="00000000" w:rsidRPr="00000000" w:rsidDel="00000000">
              <w:rPr>
                <w:i w:val="1"/>
                <w:rtl w:val="0"/>
              </w:rPr>
              <w:t xml:space="preserve">c) klātienes un tiešsaistes pasākumi sadarbībā ar valsts un pašvaldību iestādēm, kā arī nevalstiskajām organizācijām;</w:t>
            </w:r>
            <w:r w:rsidR="00000000" w:rsidRPr="00000000" w:rsidDel="00000000">
              <w:rPr>
                <w:i w:val="1"/>
                <w:rtl w:val="0"/>
              </w:rPr>
              <w:t xml:space="preserve">d) regulāras komunikācijas veikšana sociālajos tīklos, nodrošinot mērķtiecīgu satura izvietošanu, kas ir būtisks elements digitālo prasmju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Minētie pasākumi plānoti, ņemot vērā ES fondu 2014.-2020.gada plānošanas perioda pieredzi un secinājumus VARAM īstenotās programmas “Dari digitāli” ietvaros - integrētajās komunikāciju kampaņās var ietvert plašu aktivitāšu skaitu - pasākumus, informatīvos materiālus, izsūtnes utt. Ar kampaņām programmas “Dari digitāli” ietvaros tika sasniegts lielākais iedzīvotāju skaits. Arī minētie pasākumi, kā sarunu festivāls LAMPA u.c., var sasniegt plašu auditoriju un nozaru speciālistus, lai pēc iespējas efektīvāk sasniegtu plānotos pasākuma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plašāku skaidrojumu par komunikācijas aktivitāšu īstenošanas nepieciešamību izziņas 4. un 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projektā plānotajiem pasākumiem un ieguvumiem sabiedrībai tiks sniegta projekta iesniegumā, kas attiecīgi tiks vērtēta, tai skaitā, vai definētie uzraudzības rādītāji nodrošina un apliecina mērķa sasniegšanu, uzraudzības rādītāji ir precīzi definēti, pamatoti un izmērāmi, tostarp, vērtējot, vai PI ietverta informācija, ka projektā plānotās darbības sniedz ieguldījumu Digitālās transformācijas pamatnostādnēs 2021. - 2027. gadam noteikto uzdevumu izpildē iedzīvotāju digitālo prasmju veicināšanas jomā un digitālo mentoru kapacitātes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apakšsadaļas "Risinājuma apraksts" punktu "Projekta īstenošanas nosacījumi" ar informāciju par komunikācijas un vizuālās identitātes pasākumu nodrošināšanas nosacījumiem: "Finansējuma saņēmējs nodrošina komunikācijas un vizuālās identitātes prasību nodrošināšanas pasākumus, kas noteikti regulas 2021/1060 47. un 50. pantā un atbilstoši normatīvajiem aktiem par kārtību, kādā Eiropas Savienības fondu vadībā iesaistītās institūcijas nodrošina šo fondu ieviešanu 2021.—2027. gada plānošanas periodā, kā arī ievērojot Eiropas Savienības fondu 2021. – 2027. gada plānošanas perioda un Atveseļošanas fonda komunikācijas un dizaina vadlīnijas."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20.2.apakšpunktam secināms, ka attiecināmas gan iekšzemes, gan ārvalstu komandējuma izmaksas. Lūgums papildināt sadaļu "Atbalstāmās darbības un attiecināmās izmaksas", norādot, ka attiecināmas ir arī iekšzemes komandējuma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sadaļu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rindkopā, kur minēts par tiešajām attiecināmajām un netiešajām attiecināmajām izmaksām, lūdzam svītrot vārdu savienojumu "Projekta vadības un projekta īstenošanas" un sākt teikuma ievadu ar vārdiem "Netiešajās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sadaļas "Pašreizējā situācija, problēmas un risinājumi" attiecīgo rindkopu.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sadaļas apakšsadaļas “Juridiskās personas” atbilstošo apakšsadaļu "Ietekmes apraksts" ar norādi, ka Vides aizsardzības un reģionālās attīstības ministrija pildīs atbildīgās iestādes un finansējuma saņēmēja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2.1.sadaļas apakšsadaļu “Juridiskās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2.2.punktu ar īsu informāciju no izziņas 35.punktā sniegtā skaidrojuma par investīcijas ietekmi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2.2.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novērtējumu par plānoto ietekmi uz tautsaimniecību, t.sk. norādot pēc iespējas izmērāmus faktiski sagaidāmos rezultātus/ rādītājus. Investīciju pienesumu tautsaimniecībai atspoguļo, piemēram, izmērāma ietekme uz makroekonomisko vidi, pienesums ekonomikas transformācijai, nozaru konkurētspējai, uzņēmējdarbības videi, nodarbinātībai, kā arī ietekme uz nozaru politikas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Atbilstoši anotācijā norādītajam Eiropas Parlamenta un Padomes lēmumā (ES) 2022/2481 (2022. gada 14. decembris), ar ko izveido politikas programmu "Digitālās desmitgades ceļš" 2030. gadam (turpmāk – Dekādes programma), ir noteikti līdz 2030. gadam sasniedzamie vispārīgie digitālie mērķi un digitālie mērķrādītāji, to sasniegšanas uzraudzība un arī daudzvalstu projektu veidošana. Dekādes programmā noteikto digitālo mērķrādītāju sasniegšanas uzraudzība paredz Eiropas Savienības dalībvalstīm iesniegt Eiropas Komisijai valstu digitālās desmitgades stratēģiskos ceļvežus par laiku līdz 2030. gadam, rosinot, ja tas iespējams un izmērāms valstu līmenī, valstu prognozētās trajektorijas, kurās apraksta pieņemtos, plānotos vai īstenotos instrumentus, lai dotu ieguldījumu Dekādes programmā izklāstīto vispārīgo mērķu un digitālo mērķrādītāju sasniegšanā Eiropas Savienības līmenī. Lai nodrošinātu minētā uzdevuma izpildi, 2024. gada 30. janvārī MK tika pieņemts informatīvais ziņojums "Digitālās desmitgades stratēģiskais ceļvedis Latvijai līdz 2030. gadam" (protokols Nr.5/25§), kurā iekļauta informācija par Latvijas apņemšanos sasniegt Eiropas Komisijas izvirzīto mērķi līdz 2030. gadam – nodrošināt, ka visi galvenie publiskie pakalpojumi iedzīvotājiem un uzņēmējiem ir pieejami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augstāk minētos Dekādes programmā noteiktos mērķus, ir jāturpina īstenot mērķtiecīgi pasākumi digitālo risinājumu izmantošanas veicināšanai, līdz ar to 4.2.4.3. pasākuma "Digitālo prasmju pilnveide"  ietvaros ir plānoti ieguldījumi gan mācību, gan komunikācijas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IKT straujo attīstību paplašinās arī digitāli pieejamo valsts un pašvaldību pakalpojumu klāsts, tādēļ īpaši būtiskas kļūst sabiedrības prasmes digitālo risinājumu izmantošanā, it īpaši tas ir kļuvis aktuāli pašreiz. Latvijā ir augsts līmenis izveidoto e-pakalpojumu pieejamībā, bet vienlaikus ir jāisteno pasākumi šo risinājumu izmantošanas veicināšanai, lai nodrošinātu digitālajos risinājumos ieguldīto līdzekļu lielāku atdevi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izaicinājumu risināšanai ir nepieciešama kompleksa pieeja un, ņemot vērā, ka identificētie šķēršļi patstāvīgai e-pakalpojumu un risinājumu izmantošanai ietver gan nepietiekamas prasmes, gan lietošanas ieradumus, ir būtiski paaugstināt dažādu sabiedrības grupu digitālās prasmes un informētības līmeni par digitālo risinājumu priekšrocībām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ES fondu 2014.-2020. gada plānošanas perioda pieredze liecina, ka centralizēti īstenotie komunikācijas pasākumi ir veicinājuši izveidoto valsts digitālo risinājumu izmantošanas līmeņa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4.2.4.3. pasākuma ietvaros VARAM plāno īstenot centralizētas aktivitātes divos virzienos: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1)Valsts un pašvaldības darbinieku (digitālo mentoru) apmācības, nodrošinot attīstītu kvalitatīvu un visaptverošu digitālo mentoru tīklu, kas atbalsta un iedrošina dažādas sabiedrības grupas valsts pārvaldes digitālo risinājumu lietošanā un valsts e-pakalpojumu pieteikšanā un saņemšanā, kā arī caur digitālo prasmju pilnveidi uzlabo vietējo kopienu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parāda, ka digitālie mentori ir būtisks kanāls sabiedrības informēšanai paradumu maiņai un izglītošanai, kā arī iedrošināšanai digitālo risinājumu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Apmācītie digitālie mentori - apmācīti valsts un pašvaldību iestāžu darbinieki, t.sk. skolotāji, bibliotekāri, vēstniecību un pārstāvniecību ārvalstīs darbinieki u.c., savu pienākumu ietvaros tālāk konsultē, iedrošina un sniedz atbalstu ikvienam sabiedrības pārstāvim e-pakalpojumu un dažādu digitālo rīku (personas apliecība (eID karte), e-paraksts, e-adrese) lietošanā, lai ikviens, neatkarīgi no digitālajām prasmēm, spētu saņemt sev nepieciešamos pakalpojumus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ir plaši izvērsts publisko bibliotēku tīkls, bibliotekāri sniedz būtisku ieguldījumu digitālo iespēju izmantošanā reģionos un atbalstu digitālo pamatprasmju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informēšana un komunikācijas aktivitātes par valsts rādītajiem digitālajiem risinājumiem, t.sk digitālajiem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pētījuma “Integrēts Publisko pakalpojumu sniegšanas un gala lietotāju vajadzību monitorings” ietvaros veiktās Latvijas iedzīvotāju aptaujas rezultāti, turpina pieaugt iedzīvotāju vēlme pieteikt pakalpojumus elektroniski. Līdz ar to ir būtiski nodrošināt informāciju par valsts radītajiem digitālajiem risinājumiem, jo attālināta pakalpojumu pieteikšana un saņemšana ne tikai potenciāli uzlabo sabiedrības dzīves kvalitāti, nodrošina vienlīdzīgas iespējas un mazina digitālo plaisu, bet arī samazina administratīvo un finansiālo slogu valsts pārvaldei, tai skaitā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arvien vairāk iedzīvotāju Latvijā izvēlas saziņu ar valsts un pašvaldību iestādēm drošā elektroniskā veidā un e-adreses lietotāju skaits jau pārsniedz 200 000 fizisko personu, kas ļauj iestādēm būtiski ietaupīt finanšu resursus, samazinot papīra dokumentu plūsmu un ietaupot pakalpojumu sniedzošo iestāžu darbinieku laiku – pusstundu uz vienu pakalpojumu. Līdz ar to ir jāturpina īstenot mērķtiecīgas komunikācijas aktivitātes par valsts izveidotajiem un plānotajiem digitālajiem risinājumiem, lai nodrošinātu vēl aktīvāku šo risinājumu izmantošanu gan fiziskām, gan juridiskām personām, kas savukārt nodrošinātu gan papildu finanšu ietaupījumu valsts iestādēm, gan arī sociālekonomisko ieguvumu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veicinot valsts digitālo risinājumu izmantošanu, tiek  uzlabotas digitālās prasmes un izpratne par digitālajiem risinājumiem kopumā, ir paredzams, ka tādējādi tiks veicināta arī komersantu digitālo risinājumu izmantošana. Tomēr nav iespējams aprēķināt konkrētu ietekmi uz tautsaimniecību, līdz ar to anotācija nav papildināta ar izmērāmu, kvantitatīvu novērtējumu par plānoto ietekmi uz tautsaimniecībuar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valsts budžeta līdzfinansējumu 2029.gadam, vienlaikus precizējot arī kopsummu 2029.gadam, jo šobrīd saskaitot kopā norādītās summas valsts budžeta līdzfinansējumam veidojas  summa 650 300 euro apmērā, kas ir par 1 euro mazāk  nekā norādītais valsts budžeta finansējums 650 301 euro, un kopējais finansējums 2029.gadam  veidojas 1 560 721 euro apmērā, kas ir par 1 euro mazāk nekā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anotācijas 3.sadaļas punktu “Cita informācija”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īstenošanai attiecībā uz ESF+ līdzfinansējuma un valsts budžeta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3.sadaļas punktu “Cita informācija”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biedrību un nodibinājumu iesaisti, nevalstisko organizāciju iesaisti noteikumu projekta izstrādē, lai nodrošinātu atbilstību Ministru prezidenta rezolūcijā* noteiktajam vai skaidrot, kāpēc iesaiste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07.09.2021. rezolūcija Nr. 2021-1.1.1./50-50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pasākumam ir tieša ietekme uz horizontālo principu “Vienlīdzība, iekļaušana, nediskriminācija un pamattiesību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papildināta ar skaidrojumu, ka 4.2.4.3. pasākumam ir netieša ietekme uz  horizontālo principu “Vienlīdzība, iekļaušana, nediskriminācija un pamattiesību ievērošana”(minētā pieeja saskaņota ar Labklājības ministriju projekta vērtēšanas kritēriju saskaņošanas ietvaros ES fondu apakškomitejā).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Ministru kabineta (turpmāk – MK) protokollēmuma projektā punktu, kurš noteiktu Viedās administrācijas un reģionālās attīstības ministrijai informēt MK par priekšlikumiem rīcībai gadījumā, ja netiek saņemts pozitīvs Eiropas Komisijas lēmums par grozījumiem Eiropas Savienības kohēzijas politikas programmā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protokollēmuma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 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jaunu punktu, kurš noteiktu, ka tiek atļauts Centrālajai finanšu un līgumu aģentūrai izsludināt un īstenot projektu iesniegumu atlasi pirms Eiropas Komisijas lēmuma par grozījumiem Eiropas Savienības Kohēzijas politikas programmā 2021.-2027.gadam apstiprināšanu, savukārt vienošanos par projekta īstenošanu slēgt, tikai pēc pozitīva Eiropas Komisijas lēmuma par grozījumiem Eiropas Savienības Kohēzijas politikas programmā 2021.-2027.gadam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sēdes protokollēmuma projekts tiek  papildināts ar jaunu punktu, kas paredz atļaut CFLA vienošanos par projekta īstenošanu slēgt, tikai pēc pozitīva Eiropas Komisijas lēmuma par grozījumiem Eiropas Savienības Kohēzijas politikas programmā 2021.-2027.gadam apstiprināšanas, tiek svītrots MK sēdes protokollēmuma punkts, kas uzdod VARAM informēt Ministru kabinetu par priekšlikumiem rīcībai gadījumā, ja netiek saņemts pozitīvs Eiropas Komisijas lēmums par grozījumiem Eiropas Savienības kohēzijas politikas programmā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informēt Ministru kabinetu par priekšlikumiem rīcībai gadījumā, ja netiek saņemts pozitīvs Eiropas Komisijas lēmums par grozījumiem Eiropas Savienības kohēzijas politikas programmā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nomainīts Vides aizsardzības un reģionālās attīstības ministrijas nosaukums, lai nodrošinātu skaidru normu piemērošanu, aicinām to precizēt arī Ministru kabineta sēdes protokollēmuma projekta 3.punktā un anotācijas 2.1.sadaļā.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sēdes protokollēmuma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Centrālajai finanšu un līgumu aģentūrai izsludināt un īstenot projektu iesniegumu atlasi pirms Eiropas Komisijas lēmuma par grozījumiem Eiropas Savienības Kohēzijas politikas programmā 2021.-2027.gadam apstiprināšanas, savukārt vienošanos par projekta īstenošanu slēgt tikai pēc pozitīva Eiropas Komisijas lēmuma par grozījumiem Eiropas Savienības Kohēzijas politikas programmā 2021.-2027.gadam apstiprināšanas.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24-TA-613</w:t>
    </w:r>
    <w:r>
      <w:br/>
    </w:r>
    <w:r w:rsidR="00000000" w:rsidRPr="00000000" w:rsidDel="00000000">
      <w:rPr>
        <w:rtl w:val="0"/>
      </w:rPr>
      <w:t xml:space="preserve">01.04.2025. 12.17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24-TA-613</w:t>
    </w:r>
    <w:r>
      <w:br/>
    </w:r>
    <w:r w:rsidR="00000000" w:rsidRPr="00000000" w:rsidDel="00000000">
      <w:rPr>
        <w:rtl w:val="0"/>
      </w:rPr>
      <w:t xml:space="preserve">01.04.2025. 12.17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Izziņa_24-TA-613.docx</dc:title>
</cp:coreProperties>
</file>

<file path=docProps/custom.xml><?xml version="1.0" encoding="utf-8"?>
<Properties xmlns="http://schemas.openxmlformats.org/officeDocument/2006/custom-properties" xmlns:vt="http://schemas.openxmlformats.org/officeDocument/2006/docPropsVTypes"/>
</file>