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240" w:beforeAutospacing="0"/>
        <w:spacing w:after="240" w:afterAutospacing="0"/>
        <w:spacing w:lineRule="auto" w:line="240"/>
        <w:pBdr/>
        <w:rPr>
          <w:sz w:val="28"/>
          <w:b w:val="1"/>
          <w:rtl w:val="0"/>
        </w:rPr>
      </w:pPr>
      <w:r w:rsidR="00000000" w:rsidRPr="00000000" w:rsidDel="00000000">
        <w:rPr>
          <w:sz w:val="28"/>
          <w:b w:val="1"/>
          <w:rtl w:val="0"/>
        </w:rPr>
        <w:t xml:space="preserve"/>
      </w:r>
      <w:r w:rsidR="00000000" w:rsidRPr="00000000" w:rsidDel="00000000">
        <w:rPr>
          <w:sz w:val="28"/>
          <w:b w:val="1"/>
          <w:rtl w:val="0"/>
        </w:rPr>
        <w:t xml:space="preserve">22-TA-2139: Noteikumu projekts (Jauns)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tl w:val="0"/>
        </w:rPr>
        <w:t xml:space="preserve">Valsts akciju sabiedrības "Elektroniskie sakari" publisko maksas pakalpojumu cenrādis</w:t>
      </w:r>
    </w:p>
    <w:tbl>
      <w:tblPr>
        <w:tblStyle w:val="DefaultTable"/>
        <w:bidiVisual w:val="0"/>
        <w:tblW w:w="14567.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900"/>
        <w:gridCol w:w="3000"/>
        <w:gridCol w:w="3000"/>
        <w:gridCol w:w="3000"/>
        <w:gridCol w:w="3000"/>
        <w:tblGridChange w:id="0">
          <w:tblGrid>
            <w:gridCol w:w="900"/>
            <w:gridCol w:w="3000"/>
            <w:gridCol w:w="3000"/>
            <w:gridCol w:w="3000"/>
            <w:gridCol w:w="30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Saskaņošanai nosūtītā 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Apstrādes informācija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Galīgā redakcija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Pielikuma saturu skatīt dokumentā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- 19.08.2022.)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noteikumu projekta pielikuma 7. piezīmē precizēt atsauci uz noteikumu 13. punktu saskaņā ar Ministru kabineta 2009. gada 3. februāra noteikumu Nr. 108 "Normatīvo aktu projektu sagatavošanas noteikumi" 132. punktu (proti, izsakot atsauci šādi: "[..] atbilstoši šo noteikumu 13. punktam."). Aicinām pārskatīt un precizēt atsauces uz citām noteikumu vienībām arī citviet noteikumu projektā (sk., piemēram, noteikumu projekta 4. punktu).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Pielikuma saturu skatīt dokumentā</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 Mērķis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- 19.08.2022.)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salāgot anotācijā ietverto informāciju ar noteikumu projekta regulējumu, precizējot anotācijas 1.2. sadaļas spēkā stāšanās termiņa norādi un pamatojumu (proti, norādot, ka noteikumu projekts stājas spēkā vispārējā kārtībā).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stājas spēkā vispārējā kārtībā.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 Mērķis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- 19.08.2022.)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un aktualizēt anotācijā ietverto informāciju, ņemot vērā, ka jaunais Elektronisko sakaru likums (turpmāk - ESL) jau ir stājies spēkā 2022. gada 29. jūlijā. Piemēram, ņemot vērā ESL pārejas noteikumu 2. punktu, nav korekta norāde, ka "stājoties spēkā ESL, zaudēs spēku Ministru kabineta 2022. gada 1. februāra noteikumi Nr. 87 "Valsts akciju sabiedrības "Elektroniskie sakari" publisko maksas pakalpojumu cenrādis" (turpmāk - Noteikumi Nr.87)". Lūdzam arī pie izstrādes pamatojuma norādīt ESL pārejas noteikumu 2. punkta 19. apakšpunktu. Tāpat aicinām arī, ja izstrādes pamatojumā ietverta norāde, ka noteikumu projekts izstrādāts, "lai ieviestu Eiropas Parlamenta un Padomes 2018. gada 11.decembra direktīvā Nr.2018/1972/ES par Eiropas Elektronisko sakaru kodeksa izveidi (turpmāk – Direktīva 2018/1972) noteiktos pasākumus", precizēt, par kādiem pasākumiem un kādām direktīvas normām ir runa.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arī lūdzam anotācijas 1.3. sadaļas risinājuma aprakstā, īpaši ņemot vērā, ka noteikumu projekts ir jaunu Ministru kabineta noteikumu projekts, nevis grozījumu projekts, izvērstāk skaidrot noteikumu projektā ietverto normu nepieciešamību un saturu, tostarp skaidrojot, vai un kādas izmaiņas ir paredzētas salīdzinājumā ar šobrīd spēkā esošajiem noteikumiem Nr. 87.</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6.1. Projekta izstrādē iesaistītās institūcijas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- 19.08.2022.)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pilnīgi aizpildīt anotācijas 6.1. sadaļu, norādot institūcijas, kas iesaistījušās projekta izstrādē.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6.1. Projekta izstrādē iesaistītās institūcijas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- 23.08.2022.)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MK noteikumu projekta anotācijā skaidri norādīt, ka MK noteikumu projektā esošie maksas pakalpojumu veidi un to izcenojumi nav mainījušies, salīdzinot ar Ministru kabineta 2022. gada 1. februāra noteikumos Nr. 87 "Valsts akciju sabiedrības "Elektroniskie sakari" publisko maksas pakalpojumu cenrādis" noteiktajiem.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projektā esošie maksas pakalpojumu veidi un to izcenojumi nav mainījušies, salīdzinot ar Noteikumiem Nr. 87.</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6.4. Cita informācija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- 02.09.2022.)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anotācijas 6.4. sadaļā minētās institūcijas konkrēti minēt arī 6.1. sadaļā, aizpildot attiecīgos sadaļas laukus.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6.4. Cita informācija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Pamatojums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- 02.09.2022.)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anotācijas 1.1. sadaļas izstrādes pamatojumu, norādot kā pamatojumu "Tiesību akts / Ministru Prezidenta rezolūcija".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Pamatojums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- 02.09.2022.)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1.3. sadaļā norādīts: "Noteikumu projekta 5. sadaļā izvērsta informācija par Eiropas Parlamenta un Padomes 2018. gada 11. decembra Direktīvas 2018/1972 par Eiropas Elektronisko sakaru kodeksa izveidi, normu pārņemšanu." Aicinām precizēt, ka informācija izvērsta nevis noteikumu projekta 5. sadaļā, bet gan anotācijas 5. sadaļā.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bl>
    <w:sectPr>
      <w:headerReference r:id="rId7" w:type="default"/>
      <w:headerReference r:id="rId8" w:type="first"/>
      <w:footerReference r:id="rId2" w:type="default"/>
      <w:footerReference r:id="rId3" w:type="first"/>
      <w:titlePg w:val="true"/>
      <w:pgSz w:w="16833" w:h="11908" w:orient="landscape"/>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22-TA-2139</w:t>
    </w:r>
    <w:r>
      <w:br/>
    </w:r>
    <w:r w:rsidR="00000000" w:rsidRPr="00000000" w:rsidDel="00000000">
      <w:rPr>
        <w:rtl w:val="0"/>
      </w:rPr>
      <w:t xml:space="preserve">08.09.2022. 13.57</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22-TA-2139</w:t>
    </w:r>
    <w:r>
      <w:br/>
    </w:r>
    <w:r w:rsidR="00000000" w:rsidRPr="00000000" w:rsidDel="00000000">
      <w:rPr>
        <w:rtl w:val="0"/>
      </w:rPr>
      <w:t xml:space="preserve">08.09.2022. 13.57</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after="280"/>
      <w:contextualSpacing w:val="1"/>
    </w:pPr>
    <w:rPr>
      <w:b w:val="1"/>
      <w:sz w:val="28"/>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Izziņa_22-TA-2139.docx</dc:title>
</cp:coreProperties>
</file>

<file path=docProps/custom.xml><?xml version="1.0" encoding="utf-8"?>
<Properties xmlns="http://schemas.openxmlformats.org/officeDocument/2006/custom-properties" xmlns:vt="http://schemas.openxmlformats.org/officeDocument/2006/docPropsVTypes"/>
</file>