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26-TA-1335: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Republikas kārtējais ziņojums par Apvienoto Nāciju Organizācijas 1979. gada Konvencijas par jebkuras sieviešu diskriminācijas izskaušanu ieviešanu Latvijas Republikā 2020.-2025.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27.06.2026. 14:09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informatīvā ziņojuma 128. punktā norādīto statistiku nav nepieciešams papildināt, ņemot vērā, ka par atsevišķiem gadiem – proti, 2023. un 2024. gadu – statistikas dati nav sniegti.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128.rindkopa papildināta ar 2023.gada un 2024.gada statistikas datiem par reģistrētajām laulībām atbilstoši publiski pieejamajai informācijai. Precizēti arī dati par 2025.gadā reģistrēto laulību skaitu. Atbilstoši Tieslietu ministrijas sniegtajai informācijai pievienoti dati par 2024.gadā reģistrētajām laulībām, kurās viens no laulātajiem stājies laulībā pirms 18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informatīvā ziņojuma projekta 27.lpp sniegto informāciju par likumprojektu "Cilvēku tirdzniecības upuru atpazīšanas un atbalsta likums" (25-TA-3102). Vēršam uzmanību, ka minētais likumprojekts 2026. gada 18. jūnijā ir iesniegts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73.rindkopa.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iekļautu ziņojumā aktuālāko informāciju, lūdzam izteikt 115. punkta teikumu "Psihiskās veselības aprūpes organizēšanas un uzlabošanas plāns 2023.-2025.gadam  paredzēja   šādus   rīcības   virzienus:   profilakses,   agrīnās   diagnostikas   unambulatorās   ārstēšanas   attīstība   bērniem   un   pusaudžiem;   profilakses,   agrīnāsdiagnostikas un ambulatorās ārstēšanas attīstība pieaugušajiem; stacionārās psihiskāsveselības   aprūpes   attīstība;   kvalitātes   noteikšana   un   izlīdzināšana   valsts   psihiskāsveselības   aprūpes   pakalpojumos;   medikamentozās   ārstēšanas   attīstība;   nozarescilvēkresursu attīstība. " šādā redkacijā: </w:t>
            </w:r>
            <w:r w:rsidR="00000000" w:rsidRPr="00000000" w:rsidDel="00000000">
              <w:rPr>
                <w:i w:val="1"/>
                <w:rtl w:val="0"/>
              </w:rPr>
              <w:t xml:space="preserve">"Psihiskās veselības aprūpes organizēšanas uzlabošanas plāna 2023.–2025. gadam</w:t>
            </w:r>
            <w:r w:rsidR="00000000" w:rsidRPr="00000000" w:rsidDel="00000000">
              <w:rPr>
                <w:rtl w:val="0"/>
              </w:rPr>
              <w:t xml:space="preserve"> izpildē tika sasniegts būtisks progress vairākos virzienos. Bērnu un pusaudžu psihiskās veselības aprūpē paplašināta valsts apmaksātā autiskā spektra traucējumu diagnostika, tostarp ADOS pakalpojuma pieejamība reģionos, kā arī ieviesta agrīnās intervences programma bērniem ar autiskā spektra un citiem attīstības traucējumiem. Nodrošināta arī koordinētāka pāreja no bērnu uz pieaugušo psihiskās veselības aprūpes pakalpojumiem pacientiem ar ilgstošiem psihiskās veselības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psihiskās veselības aprūpes sistēmas pieejamības un kvalitātes uzlabošanu, Latvija informē, ka Psihiskās veselības aprūpes plāna 2018.-2020.gadam izpildē veikti vairāki pasākumi: (1) ieviestas multiprofesionālās komandas psihiskās veselības jomā gan stacionārā, gan ambulatorā aprūpē, tādejādi nodrošinot nemedikamentozās terapijas pieejamību (mākslas terapija, psihoterapija u.c.); (2) ar VM atbalstu tiek īstenota Garastāvokļu traucējumu programma pusaudžiem 11-18 gadu vecumā. Šobrīd šis sabiedrībā balstītais pakalpojums norit 9 Latvijas pilsētās (13 Bērnu un pusaudžu resursu centra filiālēs). Programmas mērķis ir nodrošināt mērķtiecīgu atbalstu pusaudžiem ar garastāvokļa traucējumiem (t. sk. viegliem vai vidēji smagiem depresīviem un trauksmes traucējumiem, kā arī pašsavainošanās un mērenu vai vidēji augstu pašnāvības risku); (3) ieviestas valsts apmaksātas psihologa/psihoterapeita konsultācijas ar ģimenes ārsta nosūtījumu. Pakalpojumi pieejami arī attālināti, kā arī gadījumos, kad ir nepieciešams akūts psihoemocionālais atbalsts, ir izveidota vienota psihoemocionālā atbalsta telefonlīnija.</w:t>
            </w:r>
            <w:r w:rsidR="00000000" w:rsidRPr="00000000" w:rsidDel="00000000">
              <w:rPr>
                <w:i w:val="1"/>
                <w:rtl w:val="0"/>
              </w:rPr>
              <w:t xml:space="preserve">Psihiskās veselības aprūpes organizēšanas uzlabošanas plāna 2023.–2025. gadam</w:t>
            </w:r>
            <w:r w:rsidR="00000000" w:rsidRPr="00000000" w:rsidDel="00000000">
              <w:rPr>
                <w:rtl w:val="0"/>
              </w:rPr>
              <w:t xml:space="preserve"> izpildē tika sasniegts būtisks progress vairākos virzienos. Bērnu un pusaudžu psihiskās veselības aprūpē paplašināta valsts apmaksātā autiskā spektra traucējumu diagnostika, tostarp ADOS pakalpojuma pieejamība reģionos, kā arī ieviesta agrīnās intervences programma bērniem ar autiskā spektra un citiem attīstības traucējumiem. Nodrošināta arī koordinētāka pāreja no bērnu uz pieaugušo psihiskās veselības aprūpes pakalpojumiem pacientiem ar ilgstošiem psihiskās veselības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115.rindkopa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Rakstnieču apvienība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Rakstnieču apvienība (turpmāk – LRA) novērtē Latvijas Republikas līdzšinējos centienus sieviešu diskriminācijas mazināšanā, īpaši izceļot pievienošanos Stambulas konvencijai, nacionālo rīcības plānu izstrādi, kā arī nevaldības sektora iesaistīšanu izglītības, zināšanu un profesionālās prakses pilnveidē darbā ar vardarbībā cietušajām personām u. 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diskriminācijas izskaušana pret sievietēm Latvijā joprojām ir trausls un nepabeigts process. Par to liecina arī 2025. gada politiskās diskusijas par iespējamo izstāšanos no Stambulas konvencijas un plašie aktīvistu un sabiedrības protesti pret to.[1] Fakts, ka par politiskās mobilizācijas instrumentu tika izmantota vardarbībā cietušo sieviešu un meiteņu situācija, apliecina, ka sieviešu tiesību aizsardzība Latvijā joprojām nav pietiekami nostiprināta kā neapstrīdama demokrātiskas valsts vērtība, par spīti tam, ka Latvija ir valsts ar visaugstāko femicīda rādītāju Eiropas Savienībā.[2]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uzskata, ka ziņojumā atspoguļotie sasniegumi korekti jāvērtē līdztekus sabiedrības un pilsoniskā sektora ilgstošajam darbam. Piemēram, valsts apmaksātas epidurālās analgēzijas pieejamības paplašināšana pēc pacientes izvēles ir būtisks pilsoniskās sabiedrības un sieviešu tiesību aizstāvības organizāciju panākums.[3]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aicina piesardzīgi vērtēt arī starptautiskajos indeksos pausto priekšstatu par atsevišķās jomās pilnībā sasniegtu dzimumu līdztiesību Latvijā. Pasaules Bankas ziņojumā </w:t>
            </w:r>
            <w:r w:rsidR="00000000" w:rsidRPr="00000000" w:rsidDel="00000000">
              <w:rPr>
                <w:i w:val="1"/>
                <w:rtl w:val="0"/>
              </w:rPr>
              <w:t xml:space="preserve">Women, Business and the Law 2024</w:t>
            </w:r>
            <w:r w:rsidR="00000000" w:rsidRPr="00000000" w:rsidDel="00000000">
              <w:rPr>
                <w:rtl w:val="0"/>
              </w:rPr>
              <w:t xml:space="preserve"> Latvijai piešķirtais maksimālais vērtējums, uz ko ir atsauce ziņojumā, neatspoguļo strukturālās nevienlīdzības aspektus, tostarp to, ka sievietes un vīrieši koncentrējas dažādās profesijās un nozarēs (sievietes, lai arī vadītāju amatos, koncentrējas tieši zemāk atalgotās nozarēs, piemēram, izglītībā, sociālajā aprūpē, humanitārajās un kultūras nozarē, kas fiksēts arī pašā ziņojumā), kā arī aprūpes darba nevienlīdzīgu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Diskriminācijas risku izvērtējumā nepietiekami redzamas personas, kuras saskaras ar diskrimināciju dzimumidentitātes vai seksuālās orientācijas dēļ. ANO </w:t>
            </w:r>
            <w:r w:rsidR="00000000" w:rsidRPr="00000000" w:rsidDel="00000000">
              <w:rPr>
                <w:i w:val="1"/>
                <w:rtl w:val="0"/>
              </w:rPr>
              <w:t xml:space="preserve">CEDAW</w:t>
            </w:r>
            <w:r w:rsidR="00000000" w:rsidRPr="00000000" w:rsidDel="00000000">
              <w:rPr>
                <w:rtl w:val="0"/>
              </w:rPr>
              <w:t xml:space="preserve"> komiteja vairākkārt ir uzsvērusi intersekcionālas pieejas nepieciešamību un to sieviešu situācijas izvērtēšanu, kuras piedzīvo vairākus diskriminācijas veidus vienlaikus. LRA ieskatā Latvijas politikā un ziņojumā nepietiekami atspoguļota nebināru personu un transpersonu, kā arī LGBT+ kopienai piederīgu personu un sieviešu pieredze.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vērš uzmanību arī uz to, ka joprojām spēkā esošie tā sauktie “tikumības grozījumi” izglītības jomā ierobežo zinātniski pamatotas informācijas pieejamību par dzimumu, dzimti un seksualitāti un var veicināt diskrimināciju pret LGBT+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 uzmanību pelna arī partnerattiecību un laulības regulējuma savstarpējās attiecības. Lai gan partnerības institūta ieviešana ir nozīmīgs sasniegums, kas galvenokārt tika panākts, pateicoties aktīvistu un pilsoniskās sabiedrības neatlaidīgajam darbam vairāk nekā 20 gadu garumā, joprojām saglabājas atšķirīga attieksme pret dažādām ģimenes formām. Tas rada jautājumu par to, vai esošais regulējums pilnībā nodrošina vienlīdzīgu attieksmi pret visiem cilvēkiem neatkarīgi no viņu ģimenes modeļa vai seksuālās orientācijas.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arī aicina pārskatīt terminoloģiju, kas saistīta ar “nodarījumiem pret tikumību”. Jēdziens “tikumība” ir vēsturiski un kultūrsociāli nosacīts, un demokrātiskā tiesību sistēmā būtu vēlams lietot precīzākus un cietušo pieredzei atbilstīgākus apzīmējumus, piemēram, “seksuālā vardarbība” vai “izvarošana”, kur tas ir juridiski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demogrāfijas politika joprojām nereti tiek veidota populistiskā ietvarā, koncentrējoties galvenokārt uz dzimstības rādītāju paaugstināšanu, nepietiekami analizējot strukturālos iemeslus, kuru dēļ cilvēki atliek vai atsakās no bērnu radīšanas. Šādā pieejā atbildība par demogrāfiskajām tendencēm nesamērīgi bieži tiek pārlikta uz sievietēm, īpaši uzsverot viņu reproduktīvo un aprūpes lomu. Tādēļ LRA aicina pievērst uzmanību un norādīt ziņojumā uz politiskiem naratīviem, kuros sievietes primāri tiek uztvertas kā demogrāfiskās politikas instruments. Sieviešu tiesības, ķermeniskā autonomija un iespēja brīvi lemt par savu ģimenes dzīvi ir demokrātiskas un līdztiesīgas sabiedrības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minētais “ievērojamais” sieviešu īpatsvars valsts pārvaldē ir vērtējams piesardzīgi. LRA ieskatā Saeimas vēlēšanām pieteikto sieviešu skaits 36,4 % apmerā (2022. g.) neliecina par dzimumu līdzsvaru vai strukturālas nevienlīdzības pārvarēšanu. Pēdējās pašvaldību vēlēšanās vienā pašvaldībā (Liepājas) netika ievēlēta neviena sieviete.[3] Turklāt īpaši satraucošas ir pazīmes, kas liecina par regresu sieviešu politiskajā pārstāvniecībā. Ziņojumā minēts, ka sieviešu skaits lēmumu pieņemšanas līmeņos gan vēlētajās, gan arī ieceltajās valdības institūcijās ir labs un tam ir tendence pieaugt, taču jau 2026. gadā jaunākajā Latvijas Republikas valdības sastāvā no 15 ministru amatiem tikai divus ieņem sievietes. Šī situācija šķiet pretrunā ziņojumā minētajam secinājumam un šajā kontekstā kā īpaši satraucošus tādus izceļ ministru prezidenta izteikumus, ka, veidojot jauno Ministru kabineta sastāvu, viņš ir ņēmis vērā profesionalitāti, nevis dzimumu.[4] LRA aicina kritiski vērtēt situāciju, kurā sieviešu pārstāvniecība valdībā tiek samazināta, jo formāla dzimumu līdztiesības principu atzīšana pati par sevi negarantē faktisku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ieskatā ziņojumā lietotais formulējums par “visu veidu” sociālās atstumtības un diskriminācijas mazināšanu ir pārāk vispārīgs un neļauj skaidri identificēt, kuras diskriminācijas formas valsts apņemas novērst. Īpaši jānorāda, ka ziņojumā nepietiekami runāts par diskrimināciju (tajā skaitā naida runu), ar kuru saskaras personas atšķirīgas dzimumidentitātes vai seksuālās orientācijas dēļ. Lai diskriminācijas novēršanas politika būtu efektīva, ir nepieciešams skaidri definēt, ka tās tvērums attiecas arī uz šīm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atzinīgi vērtē līdztiesības konsultanta pastāvēšanu, tomēr norāda uz nepieciešamību nodrošināt lielāku caurskatāmību un sabiedrības informētību par šādas amatpersonas darbu. Būtu apsverama līdztiesības konsultantu ieviešana plašāk, piemēram, dažādās valsts un pašvaldību iestādēs, vienlaikus nodrošinot publiski pieejamu informāciju par konsultantu kompetenci un iespējām iedzīvotājiem vērsties pie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vairākkārt minēta nepieciešamība izskaust “kaitīgos stereotipus”, taču nav pietiekami skaidrots, kādi tieši stereotipi tiek uzskatīti par kaitīgiem, pēc kādiem kritērijiem tas tiek noteikts un kādi instrumenti tiks izmantoti to mazināšanai. LRA aicina precizēt šos jēdzienus un politikas īstenošanas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formulējums, ka Latvija ir veiksmīga “gandrīz” visās Pekinas rīcības platformas jomās, ir pārāk nekonkrēts. Ziņojumiem, kas kalpo par pamatu starptautiskai cilvēktiesību izvērtēšanai, būtu jābalstās konkrētos un pārbaudāmos datos, skaidri identificējot gan sasniegumus, gan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izglītības politiku LRA uzskata, ka ziņojumā nepietiekami skaidrots, kā praksē tiek īstenota dzimumu līdztiesības un cilvēktiesību izglītība. Tāpat nepieciešama plašāka diskusija par to, kā izglītības saturs atspoguļo ģimeņu daudzveidību un kā tiek novērsta diskriminācija pret bērniem no dažādām ģimenes formām.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iesaka dokumentos, kuros runa ir par seksuālajā vardarbībā cietušajiem nepilngadīgajiem, konsekventāk lietot jēdzienus “bērni” vai “nepilngadīgas personas” (nevis “zēni un meitenes”), ja konkrētajā situācijā nav nepieciešams izcelt personas dzimumu.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būtu vēlams sniegt detalizētāku informāciju par atbalsta sistēmu vardarbībā cietušajām personām, tostarp analizēt iemeslus, kādēļ joprojām tikai neliela daļa cietušo vēršas policijā, un iekļaut pētījumus un datus par šo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nepietiekami analizēta arī uzturlīdzekļu nemaksāšanas problemātika un tās ietekme uz sieviešu un bērnu ekonomisko drošību. LRA aicina lielāku uzmanību pievērst preventīvajiem un atbalsta mehānismiem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visam minētajam LRA īpaši uzsver, ka kultūras un radošo industriju joma ziņojumā gandrīz nav aplūkota, lai gan arī šajās nozarēs pastāv strukturāla nevienlīdzība, dzimumu stereotipi un nevienlīdzīga piekļuve profesionālajai atzinībai. Ziņojumā ir atsauce uz Kultūrpolitikas pamatnostādnēs nostiprināto vienlīdzīgas piekļuves principu, tomēr nav sniegts izvērtējums par to, kā šie principi tiek īstenoti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aicina sistemātiski vākt un analizēt datus par dzimumu reprezentāciju kultūras un literatūras jomā, tostarp par literāro balvu nominācijām un laureātiem, valsts stipendijām un finansējuma sadali, tulkojumu atbalstu, publikācijām un autoru pārstāvniecību mācību programmās, ekspertu komisiju un lēmējinstitūciju sastāvu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izvērtēt aprūpes pienākumu ietekmi uz sieviešu iespējām pilnvērtīgi piedalīties kultūras un literatūras dzīvē, saņemt stipendijas un veidot ilgtspējīgu profesionālo karjeru.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ieskatā kultūras politikā nepietiekami tiek analizēta dzimumu stereotipu reprodukcija un kanona veidošanas procesi. Pēc organizācijas ieskata un pieredzes sieviešu radītie literārie darbi nereti tiek uztverti kā “nišas” literatūra, kamēr vīriešu autoru pieredze joprojām biežāk tiek interpretēta kā universāla.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LRA norāda, ka sieviešu diskriminācijas izskaušana nevar aprobežoties ar formālu vienlīdzības principu deklarēšanu. Tā prasa nepārtrauktu un kritisku izvērtējumu par to, kuras sabiedrības grupas joprojām paliek ārpus redzesloka un kādas nevienlīdzības formas valsts politikā joprojām netiek pienācīgi atzītas un novērstas.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https://www.lsm.lv/raksts/zinas/latvija/06.11.2025-video-vismaz-10-000-cilveku-doma-laukuma-proteste-pret-latvijas-izstasanos-no-stambulas-konvencijas.a621286/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https://www.lm.gov.lv/lv/jaunums/latvija-augstakais-raditajs-eiropas-savieniba-gadijumiem-kad-sievietes-tisi-noslepkavojis-partneris-vai-radinieks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https://www.tvnet.lv/7206864/savakti-10-000-parakstu-par-bezmaksas-epiduralo-anesteziju-dzemdibas-latvija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https://www.leta.lv/regions/news/item/8FD608B5-8448-47FC-B43D-4A1E76E87A7F/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“Jāvērtē profesionalitāte, dzimums iet pēc tam!” https://tv3.lv/zinas/latvija/politika/kulbergs-javerte-profesionalitate-dzimums-iet-pec-tam-draud-sods-par-dzimumu-lidzsvara-direktivas-neieviesanu/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rūpīgi iepazinusies ar Latvijas Rakstnieču apvienības izvirzītajiem iebildumiem par ziņojuma projektu un pateicas par izvirzītajiem iebildumiem. Tomēr Ārlietu ministrija vērš uzmanību, ka valdības ziņojumam par Konvencijas ieviešanu Latvijā ir paredzēts ierobežots apjoms, kas noteikts ANO Ģenerālās asamblejas rezolūcijā Nr.68/268, uz ko ietverta atsauce arī ziņojuma ievadā. Pašreiz ziņojumā iekļauta informācija, ko sniegušas kompetentās iestādes, iezīmējot gan paveikto un pozitīvos aspektus dzimumu līdztiesības jomā, gan arī vairākas jomas, kur Latvijas valsts saredz nepieciešamību pilnveidojumiem. Turklāt Ārlietu ministrija vērš uzmanību, ka ziņojums aptver informāciju par paveikto un datiem līdz 2025.gadam. Ņemot vērā minēto, Ārlietu ministrija uzskata, ka jau šobrīd sniegtā informācija pieļaujamajā apjomā ir pietiekama, lai nodrošinātu nepieciešamo informāciju tā sekmīgai izskatīšanai ANO Sieviešu diskriminācijas izskaušanas komitejā, tostarp iekļaujot informāciju, ko sniegušas arī vairākas nevaldības organizācijas un to sasniegumiem dzimumu līdztiesības jomā. Turklāt pirms ziņojuma izskatīšanas atbilstoši ierastajai praksei Komiteja pieprasīs papildu informāciju ar konkrētiem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Ārlietu ministrija vērš uzmanību, ka ikvienai nevaldības organizācijai ir tiesības pirms Latvijas ziņojuma izskatīšanas iesniegt savu ēnu/alternatīvo ziņojumu un vērtējumu par Latvijas progresu Konvencijā garantēto tiesību īstenošanai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Alternatīvos ziņojumus var iesniegt dažādos 1979. gada Konvencijas uzraudzības procesa posmos, tostarp Komitejas pirmssesijas darba grupas posmā (Pre-Sessional Working Group), kad tiek sagatavoti papildu jautājumi valstij pirms tās ziņojuma izskatīšanas, kā arī pirms valsts ziņojuma izskatīšanas Komitejas sesijā. Gatavojoties katrai Komitejas sesijai vai pirmssesijas darba grupas sanāksmei, attiecīgās sesijas lapā tiek publicēti valstu ziņojumi, provizoriskā darba kārtība, citi ar ziņojuma izskatīšanu saistītie dokumenti, kā arī informācija NVO par dalību procesā, tostarp par alternatīvo ziņojumu iesniegšanas termiņiem, vārdu skaita limitu, iesniegšanas kārtību, kontaktinformāciju un citām formālajām prasībām. Vēršam uzmanību, ka konkrētās formālās prasības, tostarp iesniegšanas termiņš, vārdu limits un iesniegšanas kārtība, vienmēr jāpārbauda Komitejas sagatavotajā informācijā NVO par attiecīgo sesiju vai pirmssesijas darba grupas sanāksmi, kurā tiks skatīts Latvijas ziņojums (skatīt, piemēram, tbinternet.ohchr.org/_layouts/15/treatybodyexternal/SessionDetails1.aspx?SessionID=2862&amp;Lang=en). Tāpat jāatzīmē, ka Komitejas sesijas laikā NVO tiek dota iespēja paust savus komentārus mutvārdos.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ka atbilstoši ierastajai praksei Latvijas valdības ziņojumu plānots prezentēt arī Labklājības ministrijas paspārnē izveidotajā Dzimumu līdztiesības komitejā, kā arī līdz ar ziņojuma iesniegšanu Komitejā plānota publiska informācija par šo faktu, aicinot NVO sektoru sniegt savus ēnu ziņojumus Komitejai nepastarpināti.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 "Siltumnīca"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26-TA-1335 “Latvijas Republikas kārtējais ziņojums par Apvienoto Nāciju Organizācijas 1979. gada Konvencijas par jebkuras sieviešu diskriminācijas izskaušanu ieviešanu Latvijas Republikā 2020.-2025. gadā” tiek izteikti šādi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virzība kopumā ir atbalstāma, tomēr būtu jāizvērtē, vai ziņojums pirms iesniegšanas Ministru kabinetā nebūtu pilnveidojams. Šobrīd tas ir pasākumu uzskaitījums, lai gan tas varētu būt analītisku ziņojums, kurā katrai būtiskajai CEDAW rekomendācijai norādīts: īstenotais pasākums, faktiskais rezultāts, neatrisinātā problēmas daļa, turpmākā rīcība, termiņš un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Būtu jāizvērtē, vai nebūtu jāprecizē dzimumu līdztiesības mehānisma efektivitātes pamatojums, diskriminācijas definīcijas atbilstība CEDAW, Tiesībsarga biroja faktiskā kapacitāte un ietekme, vardarbības pret sievietēm lietu iznākumi, darba samaksas atšķirību novēršanas mehānismi, lauku sieviešu faktiskā piekļuve resursiem, veselības aprūpes pieejamība un laulības vecuma regulējuma atbilstība bērnu laulību novēršanas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nepilnībām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Nepareizs Saeimas darbības periods: pielikumā norādīts “4. Saeima (1937–1934)”, kas ir acīmredzami nepareizi; jābūt 1931–1934. (3.lapa).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Neprecīzs 14. Saeimas periods: norādīts tikai “14. Saeima (2022)”; korektāk būtu “14. Saeima (2022–2026)” vai “ievēlēta 2022. gadā”. (3.lapa).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Nepareizs mācību gada pieraksts: “2024./2024. mācību gadā” jālabo uz atbilstošo mācību gadu. (24.lapa).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nosaukuma kļūda: pielikumā parādās “Tiesībsargu birojs”, kas jālabo uz “Tiesībsarga birojs”. (20.lapa)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vizualizācijās trūkst paskaidrojumu: vairākām diagrammām nav pietiekami skaidri norādīts, vai dati ir procenti, absolūtie skaitļi, aptaujas dati vai administratīvie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metodoloģijas: pielikumā būtu jāiekļauj īsa piezīme par datu avotiem, datu vākšanas metodi, salīdzināmību un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nepilnībām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Komitejas secinājumu ieviešana notiek decentralizēti, Dzimumu līdztiesības komiteja sanāk četras reizes gadā, LM sadarbojas ar NVO un ir pieejams finansējums vairākām NVO. No tā izdarīts secinājums, ka “nav pamata Komitejas bažām” par integrētās pieejas efektivitāti. Sanāksmju biežums, NVO līdzdalība un finansējuma fakts pats par sevi nepierāda mehānisma efektivitāti. Būtu jānorāda konkrēti rezultāti, piemēram, kuras Komitejas rekomendācijas ir izpildītas, kuras daļēji izpildītas, kuras nav izpildītas; kādi ir termiņi, atbildīgās institūcijas, rezultatīvie rādītāji un neatkarīgs uzraudzības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Apmācīto tiesnešu, prokuroru, izmeklētāju un citu amatpersonu skaits ir svarīgs, tomēr ziņojumā nav salīdzinājuma ar kopējo attiecīgo profesiju pārstāvju skaitu. Bez šāda salīdzinājuma nav iespējams novērtēt, vai apmācības ir sistēmiskas vai fragmentāras. Piemēram, daļā pasākumu piedalās ļoti neliels personu skaits, bet ziņojums to pasniedz kā nozīmīgu institucionālu sasniegumu.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norāda, ka sievietēm lauku apvidos ir tādas pašas tiesības un ka lauksaimniecības atbalstu 2024. un 2025. gadā saņēmušas arī sievietes. Vienlaikus atzīts, ka lielā daļā atbalsta pasākumu saņēmēji ir juridiskas personas, par kurām dzimuma dati nav iegūstami, savukārt vienā no pasākumiem fizisko personu griezumā sievietes veido tikai 24%. Tas prasa padziļinātu analīzi par īpašumtiesībām, piekļuvi finansējumam, uzņēmējdarbības atbalstam un konsultācijām, nevis tikai formālu tiesību vienlīdzības konstatējumu.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plaši aprakstīts finansējums un reproduktīvās veselības pasākumi, taču pielikumā redzams, ka ārstēšanās vai pārbaudes neveikšanas iemesli ietver rindas, nespēju atļauties pakalpojumu, attālumu un laika trūkumu. Ir jānošķir finansējuma paredzēšanas fakts no pasākumu faktiskās pieejamības. Īpaši būtu jāanalizē reģionālās atšķirības, sieviešu ar invaliditāti, romu sieviešu, maznodrošināto sieviešu un vardarbībā cietušo sieviešu piekļuve veselības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rūpīgi iepazinusies ar r.a. “Siltumnīca” priekšlikumiem par ziņojuma un tā pielikuma projektu un pateicas par priekšlikumiem tā atšķirīgai strukturēšanai. Ārlietu ministrija ir ņēmusi vērā visus priekšlikumus tehniskiem precizējumiem ziņojuma pielikumā. Vienlaikus Ārlietu ministrija vērš uzmanību, ka valdības ziņojumam par Konvencijas ieviešanu Latvijā ir paredzēts ierobežots apjoms, kas noteikts ANO Ģenerālās asamblejas rezolūcijā Nr.68/268, uz ko ietverta atsauce arī ziņojuma ievadā. Pašreiz ziņojumā iekļauta informācija, ko sniegušas kompetentās iestādes, iezīmējot gan paveikto un pozitīvos aspektus dzimumu līdztiesības jomā, gan arī vairākas jomas, kur Latvijas valsts saredz nepieciešamību pilnveidojumiem. Ņemot vērā minēto, Ārlietu ministrija uzskata, ka jau šobrīd sniegtā informācija pieļaujamajā apjomā ir pietiekama, lai nodrošinātu nepieciešamo informāciju tā sekmīgai izskatīšanai ANO Sieviešu diskriminācijas izskaušanas komitejā. Turklāt pirms ziņojuma izskatīšanas atbilstoši ierastajai praksei Komiteja pieprasīs papildu informāciju ar konkrētiem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jautājumi par to, kādas rekomendācijas būtu izsakāmas, cik rekomendāciju izpildītas un kādā apjomā, ietilpst Komitejas vērtējumā. Ziņojuma teksts ir veidots, balstoties uz Komitejas iepriekšējā ziņošanas ciklā izteiktajām rekomendācijām, sniedzot informāciju par paveikto to īstenošanā, kā arī papildu informāciju par Konvencijā garantēto tiesību nodrošināšanu Latvijā, šķēršļiem, ar ko saskaras iestādes, un pasākumiem, kas plānoti.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saistībā, līdzīgi kā atbildot uz iepriekšējo iebildumu, Ārlietu ministrija norāda, ka ikvienai nevaldības organizācijai ir tiesības pirms Latvijas ziņojuma izskatīšanas iesniegt savu ēnu/alternatīvo ziņojumu un vērtējumu par Latvijas progresu Konvencijā garantēto tiesību īstenošanai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Alternatīvos ziņojumus var iesniegt dažādos Konvencijas izpildes uzraudzības procesa posmos, tostarp Komitejas pirmssesijas darba grupas posmā (Pre-Sessional Working Group), kad tiek sagatavoti papildu jautājumi valstij pirms tās ziņojuma izskatīšanas, kā arī pirms valsts ziņojuma izskatīšanas Komitejas sesijā. Gatavojoties katrai Komitejas sesijai vai pirmssesijas darba grupas sanāksmei, attiecīgās sesijas lapā tiek publicēti valstu ziņojumi, provizoriskā darba kārtība, citi ar ziņojuma izskatīšanu saistītie dokumenti, kā arī informācija NVO par dalību procesā, tostarp par alternatīvo ziņojumu iesniegšanas termiņiem, vārdu skaita limitu, iesniegšanas kārtību, kontaktinformāciju un citām formālajām prasībām. Vēršam uzmanību, ka konkrētās formālās prasības, tostarp iesniegšanas termiņš, vārdu limits un iesniegšanas kārtība, vienmēr jāpārbauda Komitejas sagatavotajā informācijā NVO par attiecīgo sesiju vai pirmssesijas darba grupas sanāksmi, kurā tiks skatīts Latvijas ziņojums (skatīt, piemēram, nākamo plānoto sesiju: tbinternet.ohchr.org/_layouts/15/treatybodyexternal/SessionDetails1.aspx?SessionID=2862&amp;Lang=en). Tāpat jāatzīmē, ka Komitejas sesijas laikā NVO tiek dota iespēja paust savus komentārus mutvārdos.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ka atbilstoši ierastajai praksei Latvijas valdības ziņojumu plānots prezentēt arī Labklājības ministrijas paspārnē izveidotajā Dzimumu līdztiesības komitejā, kā arī līdz ar ziņojuma iesniegšanu Komitejā plānota publiska informācija par šo faktu, aicinot NVO sektoru sniegt savus ēnu ziņojumus Komitejai nepastarpināti.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pielikuma 11. lapaspusē ietvertās pirmās tabulas (Pieteikumu un lietu skaits par pagaidu aizsardzību pret vardarbību) svītrošanu, ņemot vērā, ka tajā norādītie dati nav saskanīgi ar tabulā "Pieteikumi par pagaidu aizsardzību pret vardarbību" norādītajiem datiem un dublējas ar 12. lapaspusē ietvertajās tabulās (Pieteikumi par pagaidu aizsardzības pret vardarbību līdzekļu aizstāšanu, Pieteikumi par pagaidu aizsardzības pret vardarbību līdzekļu atcelšanu)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pielikuma aktuālās redakcijas dzēsta tabula "Pieteikumu un lietu skaits par pagaidu aizsardzību pret vardarbību".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16:53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53. punktu, jo tajā kļūdaini norādīta atsauce uz Administratīvās atbildības likuma 12. pantu. Maznozīmīga miesas bojājuma nodarīšana ir paredzēta Administratīvo sodu likuma par pārkāpumiem pārvaldes, sabiedriskās kārtības un valsts valodas lietošanas jomā 12. pantā. Attiecīgi precizējama atsauce uz piemērojamo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52.rindkopa, mainot atsauci no Administratīvās atbildības likuma uz Administratīvo sodu likuma par pārkāpumiem pārvaldes, sabiedriskās kārtības un valsts valodas lietošanas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DAUDZBĒRNU ĢIMEŅU APVIENĪBA"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Ignorēts fakts, ka 17% gadījumu pēc bērna dzimšanas sievietēm, kuras līdz bērna 1,5 gada vecumam nestrādā, nav iespēja gūt nekādus personīgus ienākumus un sociālās garantijas (ne GMI, ne BKP). Šīs situācijas ir gadījumos, kad bērnu tēvi ir Vecāku pabalsta saņēmēji un automātiski arī Bērnu kopšanas pabalsta saņēmēji, jo likums "Par maternitātes un slimības apdrošināšanu" un Valsts sociālo pabalstu likums liedz šos pabalstus atsaistīt un katram vecākam saņemt savu pabalstu, tādējādi sievietes ir pakļautas finansiālajai atkarībai no bērna tēva un zaudē sociālās garantijas, kādas likumdevējs bija paredzējis minimālā apmērā bērna vecākam, kurš bērna kopšanas periodā nevar strādāt un gūt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statistikas datiem ne tikai par noslēgtajām partnerībām, bet arī par izbeigtajām partnerībām pirmā gada laikā, kopš darbojas Partnerības 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127.rindkopa papildināta ar datiem par izbeigtajām partnerībām. Pievēršoties iebilduma daļai par 117.rindkopu, sniegtā informācija ir izvērtēta, taču nav ietverta informatīvajā ziņojumā. Atbilstoši kompetento iestāžu vērtējumam valsts sociālās aizsardzības sistēma ir veidota, lai nodrošinātu līdzsvarotu atbalstu visām ģimenēm kopumā, nevis pielāgotu regulējumu atsevišķiem ģimeņu izvēlētiem ienākumu organizēšanas modeļiem. Apstāklis, ka daļa ģimeņu finansiālu apsvērumu dēļ izvēlas pabalstus pieprasīt strādājošajam bērna tēvam, pats par sevi nav uzskatāms par pamatu sistēmas pārskatīšanai, īpaši, ja šādas izmaiņas var pasliktināt sociālās aizsardzības līmeni citām ģimenēm un ilgtermiņā negatīvi ietekmēt dzimumu līdztiesību. Turpinot par sociālajām garantijām, kompetentās iestādes norāda, ka spēkā esošais regulējums paredz iespēju veikt brīvprātīgās valsts sociālās apdrošināšanas iemaksas pensiju apdrošināšanai personai, kura nav obligāti sociāli apdrošināta. Tādējādi iespējams nodrošināt apdrošināšanas stāža uzkrāšanu un nākotnes pensijas tiesību saglabāšanu arī gadījumos, kad bērna māte faktiski kopj bērnu, bet pabalstus saņem bērna tēvs. Līdz ar to valsts ir paredzējusi mehānismus abu vecāku sociālajai aizsardzībai. Pievēršoties priekšlikumam atspoguļot informāciju par vecāku pabalstu un bērna kopšanas pabalstu nodalīšanas jautājumiem, kompetentās iestādes norāda, ka, šāda pieeja varētu būtiski samazināt to sieviešu sociālās apdrošināšanas iemaksu apmēru, kuras bērna kopšanas laikā nestrādā, negatīvi ietekmējot viņu sociālās garantijas un nākotnes pensijas apmēru, kā rezultātā varētu pieaugt sieviešu sociālās atstumtības un nabadzības risks vecumdienās, tādējādi pasliktinot, nevis uzlabojot sieviešu sociālās aizsardzības līmeni. Turklāt šāda regulējuma rezultātā Latvija faktiski kļūtu par vienīgo valsti Eiropā, kurā abiem vecākiem vienlaikus būtu pieejams apmaksāts bērna kopšanas periods, turklāt vecākam, kurš faktiski kopj bērnu, piešķirtais valsts atbalsts būtu mazāks nekā strādājošajam vecākam. Šāds rezultāts nebūtu savienojams ar sociālās aizsardzības sistēmas mērķiem un varētu radīt nevēlamas sekas gan darba tirgū, gan dzimumu līdztiesības jomā. Turpinot par sociālās palīdzības nodrošinājumu, atbilstoši kompetento iestāžu skaidrojumam norādām, ka gadījumā, ja mājsaimniecības ienākumi ir zemāki par normatīvajā regulējumā noteiktajiem minimālajiem sliekšņiem, mājsaimniecībai vai atsevišķi dzīvojošai personai var tikt piešķirti sociālās palīdzības pabalsti, tai skaitā GMI. Vēršam uzmanību, ka, ņemot vērā ANO ziņojumu izskatīšanas procesu, ikvienai NVO ir tiesības pirms Latvijas ziņojuma izskatīšanas iesniegt savu ēnu/alternatīvo ziņojumu un skatījumu.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(Sieviešu sadarbības tīkls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111. punktā norādīta sekojoša informācija':"...Kopš 2022. gada Latvija nodrošina valsts apmaksātu krūšu rekonstrukciju sievietēm pēc ļaundabīga audzēja operācijas.".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114. punktā norādīts: "Tāpat iestādes ir veicinājušas sieviešu higiēnas preču brīvu pieejamību meitenēm skolās. MK noteikumos “Higiēnas prasības izglītības iestādēm, kas īsteno vispārējās pamatizglītības, vispārējās vidējās izglītības, profesionālās pamatizglītības, arodizglītības vai profesionālās vidējās izglītības programmas” šobrīd noteikts, ka izglītības iestādēm ir jānodrošina arī menstruālās higiēnas preces, bet izglītības iestāde pati nosaka, kur tās var atrasties. Lai arī šie noteikumi neparedz valsts budžeta finansējuma piešķiršanu, vairākas pašvaldības izglītības iestādēs jau šobrīd ir nodrošinātas brīvi pieejamas higiēnas preces, kas tiek izvietotas meiteņu tualetēs."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116.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sadaļu KONVENCIJAS 4.-5. un 7.-8.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minētajiem punktiem lūdzam nodrošināt precizējumu, kas atspoguļo patieso notikumu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111. punktā "Pēc vairāk nekā 13000 Latvijas Republikas pilsoņu balsu savākšanas Pilsoniskās iesaistes platformā "Mana balss" par iniciatīvu "Par valsts finansētām krūšu rekonstrukcijas operācijām" Latvijas Sieviešu nevalstisko organizāciju sadarbības tīkls, iesaistot krūts vēža pacienšu organizācijas  - Latvijas sieviešu volontieru biedrību „VITA”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nodibinājumu "Rozā vilciena labdarības fonds" ar mediju atbalstu īstenoja 10 mēnešus garu kampaņu, lai nodrošinātu 850 000 eiro krūts rekonstrukcijai valsts budžetā 2022. gadā. Pēc līdzekļu nodrošināšanas Veselības ministrijas budžetā, pēc biedrības iniciatīvas tika izveidota Krūts veselības darba grupa, kas uzrauga un veicina krūts vēža prevenciju un valsts programmas ieviešanu. Kopš pirmā gada, kad atbalstu saņēma 318 krūts vēža pacientes, pakalpojumu un piedāvāto risinājumu loks ir paplašinājies, nodrošinot sievietēm iespējas atgriezties darba un ģimenes dzīvē. Kopā ar Veselības ministriju un darba grupu tika  sagatavoti gan inovāciju sprinta projekts, gan citas  krūts vēža prevencijas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114. punktā "Pēc Latvijas Sieviešu nevalstisko organizāciju sadarbības tīkla iniciatīvas “Bezmaksas higiēnas preces meitenēm un sievietēm izglītības iestādēs” līdzdalības platformā "Mana Balss", kas 11 dienu laikā savāca 10 tūkstošus pilsoņu parakstu, biedrība veica kopumā divus gadus garu informatīvu kampaņu, pētījumu skolās, iesaistīja menstruālās higiēnas preču ražotājus O.B. un Libresse, lai nodrošinātu pilotprojektu menstruālās higiēnas preču ieviešanai sadarbībā ar divām Latvijas pašvaldībām - Aizkraukles novadu un Balvu novadu visās abu novadu skolās, vadīja pilotprojektu, apkopoja rezultātus un veica finanšu aprēķinu, sadarbībā ar Labklājības ministriju virzīja politikas iniciatīvu, kas rezultējās grozījumos MK noteikumos “Higiēnas prasības izglītības iestādēm, kas īsteno vispārējās pamatizglītības, vispārējās vidējās izglītības, profesionālās pamatizglītības, arodizglītības vai profesionālās vidējās izglītības programmas”, nosakot prasību par menstruālās higiēnas preču pieejamību skolās. Izglītības iestāžu un pašvaldību prakse atšķiras, nodrošinot menstruālās higiēnas preču brīvpieeju vai arī nosakot atbildīgo personu. Pēc šo grozījumu veikšanas, Latvijas Sieviešu nevalstisko organizāciju sadarbības tīkls uzrunāja Latvijas augstākās izglītības iestāžu vadību un studentu pašpārvaldes. Pēc Latvijas Universitātes Studentu padomes pilotprojekta visās fakultātēs un struktūrvienībās reģionos nodrošināta brīvpieeja vismaz vienā sieviešu tualetē katrā ēkā. 2025. gadā Rīgas Stradiņa universitāte uzsāka menstruālās higiēnas preču pieejamības nodrošināšanu un 2027. gadā Rīgas Tehniskās universitātes Studentu parlaments plāno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116. punkta noslēguma daļu izteikt šādi, papildināt tekstu: Laba prakse izveidota Ventspils valstspilsētas pašvaldībā, kur romu mediatore Malda Avramenko sadarbībā ar biedrību "Dia+Logs" nodrošina romu kopienas ar HIV/AIDS, B un C hepatītu inficēto pārstāvju, to skaitā sieviešu un bērnu nogādāšanu uz Latvijas Infektoloģijas centru atbilstoši ārstu rekomendācijām, lai nodotu analīzes, saņemtu medikamentus un konsultācijas, savukārt romu mediatore seko medikamentu lietošanai uhn citu ārstu norādījumu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sadaļu KONVENCIJAS 4.-5. un 7.-8. PANTS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 pantu: Sieviešu līdzdalības nodrošināšanai pārskata periodā izveidojušās trīs būtiskas organizācijas - biedrība "Sievietes transportā", kas veicina sieviešu karjeru transporta nozarē, Romu sieviešu biedrība "Sāre khetene" ar mērķi veicināt romu sieviešu līdzdalību sabiedrības dzīvē un celt romu sieviešu un meiteņu kapacitāti, atbalstīt profesionālajā izaugsmē un karjeras veidošanā no bērnu vecuma līdz seniorēm, biedrība "Sievietes medicīnā", ar mērķi risināt starpdisciplināros medicīnas un citu nozaru politikas jautājumus un attīstīt mentoringu sieviešu karjeru veicināšanai. Būtiskākie pasākumi -  mācību cikls 2024. gadā "Sievietes medicīnā: izaugsmes rīki”, iesaistot ārstes, pētnieces, veselības aprūpes sistēmas darbinieces un medicīnas uzņēmējdarbībā iesaistītās sievietes, kā arī zināšanu pārnese no Lielbritānijas un ASV, iesaiste politiku veidošanā sieviešu veselības, profilakses, reproduktīvās veselības, menstruālās higiēnas un sieviešu līderības medicīnā jautājumos. Īpaši izceļams Romu sieviešu biedrības “Sāre khetene” ieguldījums romu sieviešu interešu pārstāvībā, līdzdalības veicināšanā un intersekcionālās diskriminācijas mazināšanā. Biedrība stiprina romu sieviešu pašapziņu, līderības prasmes un redzamību, veicina romu sieviešu iesaisti vietējās kopienās un lēmumu pieņemšanas procesos, kā arī aktualizē piekļuvi izglītībai, veselības aprūpei, nodarbinātībai, sociālajam atbalstam un tiesību aizsardzības mehānismiem. Īpaši nozīmīgs ir biedrības darbs ar romu sieviešu un ģimeņu izglītošanu, nodrošinot lasīt un rakstīt prasmes, digitālās prasmes, romu bērniem un vecākiem latviešu valodas un lietišķās etiķetes zināšanas, kā arī iespējas jauniešiem pēc skolas pildīt mājasdarbus un lietderīgi pavadīt brīvo laiku. Biedrība "Sievietes transportā" dod būtisku ieguldījumu sieviešu tiesību un vienlīdzīgu iespēju veicināšanā transporta nozarē. Biedrība strādā, lai mazinātu dzimumu stereotipus par transportu kā vīriešu dominētu nozari, veicinātu sieviešu karjeras izvēli un profesionālo izaugsmi transporta sektorā, uzlabotu sieviešu pārstāvniecību transporta uzņēmumos un lēmumu pieņemšanā, kā arī aktualizētu drošu, ergonomisku, iekļaujošu un ģimenei draudzīgu darba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ziņojumu ar sekojošo: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tīkla un Romu sieviešu biedrības “Sāre khetene” ieguldījums romu sieviešu un meiteņu līdzdalības, izglītības, informēšanas un intersekcionālās diskriminācijas mazināšanas jomā, tai skaitā "Plāna romu stratēģiskā ietvara pasākumu īstenošanai 2024.–2027. gadam ietvaros" izpildē, kur Sieviešu sadarbības tīkls atbild par pasākumu “Atbalsts romu sieviešu informēšanai, izglītībai, dalībai mācībās Latvijā un Eiropas Savienībā” aptver aktivitātes, kas veicināja romu sieviešu un meiteņu pilsonisko līdzdalību, jaunu prasmju apguvi, finanšu un digitālo pratību, piekļuvi informācijai par sociālajiem pakalpojumiem, veselību, izglītību, stipendijām, karjeras iespējām un tiesību aizsardzību. Īpaši nozīmīgi bijuši projekti “Ringla: iespēkojot romu meitenes Latvijā”, ar ASV vēstniecības Latvijā atbalstu,  “Romu ģimenes – mācamies un augam kopā” ar Sabiedrības integrācijas fonda finansējumu, kā arī romu sieviešu iesaiste SST projektā “Atbalsts sievietēm diskriminācijas mazināšanai” ar ES Kohēzijas fonda līdzekļiem. Abu biedrību un  stiprināja romu sieviešu redzamību, pašapziņu, līderību un pārstāvniecību sabiedriskajos procesos, tostarp konsultācijās ar LM, VM, KM, Saeimu, Eiropas Padomi un Eiropas Komisiju. Romu sievietes piedalījās Sarunu festivālā “Lampa”, Starptautiskās meiteņu dienas sagatavošanā, starptautiskā mobilitātēs Vācijā, Igaunijā un Turcijā. Sadarbībā ar Radošo apvienību jauniešiem “Trepes”, Izglītības iniciatīvu centru, Romu kultūras centru un citām organizācijām tika veidoti romu iniciatīvu atbalsta projekti un starpkultūru dialoga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sniegtajai informācijai, ciktāl iespējams, papildināta informatīvā ziņojuma 33., 43., 111., 114., un 116.rindkopa.  Piedāvātās redakcijas teksts tika saīsināts, jo ziņojumiem piemērojams vārdu limita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(CVK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25.punktā minēts, ka 2022. gadā no Saeimas vēlēšanās pieteiktajiem kandidātiem 30% bija sievietes. Atbilstoši Centrālās vēlēšanu komisijas tīmekļvietnē (https://sv2022.cvk.lv/pub/kandidatu-saraksti) pieejamajai infomācijai 36,4% bija sievietes. Lūdzam izvērtēt, vai nav precizējama informatīvajā ziņojumā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25.rindkopa, norādot, ka 2022. gadā no Saeimas vēlēšanās pieteiktajiem kandidātiem 36,4% bija sievietes.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(CVK - 09.06.2026.)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25. punktā norādīts, ka 2025. gada pašvaldību vēlēšanās 38,7% no kandidātiem bija sievietes (2021. gadā 38,4%). Vēršam uzmanību, ka dati, kas atspoguļoti par 2021. gadu ir kārtējo pašvaldības domes vēlēšanu dati, taču papildus 2020.gadā notika ārkārtas pašvaldības domes vēlēšanas Rīgā un 2021. gadā - Rēzeknes novadā un Varakļānu novadā. Līdz ar to 2021. gada kārtējo pašvaldības domes vēlēšanu dati neaptver visu Latviju un nav savstarpēji salīdzināmi ar 2025.gada datiem. Aicinām izvērtēt, vai nav nepieciešams attiecīgi precizēt informatīvā ziņojuma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25.rindkopas dzēsts salīdzinājums ar 2021.gada pašvaldību vēlēšanu statistikas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47. punktā norādīto informāciju par sociālās rehabilitācijas kursa vardarbīgas uzvedības mazināšanai apgūšanas termiņu un ar tā apgūšanu saistīto izmaksu segšanas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aprīlī stājās spēkā grozījumi Civilprocesa likumā, kas paredz, ka atbildētājam ir pienākums </w:t>
            </w:r>
            <w:r w:rsidR="00000000" w:rsidRPr="00000000" w:rsidDel="00000000">
              <w:rPr>
                <w:u w:val="single"/>
                <w:rtl w:val="0"/>
              </w:rPr>
              <w:t xml:space="preserve">sešu mēnešu laikā (iepriekš - gada laikā)</w:t>
            </w:r>
            <w:r w:rsidR="00000000" w:rsidRPr="00000000" w:rsidDel="00000000">
              <w:rPr>
                <w:rtl w:val="0"/>
              </w:rPr>
              <w:t xml:space="preserve"> no lēmuma saņemšanas dienas apgūt sociālās rehabilitācijas kursu vardarbīgas uzvedības mazināšanai, kā arī ir mainīti ar kursa apgūšanu saistītie izmaksu segšanas nosacījumi (Skat. Civilprocesa likuma 250.</w:t>
            </w:r>
            <w:r w:rsidR="00000000" w:rsidRPr="00000000" w:rsidDel="00000000">
              <w:rPr>
                <w:vertAlign w:val="superscript"/>
                <w:rtl w:val="0"/>
              </w:rPr>
              <w:t xml:space="preserve">59</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daļas 2. un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Pievēršoties normatīvajam regulējumam, 2021. gadā tika grozīts CPL, papildinot to ar jaunu pagaidu aizsardzības </w:t>
            </w:r>
            <w:r w:rsidR="00000000" w:rsidRPr="00000000" w:rsidDel="00000000">
              <w:rPr>
                <w:u w:val="single"/>
                <w:rtl w:val="0"/>
              </w:rPr>
              <w:t xml:space="preserve">pret vardarbību </w:t>
            </w:r>
            <w:r w:rsidR="00000000" w:rsidRPr="00000000" w:rsidDel="00000000">
              <w:rPr>
                <w:rtl w:val="0"/>
              </w:rPr>
              <w:t xml:space="preserve">līdzekli – pienākumu vardarbīgajai personai apgūt sociālās rehabilitācijas kursu vardarbīgas uzvedības mazināšanai. Šo līdzekli piemēro no 2021. gada jūlija. Tas ir pirmais pagaidu aizsardzības pret vardarbību līdzeklis, kura ietekme uz vardarbīgās personas uzvedību ir preventīva. Tas nav aizstājams ar citu līdzekli, novēršot turpmāku vardarbības risku un izskaužot vardarbību ilgtermiņā. Tāpat paredzēta tiesas rīcības brīvība šī līdzekļa noteikšanā, jo, izskatot prasību, tiesa to var piemērot arī pēc savas iniciatīvas. Vardarbīgajai personai ir pienākums </w:t>
            </w:r>
            <w:r w:rsidR="00000000" w:rsidRPr="00000000" w:rsidDel="00000000">
              <w:rPr>
                <w:u w:val="single"/>
                <w:rtl w:val="0"/>
              </w:rPr>
              <w:t xml:space="preserve">sešu mēnešu laikā (līdz 2025. gada martam - gada laikā)</w:t>
            </w:r>
            <w:r w:rsidR="00000000" w:rsidRPr="00000000" w:rsidDel="00000000">
              <w:rPr>
                <w:rtl w:val="0"/>
              </w:rPr>
              <w:t xml:space="preserve"> no tiesas lēmuma saņemšanas dienas apgūt kursu vardarbīgas uzvedības mazināšanai. Par šī pienākuma nepildīšanu paredzēta personas kriminālatbildība. Vienlaikus vardarbīgajai personai ir pienākums ar līdzmaksājumu daļēji segt sociālās rehabilitācijas kursa vardarbīgas uzvedības mazināšanai izmaksas. Līdzmaksājuma apjoms atkarīgs no tā, cik ilgā laikā pēc tiesas lēmuma saņemšanas vardarbīgā persona uzsāk kursa apgūšanu: ja kursa apguvi uzsāk </w:t>
            </w:r>
            <w:r w:rsidR="00000000" w:rsidRPr="00000000" w:rsidDel="00000000">
              <w:rPr>
                <w:u w:val="single"/>
                <w:rtl w:val="0"/>
              </w:rPr>
              <w:t xml:space="preserve">3 mēnešu laikā (līdz 2025. gada martam - 6 mēnešu laikā)</w:t>
            </w:r>
            <w:r w:rsidR="00000000" w:rsidRPr="00000000" w:rsidDel="00000000">
              <w:rPr>
                <w:rtl w:val="0"/>
              </w:rPr>
              <w:t xml:space="preserve">, tad līdzmaksājums ir 10%; ja vardarbīgajai personai konkrētajā brīdī nav finanšu resursu, tas nevar būt par šķērsli uzsākt kursa apgūšanu. Apgūstot sociālās rehabilitācijas kursu pēc </w:t>
            </w:r>
            <w:r w:rsidR="00000000" w:rsidRPr="00000000" w:rsidDel="00000000">
              <w:rPr>
                <w:u w:val="single"/>
                <w:rtl w:val="0"/>
              </w:rPr>
              <w:t xml:space="preserve">3 mēnešiem (līdz 2025. gada martam - 6 mēnešiem)</w:t>
            </w:r>
            <w:r w:rsidR="00000000" w:rsidRPr="00000000" w:rsidDel="00000000">
              <w:rPr>
                <w:rtl w:val="0"/>
              </w:rPr>
              <w:t xml:space="preserve"> no tiesas lēmuma saņemšanas, vardarbību veikušai personai ir jāsedz izmaksas 100% apmērā. </w:t>
            </w:r>
            <w:r w:rsidR="00000000" w:rsidRPr="00000000" w:rsidDel="00000000">
              <w:rPr>
                <w:u w:val="single"/>
                <w:rtl w:val="0"/>
              </w:rPr>
              <w:t xml:space="preserve">Papildus no 2025. gada aprīļa noteikts pienākums segt izmaksas pilnā apmērā, ja pakalpojuma saņemšanas laikā vardarbīga persona bez attaisnojoša iemesla (kuru par tādu atzinis vardarbīgas uzvedības mazināšanas pakalpojuma sniedzējs) kavē vairāk nekā divas individuālās konsultācijas vai grupu nodarbības. Tādējādi veicinot disciplīnas ievērošanu pakalpojuma apguves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47.rindkopa.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precizēt informatīvā ziņojuma 128. punktā norādīto informāciju par laulībām pirms 18 gadu vecuma sasniegšanas, papildus norādot, ka laulībā var stāties tikai persona, kas sasniegusi sešpadsmit gadu vecumu, ja laulība tiek noslēgta ar pilngadīgu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33. pants nosaka, ka izņēmuma gadījumā ar vecāku vai aizbildņu piekrišanu var doties laulībā persona, kas sasniegusi sešpadsmit gadu vecumu, ja laulība tiek noslēgta ar pilngadīgu personu. Ja vecāki vai aizbildņi bez svarīga iemesla liedzas dot atļauju, tad atļauju var dot bāriņtiesa pēc tās vietas, kur dzīvo vecāki vai iecelti aizbildņi.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128.rindkopa ar informāciju par to, ka arī ar likumiskā pārstāvja (vecāka vai aizbildņa) vai bāriņtiesas atļauju tikai persona sasniegusi 16 gadu vecumu var stāties laulībā.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informātīvā ziņojuma projekta 26.lpp sniegto informāciju par likumprojektu "Cilvēku tirdzniecības upuru atpazīšanas un atbalsta likums" (25-TA-3102). Vēršam uzmanību, ka ikumprojekts "Cilvēku tirdzniecības upuru atpazīšanas un atbalsta likums" ir saskaņots Vienotajā tiesību aktu projektu izstrādes un saskaņošanas portālā un ir gatavs iesniegšanai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26.lpp (aktuālās redakcijas 73.rindkopā) precizēts, ka ir izstrādāts jauns likumprojekts “Cilvēku tirdzniecības upuru atpazīšanas un atbalsta likums”, kurš ir iesniegts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precizēt 13. punktu un izteikt to šādā redakcijā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nogalē Tieslietu ministrija un Tiesu administrācija sadarbībā ar prokuratūru, Augstāko tiesu un Iekšlietu ministrija uzsāka īstenot projektu “Tieslietu akadēmija” vienota mācību centra izveidei, bet 2025. gadā darbību uzsāka jauna iestāde – Tieslietu akadēmija, kas ir vienots mācību centrs tiesnešiem, prokuroriem, tiesu darbiniekiem un prokuroru palīgiem, kā arī izmeklētājiem jautājumos, kas būtiski efektīvai tiesas spriešanai. Tiesu administrācija nodrošina mācību pasākumus un ir izstrādātas mācību programmas, iesaistot to izveidē tiesnešus un prokurorus, tiesnešu pašpārvaldes institūcijas: Tiesnešu kvalifikācijas kolēģiju, Tiesnešu ētikas komisiju un Tiesnešu disciplinārkolēģiju, kā arī Eiropas tiesību akadēmiju. Ik gadu arī vairākām NVO un tieslietu nozares ekspertiem tiek lūgts sniegt priekšlikumus turpmāk nepieciešamām mācībām. Piemēram, organizējot mācības par vardarbību pret sievietēm, Tiesu administrācija uzrunā organizācijas, kas sniedz atbalstu vardarbībā cietušajiem un saskaras ar cietušajiem par viņu grūtībām: krīžu un konsultāciju centru “Skalbes”, nodibinājumu “Centrs Dardedze” un biedrību “Centrs Marta”. Mācību programmas paredz nodrošināt juridisko profesiju pārstāvjiem mācības, kas nepieciešamas darbā ar vardarbības upuriem un vardarbības veicējiem, raugoties no vardarbības upuru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lūdzam precizēt 26. punkta pirmo un otro teikumu izsakot to šādā redakcijā</w:t>
            </w:r>
            <w:r w:rsidR="00000000" w:rsidRPr="00000000" w:rsidDel="00000000">
              <w:rPr>
                <w:rtl w:val="0"/>
              </w:rPr>
              <w:t xml:space="preserve">: “2022. gadā Latvijā bija 406 tiesneses-sievietes un 92 tiesneši-vīrieši. 2024. gadā 79,7% tiesnešu bija sievietes, 83,6% notāru bija sievietes un 83,6% prokuroru bija sievietes.”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informācija ir tikai par pirmās un otrās instances tiesnešiem. Papildus ierosinām saskaņot prokuroru sieviešu īpatsvaru ar 2. pielikumā norādīto procentuālo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izteikt 124. punktu šādā redakcijā</w:t>
            </w:r>
            <w:r w:rsidR="00000000" w:rsidRPr="00000000" w:rsidDel="00000000">
              <w:rPr>
                <w:rtl w:val="0"/>
              </w:rPr>
              <w:t xml:space="preserve">: “Kopš 2024. gada Juridiskās palīdzības administrācija pievienota Tiesu administrācijai, lai nodrošinātu valsts pārvaldes institucionālās sistēmas turpmāku pilnveidošanu un darbības efektivitāti, tai skaitā radot plašākas attīstības iespējas juridiskās palīdzības un valsts kompensācijas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13.rindkopa atbilstoši piedāvātajai redakcijai, izņemot saīsinājumu dzēšanu, jo kārtējā ziņojumā ir svarīgi ievērot rakstzīmju limitu. Precizēts sieviešu prokuroru īpatsvars informatīvā ziņojuma 26.punktā. Precizēta informatīvā ziņojuma 124.rindkopa.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68. punktu, jo tajā kļūdaini norādīts Latvijā 2025. gadā identificēto cilvēku tirdzniecības upuru skaits, kas ir nevis 24, bet 22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68.rindkopa, norādot, ka Latvijā 2025. gadā ir identificēti kopumā 22 cilvēku tirdzniecības upuri.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fondu (turpmāk – ES fondi) ieguldījumu izsekojamību, lūdzam papildināt ziņojuma projektu ar informāciju par tajā minētajiem ES fondu projektiem, norādot attiecīgā projekta numuru, proti, ziņojuma 7., 13., 16., 33., 34., 43., 59., 62., 65., 85., 101., 116. un 126.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Zemsvītras atsaucēs 13., 16., 40., 43., 69., 65., 85., 101., 116., un 126.rindkopā pievienoti projektu numuri atbilstoši Finanšu ministrijas sniegtajai informācijai. Vienlaikus atzīmējam, ka ierobežotā vārdu skaita dēļ, iespējams, tie netiks ietverti ziņojuma angļu valodas tulkojumā.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informāciju, kas atkārtojas vairākās vietās, jo īpaši par romiem (33., 34., 120., 125 u.c.), kā arī izvērtēt iekļauto informāciju, vai visi pasākumi attiecināmi uz romu kopienu un sieviešu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minētajās rindkopās norādītā informācija, taču tā atstāta informatīvajā ziņojumā, jo atspoguļo atsevišķus Konvencijas dažādos piemērošanas aspektus vai attiecināma uz dažādiem Konvencijas pantiem.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visur nepieciešama ļoti detalizēta skaitliska informācija un vai tā būtiska, īpaši ja nav dots % skaitlis vai skaidrojums par pasākuma apmēru. Aicinām izvērtēt un neminēt pārāk sīku informāciju, kas apgrūtina teksta uztveri un ārpus Latvijas nerada izpratni par pasākuma nozīmi vai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Statistiskā informācija ir būtiska, lai sniegtu precīzu informāciju par kopējo dzimumu līdztiesības un diskriminācijas izskaušanas stāvokli Latvijas Republikā. Ja nav pieejami dati procentu veidā, pēc izvērtējuma nolemts atstāt skaitlisku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nepieciešams atkārtot frāzes rindkopās, ja ir skaidra tēma, ko aplūko konkrētais punkts. Aicinām rūpīgi sekot līdzi tulkojumam angļu valodā, lai tas neradītu pārpratumus, jo šajā ziņojumā ir daudz informācijas nacionālā līmenī, kas, iespējams, visa var nebūt uztverama citu kultūru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izvērtējums atbilstoši priekšlikumam, atsevišķās rindkopās atbilstoši Izglītības un zinātnes sniegtajai informācijai teksts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109.rindkopā informāciju par veselības nozares finansējuma apmēru (% no IKP).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informē, ka veselības aprūpe ir nemainīga valdības prioritāte. Lai nodrošinātu visaptverošu veselības aprūpi, t. sk. sievietēm un meitenēm, valsts budžeta finansējuma apmērs veselības jomas pasākumu finansēšanai ir pieaudzis: kopējais veselības nozares budžets, noapaļojot, 2020. gadā bija 1,33 miljardi EUR (4,6% no IKP); 2021. gadā 1,95 miljardi EUR (6,1% no IKP). Ņemot vērā kopējo fiskālo telpu un resoriem atbalstīto pasākumu apjomu, 2022. gadā kopējais veselības nozares budžets bija 2,01miljardi EUR (5,6%no IKP); 2023. gadā, samazinoties papildu finansējumam saistībā ar Covid‑19, kopējais veselības nozares budžets gada noslēgumā bija 1,89 miljardi EUR (4,8% no IKP); 2024. gadā 1,98 miljardi EUR (4,9% no IKP); 2025. gadā 2,04miljardi EUR (4,8% no IKP).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109.rindkopa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informāciju 112.rindkopā: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apmaksāta dzemdību palīdzība tiek sniegta ārstniecības iestādēs (17 slimnīcās pa visu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Mācības ļoti cieši sasaistās ar 2026. gadā plānoto pilotprojekta uzsākšanu, kura mērķis ir pārliecināties par klīnisko pieeju pēcdzemdību aprūpē, katrai sievietei nodrošinot 3 vecmātes mājas vizītes, kuru laikā tiek vērtēts mātes un bērna veselības stāvoklis, sniegts atbalsts zīdīšanā, aprūpes prasmēs un emocionālajā adaptācijā, novērtēta situācija un apstākļi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Ik gadu to dzemdību skaits, kas reģistrētas nepilngadīgām meitenēm, sarūk (2020. gadā 105 dzemdības; 2025. gadā 85 dzemdības).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apmaksāta dzemdību palīdzība tiek sniegta ārstniecības iestādēs (</w:t>
            </w:r>
            <w:r w:rsidR="00000000" w:rsidRPr="00000000" w:rsidDel="00000000">
              <w:rPr>
                <w:b w:val="1"/>
                <w:rtl w:val="0"/>
              </w:rPr>
              <w:t xml:space="preserve">17 slimnīcās visā Latvijas teritorijā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Profesionālās kompetences pilnveides</w:t>
            </w:r>
            <w:r w:rsidR="00000000" w:rsidRPr="00000000" w:rsidDel="00000000">
              <w:rPr>
                <w:rtl w:val="0"/>
              </w:rPr>
              <w:t xml:space="preserve"> mācības ļoti cieši sasaistās ar 2026. gadā plānoto pilotprojekta uzsākšanu, kura mērķis ir pārliecināties par klīnisko pieeju pēcdzemdību aprūpē, katrai sievietei nodrošinot 3 vecmātes mājas vizītes, kuru laikā tiek vērtēts mātes un bērna veselības stāvoklis, sniegts atbalsts zīdīšanā, aprūpes prasmēs un emocionālajā adaptācijā, novērtēta situācija un apstākļi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3)Ik gadu to dzemdību skaits, kas reģistrētas nepilngadīgām meitenēm, sarūk (2020. gadā 105 dzemdības; </w:t>
            </w:r>
            <w:r w:rsidR="00000000" w:rsidRPr="00000000" w:rsidDel="00000000">
              <w:rPr>
                <w:b w:val="1"/>
                <w:rtl w:val="0"/>
              </w:rPr>
              <w:t xml:space="preserve">2024. gadā </w:t>
            </w:r>
            <w:r w:rsidR="00000000" w:rsidRPr="00000000" w:rsidDel="00000000">
              <w:rPr>
                <w:rtl w:val="0"/>
              </w:rPr>
              <w:t xml:space="preserve">85 dzemdības).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112.rindkopa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116.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stiprināt izglītošanu un profilaksi seksuālās un reproduktīvās veselības jomā, 2023. gadā pieņemts HIV infekcijas, seksuālās transmisijas infekciju, tuberkulozes, B un C hepatīta izplatības ierobežošanas rīcības plāns 2023.-2027. gadam, kas paredz pasākumus grūtnieču izpratnes par nepieciešamību sadarboties ar speciālistiem, lai nodrošinātu savlaicīgu diagnostiku, ārstēšanu, uzraudzību un profilakses pasākumus, veicināšanai.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stiprināt izglītošanu un profilaksi seksuālās un reproduktīvās veselības jomā, 2023. gadā pieņemts HIV infekcijas, seksuālās transmisijas infekciju, tuberkulozes, B un C hepatīta izplatības ierobežošanas rīcības plāns 2023.-2027. gadam, kas paredz pasākumus s</w:t>
            </w:r>
            <w:r w:rsidR="00000000" w:rsidRPr="00000000" w:rsidDel="00000000">
              <w:rPr>
                <w:b w:val="1"/>
                <w:rtl w:val="0"/>
              </w:rPr>
              <w:t xml:space="preserve">ievietēm reproduktīvā vecumā, tostarp, grūtniecēm, par viņām pieejamiem HIV un sifilisa ierobežošanas pasākumiem, vienlaikus</w:t>
            </w:r>
            <w:r w:rsidR="00000000" w:rsidRPr="00000000" w:rsidDel="00000000">
              <w:rPr>
                <w:rtl w:val="0"/>
              </w:rPr>
              <w:t xml:space="preserve"> izpratnes </w:t>
            </w:r>
            <w:r w:rsidR="00000000" w:rsidRPr="00000000" w:rsidDel="00000000">
              <w:rPr>
                <w:b w:val="1"/>
                <w:rtl w:val="0"/>
              </w:rPr>
              <w:t xml:space="preserve">veicināšanai </w:t>
            </w:r>
            <w:r w:rsidR="00000000" w:rsidRPr="00000000" w:rsidDel="00000000">
              <w:rPr>
                <w:rtl w:val="0"/>
              </w:rPr>
              <w:t xml:space="preserve">par nepieciešamību sadarboties ar speciālistiem, lai nodrošinātu savlaicīgu </w:t>
            </w:r>
            <w:r w:rsidR="00000000" w:rsidRPr="00000000" w:rsidDel="00000000">
              <w:rPr>
                <w:b w:val="1"/>
                <w:rtl w:val="0"/>
              </w:rPr>
              <w:t xml:space="preserve">infekciju</w:t>
            </w:r>
            <w:r w:rsidR="00000000" w:rsidRPr="00000000" w:rsidDel="00000000">
              <w:rPr>
                <w:rtl w:val="0"/>
              </w:rPr>
              <w:t xml:space="preserve"> diagnostiku, ārstēšanu, uzraudzību un </w:t>
            </w:r>
            <w:r w:rsidR="00000000" w:rsidRPr="00000000" w:rsidDel="00000000">
              <w:rPr>
                <w:b w:val="1"/>
                <w:rtl w:val="0"/>
              </w:rPr>
              <w:t xml:space="preserve">profilaksi.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116.rindkopa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 ziņojuma 50. paragrāfā tekstu saistībā ar KL 160. pantu lūdzam precizēt, norādot, ka maksimālais brīvības atņemšanas sods no 7 līdz 9 gadiem ir palielināts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160. panta pirmajā daļā (seksuāla vardarbība) palielināts maksimālais brīvības atņemšanas sods (no 7 līdz 9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50.rindkopa.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70. paragrāfu lietojot aktuālo  KL 154.2 panta pirmajā daļā ietverto cilvēku tirdzniecības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definē cilvēktirdzniecību kā ekspluatācijas nolūkā izdarītu personu savervēšanu, aizvešana, pārvadāšanu, nodošanu, slēpšanu, izmitināšanu vai saņemšanu, lietojot vardarbību vai draudus, vai viltu vai izmantojot personas atkarību no vainīgā vai tās ievainojamības vai bezpalīdzības stāvokli, vai arī dodot vai saņemto materiāla vai citāda rakstura labumus, lai panāktu tās piekrišanu tirdzniecībai, no kuras ir atkarīgs cietušais.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70.rindkopa.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71. paragrāfā  ietverto informāciju, jo tajā norādīts, ka attiecīgās Direktīvas prasības vēl tikai plānots pārņemt. Vienlaikus Tieslietu ministrija jau ir informējusi, ka Krimināllikumā veikti grozījumi, kas stājās spēkā 2026. gada 16. aprīlī, lai pārņemtu Eiropas Parlamenta un Padomes Direktīvu (ES) 2024/1712 un pastiprinātu tiesisko regulējumu cilvēku tirdzniecības novēršanai un apkarošanai. Grozījumu ietvaros papildināta KL 154.¹ panta otrās daļas dispozīcija, precizēta KL 154.² pantā ietvertā cilvēku tirdzniecības definīcija un paplašināts cilvēku ekspluatācijas veidu uzskaitījums, kā arī Krimināllikums papildināts ar jaunu 154.³ pantu, nosakot atbildību par cilvēku tirdzniecības upura apzinātu izmantošanu. Attiecīgi lūdzam atspoguļot aktuālo informāciju, ka attiecīgi grozījumi jau pieņemti un stājušies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71.rindkopa ar aktuālo informāciju par Krimināllikuma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(MARTA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 ir iepazinusies ar Latvijas Republikas astoto kārtējo ziņojumu par Apvienoto Nāciju Organizācijas 1979. gada Konvencijas par jebkuras sieviešu diskriminācijas izskaušanu (CEDAW) ieviešanu Latvijā 2020.–2025. gadā un atbalsta tā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ka ziņojums sniedz visaptverošu pārskatu par Latvijas progresu sieviešu tiesību, dzimumu līdztiesības, vardarbības pret sievietēm novēršanas un cilvēku tirdzniecības apkarošanas jomā, kā arī atspoguļo sadarbību starp valsts institūcijām un pilsonisko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pozitīvi vērtējam pārskata periodā īstenotās likumdošanas un politikas izmaiņas, kas būtiski stiprinājušas sieviešu un meiteņu tiesību aizsardzību Latvijā. Starp nozīmīgākajiem sasniegumiem izceļama Latvijas pievienošanās Eiropas Padomes Konvencijai par vardarbības pret sievietēm un vardarbības ģimenē novēršanu un apkarošanu (Stambulas konvencijai), Vardarbības pret sievietēm un vardarbības ģimenē novēršanas un apkarošanas plāna 2024.–2029. gadam izstrāde, seksuālās uzmākšanās regulējuma pilnveidošana, kā arī grozījumi Krimināllikumā, kas stiprinājuši aizsardzību pret emocionālo vardarbību, vajāšanu un citiem vardarbības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pozitīvi vērtējam ziņojumā atspoguļoto progresu cilvēku tirdzniecības apkarošanas jomā, tostarp valsts atbalsta mehānismu attīstību, speciālistu apmācības un sadarbību ar nevalstiskajām organizācijām. Īpaši novērtējam, ka ziņojumā ir atspoguļots biedrības "Centrs MARTA" ieguldījums cilvēku tirdzniecības novēršanas, cietušo atbalsta un prostitūcijas mazināšanas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atzīmēt, ka ziņojumā korekti ir atspoguļota arī biedrības "Centrs MARTA" nostāja attiecībā uz Prostitūcijas ierobežošanas likumprojektu. Mēs joprojām uzturam iepriekš pausto viedokli, ka līdz šim apspriestās likumprojekta redakcijas nav pietiekami efektīvas, lai sasniegtu deklarēto mērķi – mazināt prostitūciju, novērst ekspluatāciju un samazināt pieprasījumu pēc prostitūcijas. Mūsu ieskatā ilgtspējīgiem risinājumiem jābūt vērstiem uz prostitūcijā iesaistīto personu aizsardzību, pieejamiem izkļūšanas atbalsta pakalpojumiem, cilvēku tirdzniecības risku mazināšanu un pieprasījuma samazināšanu, nevis uz esošās pieejas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uzskatām, ka ziņojums objektīvi atspoguļo Latvijas progresu CEDAW saistību īstenošanā un būtiskās pārmaiņas sieviešu tiesību aizsardzības jomā. Vienlaikus ir svarīgi turpināt darbu pie vardarbības pret sievietēm izskaušanas, cilvēku tirdzniecības novēršanas, specializētu un anonīmu atbalsta pakalpojumu pieejamības nodrošināšanas, kā arī dzimumu līdztiesības principu nostiprināšanas visās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 atbalsta ziņojuma virzīšanu tālākai izskatīšanai.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26-TA-1335</w:t>
    </w:r>
    <w:r>
      <w:br/>
    </w:r>
    <w:r w:rsidR="00000000" w:rsidRPr="00000000" w:rsidDel="00000000">
      <w:rPr>
        <w:rtl w:val="0"/>
      </w:rPr>
      <w:t xml:space="preserve">21.08.2026. 15.59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26-TA-1335</w:t>
    </w:r>
    <w:r>
      <w:br/>
    </w:r>
    <w:r w:rsidR="00000000" w:rsidRPr="00000000" w:rsidDel="00000000">
      <w:rPr>
        <w:rtl w:val="0"/>
      </w:rPr>
      <w:t xml:space="preserve">21.08.2026. 15.59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Izziņa_26-TA-1335.docx</dc:title>
</cp:coreProperties>
</file>

<file path=docProps/custom.xml><?xml version="1.0" encoding="utf-8"?>
<Properties xmlns="http://schemas.openxmlformats.org/officeDocument/2006/custom-properties" xmlns:vt="http://schemas.openxmlformats.org/officeDocument/2006/docPropsVTypes"/>
</file>