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12:50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 sadaļā sniegto projekta ietekmes uz regulējuma mērķa grupām izvērtējumu, skaidri norādot, kādas projektā paredzētās izmaiņas attiecas uz katru mērķa grupu un kāda ir šo izmaiņu radītā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apakšpunktā pašlaik sniegts vispārīgs projekta ietekmes raksturojums, norādot uz atbalsta saņemšanas un projektu īstenošanas nosacījumu precizēšanu, atsevišķu prasību vienkāršošanu, iesniedzamo dokumentu izmaiņām un pārskatu iesniegšanas biežuma samazināšanu. Tomēr no šāda apraksta mērķa grupai nav viennozīmīgi saprotams, kas tieši projekta rezultātā tai mainās – kuri pienākumi tiek noteikti, mainīti vai atcelti un kā šīs izmaiņas to ietekmē. Vienlaikus ietekmes aprakstā vispārīgi secināts, ka projekts nerada būtiskus jaunus administratīvos pienākumus, lai gan anotācijas 1.3. apakšpunktā konkrētās projektā paredzētās izmaiņas ir identificētas detalizētāk un raksturotas kā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ietekmes aprakstu veidot no attiecīgās mērķa grupas perspektīvas</w:t>
            </w:r>
            <w:r w:rsidR="00000000" w:rsidRPr="00000000" w:rsidDel="00000000">
              <w:rPr>
                <w:rtl w:val="0"/>
              </w:rPr>
              <w:t xml:space="preserve">, sasaistot projektā paredzētās konkrētās izmaiņas ar to radīto ietekmi uz šo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anotācijas 2.3. apakšpunktā norādīto, ka projekts neietekmē juridisko personu administratīvās izmaksas. Anotācijas 1.3. apakšpunktā norādīts, ka ar noteikumu 49. punkta grozījumiem tiek samazināts atbalsta saņēmējiem iesniedzamās informācijas apjoms un tās iesniegšanas biežums, un minētā izmaiņa anotācijā raksturota kā administratīvā sloga samazinājums. Savukārt ar jauno 39.</w:t>
            </w:r>
            <w:r w:rsidR="00000000" w:rsidRPr="00000000" w:rsidDel="00000000">
              <w:rPr>
                <w:vertAlign w:val="superscript"/>
                <w:rtl w:val="0"/>
              </w:rPr>
              <w:t xml:space="preserve">1</w:t>
            </w:r>
            <w:r w:rsidR="00000000" w:rsidRPr="00000000" w:rsidDel="00000000">
              <w:rPr>
                <w:rtl w:val="0"/>
              </w:rPr>
              <w:t xml:space="preserve"> punktu vietējai rīcības grupai tiek noteikts jauns informācijas publicēšanas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49. punktā paredzēto administratīvā sloga samazinājumu anotācijā vispārīgi norādīts, ka projekta sagatavošanas izmaksas ir attiecināmās izmaksas saskaņā ar noteikumu 18.8. apakšpunktu. Tomēr no sniegtās informācijas nav nosakāms, vai attiecināmajās izmaksās ir ietvertas arī ar 49. punktā paredzētās informācijas sagatavošanu un iesniegšanu projekta uzraudzības periodā saistītās izmaksas. Lūdzam to izvērtēt un anotācijā sniegt attiecīgu skaidrojumu. Ja minētās izmaksas netiek segtas no projekta finansējuma, lūdzam 49. punktā paredzēto administratīvā sloga samazinājumu novērtēt anotācijas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anotācijas 2.3. apakšpunktā atspoguļot jaunajā 39.</w:t>
            </w:r>
            <w:r w:rsidR="00000000" w:rsidRPr="00000000" w:rsidDel="00000000">
              <w:rPr>
                <w:vertAlign w:val="superscript"/>
                <w:rtl w:val="0"/>
              </w:rPr>
              <w:t xml:space="preserve">1</w:t>
            </w:r>
            <w:r w:rsidR="00000000" w:rsidRPr="00000000" w:rsidDel="00000000">
              <w:rPr>
                <w:rtl w:val="0"/>
              </w:rPr>
              <w:t xml:space="preserve"> punktā vietējām rīcības grupām noteiktā informācijas publicēšanas pienākuma radītās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11:25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sadaļā sniegto ietekmes aprakstu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ietekmes aprakstā ir norādīts vienīgi, ka projekts attiecas uz atbalsta pretendentiem un nerada administratīvā sloga izmaiņas, jo projekta sagatavošanas izmaksas ir attiecināmas. Tomēr šāds apraksts neatspoguļo projekta faktisko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izriet, ka tiek veiktas vairākas izmaiņas atbalsta saņemšanas nosacījumos un projektu īstenošanas kārtībā, tostarp paredzēta iespēja noteiktos gadījumos kā projekta līdzfinansējumu izmantot ieguldījumu natūrā, vienkāršoti atsevišķi atbalsta saņemšanas nosacījumi, samazināts pārskatu iesniegšanas biežums, precizētas iesniedzamo dokumentu prasības un citi projektu īstenošanas nosacījumi. Šīs izmaiņas ietekmē atbalsta pretendentu tiesības un pienākumus, un tās ir atspoguļojamas ietekmes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skaidri norādot, kādas izmaiņas projekts rada katrai mērķa grupai, identificējot būtiskākos administratīvā procesa vienkāršojumus, jaunos risinājumus un citus projektu īstenošanas nosacījumu precizējumus, kā arī sniegt pamatotu skaidrojumu secinājumam par administratīvā sloga izmaiņu neesamību, ja šāds secinājums tiek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sadaļā ietverto projekta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lūdzam formulēt kā sasniedzamo rezultātu nevis veicamās darbības. Mērķa aprakstā ir skaidri norādāms, kādu rezultātu paredzēts sasniegt ar projektu, piemēram, nodrošinot skaidrākus, efektīvāk piemērojamus un aktuālajam regulējumam atbilstošus valsts un Eiropas Savienības atbalsta saņemšanas nosacījumus darbības veidā "Sabiedrības virzītas vietējās attīstības stratēģiju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sadaļā ietvertā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skaidrākus, efektīvāk piemērojamus un aktuālajam regulējumam atbilstošus valsts un Eiropas Savienības atbalsta saņemšanas nosacījumus Eiropas Jūrlietu, zvejniecības un akvakultūras fonda (turpmāk – EJZAF) finansētajā darbības veidā "Sabiedrības virzītas vietējās attīstības stratēģiju īstenošana" (turpmāk – SVVA pasākums). Minētā mērķa sasniegšanai noteikumu projekts paredz precizēt atbalsta saņemšanas un projektu īstenošanas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skaidrojumu par grozījumu ietekmi uz atbalsta pretendentiem un iesaistītajām personām, secinām, ka ieguldījumi natūrā tiks uzskaitīti un novērtēti atbilstoši Finanšu ministrijas metodikai "Par ieguldījumiem natūrā projektu līdzfinansēšanai 2021.–2027. gada plānošanas periodā". Vēršam uzmanību, ka minētā metodika ir pielikums vadlīnijām "Vadlīnijas attiecināmo izmaksu noteikšanai Eiropas Savienības kohēzijas politikas programmas 2021.-2027.gada plānošanas periodā", ko izstrādājusi Finanšu ministrija kā Eiropas Savienības fondu vadošā iestāde. Minētās vadlīnijas ir izstrādātas, lai skaidrotu attiecināmo izmaksu veidus un attiecināmības pamatprincipus, kas var tikt iekļauti ES fondu (Eiropas Savienības Eiropas Reģionālās attīstības fonds, Eiropas Sociālais fonds Plus, Taisnīgas pārkārtošanās fonds un Kohēzijas fonds) 2021.-2027.gada plānošanas perioda projektos. Ņemot vērā, ka minētās vadlīnijas nav tieši attiecināmas uz šajos noteikumos minētajiem fondiem, lūdzam precizēt anotācijā ietverto skaidrojumu, norādot, ka ieguldījumi natūrā tiks uzskaitīti un novērtēti, ņemot par piemēru Finanšu ministrijas kā ES fondu vadošās iestādes metodikā "Par ieguldījumiem natūrā projektu līdzfinansēšanai 2021.–2027. gada plānošanas periodā" noteiktos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natūrā tiks uzskaitīti un novērtēti, ievērojot Finanšu ministrijas kā ES fondu vadošās iestādes metodikā "Par ieguldījumiem natūrā projektu līdzfinansēšanai 2021.–2027. gada plānošanas periodā" noteiktos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 sadaļā “Projekta izpildes ietekme uz pārvaldes funkcijām un institucionālo struktūru” norādīto, ka Lauku atbalsta dienesta funkcijas un uzdevumi tiek paplašināti, paredzot ieguldījumu natūrā uzskaiti un novērtēšanu, lūdzam anotācijas 3. sadaļas “Tiesību akta projekta ietekme uz valsts budžetu un pašvaldību budžetiem” punktā "Cita informācija" norādīt, ka noteikumu projekta īstenošana tiks nodrošināta Lauku atbalsta dienesta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"Tiesību akta projekta ietekme uz valsts budžetu un pašvaldību budžetiem" punkts "Cita informācija", norādot, ka noteikumu projekta īstenošana tiks nodrošināta no Programmas zivsaimniecības attīstībai 2021.–2027. gadam pasākumam "Sabiedrības virzītas vietējās attīstības stratēģiju īstenošana" apstiprinātā finansējuma. Pasākumam apstiprinātais publiskais finansējums ir 40 000 000 euro, no kuriem Eiropas Savienības līdzfinansējums ir 28 000 000 euro (70 %), bet valsts budžeta līdzfinansējums – 12 000 000 euro (30 %). Pasākumam apstiprinātais publiskais finansējums nav mainīts saskaņā ar sākotnēji paredzēto.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TAP portāla publiskās vides 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saite, norādot TAP portāla publiskās vides saiti.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26-TA-801</w:t>
    </w:r>
    <w:r>
      <w:br/>
    </w:r>
    <w:r w:rsidR="00000000" w:rsidRPr="00000000" w:rsidDel="00000000">
      <w:rPr>
        <w:rtl w:val="0"/>
      </w:rPr>
      <w:t xml:space="preserve">02.09.2026. 12.47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26-TA-801</w:t>
    </w:r>
    <w:r>
      <w:br/>
    </w:r>
    <w:r w:rsidR="00000000" w:rsidRPr="00000000" w:rsidDel="00000000">
      <w:rPr>
        <w:rtl w:val="0"/>
      </w:rPr>
      <w:t xml:space="preserve">02.09.2026. 12.47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Izziņa_26-TA-801.docx</dc:title>
</cp:coreProperties>
</file>

<file path=docProps/custom.xml><?xml version="1.0" encoding="utf-8"?>
<Properties xmlns="http://schemas.openxmlformats.org/officeDocument/2006/custom-properties" xmlns:vt="http://schemas.openxmlformats.org/officeDocument/2006/docPropsVTypes"/>
</file>