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06D85" w14:textId="4D3EB26A" w:rsidR="00747EEC" w:rsidRPr="00886F32" w:rsidRDefault="00747EEC" w:rsidP="00AD29D1">
      <w:pPr>
        <w:tabs>
          <w:tab w:val="left" w:pos="2552"/>
        </w:tabs>
        <w:spacing w:after="0" w:line="240" w:lineRule="auto"/>
        <w:rPr>
          <w:rFonts w:ascii="Times New Roman" w:hAnsi="Times New Roman" w:cs="Times New Roman"/>
          <w:sz w:val="26"/>
          <w:szCs w:val="26"/>
        </w:rPr>
      </w:pPr>
    </w:p>
    <w:p w14:paraId="794F7B10" w14:textId="79310234" w:rsidR="00AD29D1" w:rsidRPr="00886F32" w:rsidRDefault="00AD29D1" w:rsidP="00AD29D1">
      <w:pPr>
        <w:tabs>
          <w:tab w:val="left" w:pos="2552"/>
        </w:tabs>
        <w:spacing w:after="0" w:line="240" w:lineRule="auto"/>
        <w:rPr>
          <w:rFonts w:ascii="Times New Roman" w:hAnsi="Times New Roman" w:cs="Times New Roman"/>
          <w:sz w:val="26"/>
          <w:szCs w:val="26"/>
        </w:rPr>
      </w:pPr>
    </w:p>
    <w:p w14:paraId="682E8C95" w14:textId="77777777" w:rsidR="00AD29D1" w:rsidRPr="00886F32" w:rsidRDefault="00AD29D1" w:rsidP="00AD29D1">
      <w:pPr>
        <w:tabs>
          <w:tab w:val="left" w:pos="2552"/>
        </w:tabs>
        <w:spacing w:after="0" w:line="240" w:lineRule="auto"/>
        <w:rPr>
          <w:rFonts w:ascii="Times New Roman" w:hAnsi="Times New Roman" w:cs="Times New Roman"/>
          <w:sz w:val="26"/>
          <w:szCs w:val="26"/>
        </w:rPr>
      </w:pPr>
    </w:p>
    <w:p w14:paraId="01A4BCF7" w14:textId="77777777" w:rsidR="00AD29D1" w:rsidRPr="00886F32" w:rsidRDefault="00AD29D1" w:rsidP="00A81F12">
      <w:pPr>
        <w:tabs>
          <w:tab w:val="left" w:pos="6663"/>
        </w:tabs>
        <w:spacing w:after="0" w:line="240" w:lineRule="auto"/>
        <w:rPr>
          <w:rFonts w:ascii="Times New Roman" w:hAnsi="Times New Roman" w:cs="Times New Roman"/>
          <w:bCs/>
          <w:sz w:val="26"/>
          <w:szCs w:val="26"/>
        </w:rPr>
      </w:pPr>
      <w:r w:rsidRPr="00886F32">
        <w:rPr>
          <w:rFonts w:ascii="Times New Roman" w:hAnsi="Times New Roman" w:cs="Times New Roman"/>
          <w:sz w:val="26"/>
          <w:szCs w:val="26"/>
        </w:rPr>
        <w:t xml:space="preserve">2021. gada            </w:t>
      </w:r>
      <w:r w:rsidRPr="00886F32">
        <w:rPr>
          <w:rFonts w:ascii="Times New Roman" w:hAnsi="Times New Roman" w:cs="Times New Roman"/>
          <w:sz w:val="26"/>
          <w:szCs w:val="26"/>
        </w:rPr>
        <w:tab/>
        <w:t>Noteikumi Nr.</w:t>
      </w:r>
    </w:p>
    <w:p w14:paraId="27F1EFBA" w14:textId="77777777" w:rsidR="00AD29D1" w:rsidRPr="00886F32" w:rsidRDefault="00AD29D1" w:rsidP="00A81F12">
      <w:pPr>
        <w:tabs>
          <w:tab w:val="left" w:pos="6663"/>
        </w:tabs>
        <w:spacing w:after="0" w:line="240" w:lineRule="auto"/>
        <w:rPr>
          <w:rFonts w:ascii="Times New Roman" w:hAnsi="Times New Roman" w:cs="Times New Roman"/>
          <w:sz w:val="26"/>
          <w:szCs w:val="26"/>
        </w:rPr>
      </w:pPr>
      <w:r w:rsidRPr="00886F32">
        <w:rPr>
          <w:rFonts w:ascii="Times New Roman" w:hAnsi="Times New Roman" w:cs="Times New Roman"/>
          <w:sz w:val="26"/>
          <w:szCs w:val="26"/>
        </w:rPr>
        <w:t>Rīgā</w:t>
      </w:r>
      <w:r w:rsidRPr="00886F32">
        <w:rPr>
          <w:rFonts w:ascii="Times New Roman" w:hAnsi="Times New Roman" w:cs="Times New Roman"/>
          <w:sz w:val="26"/>
          <w:szCs w:val="26"/>
        </w:rPr>
        <w:tab/>
        <w:t>(prot. Nr.              . §)</w:t>
      </w:r>
    </w:p>
    <w:p w14:paraId="143A967B" w14:textId="3BF002B5" w:rsidR="0070665D" w:rsidRPr="00886F32" w:rsidRDefault="0070665D" w:rsidP="00AD29D1">
      <w:pPr>
        <w:spacing w:after="0" w:line="240" w:lineRule="auto"/>
        <w:rPr>
          <w:rFonts w:ascii="Times New Roman" w:hAnsi="Times New Roman" w:cs="Times New Roman"/>
          <w:sz w:val="26"/>
          <w:szCs w:val="26"/>
        </w:rPr>
      </w:pPr>
    </w:p>
    <w:p w14:paraId="071D826F" w14:textId="0186D927" w:rsidR="0070665D" w:rsidRPr="00886F32" w:rsidRDefault="0070665D" w:rsidP="00AD29D1">
      <w:pPr>
        <w:spacing w:after="0" w:line="240" w:lineRule="auto"/>
        <w:jc w:val="center"/>
        <w:rPr>
          <w:rFonts w:ascii="Times New Roman" w:eastAsia="Times New Roman" w:hAnsi="Times New Roman" w:cs="Times New Roman"/>
          <w:b/>
          <w:sz w:val="26"/>
          <w:szCs w:val="26"/>
          <w:lang w:eastAsia="lv-LV"/>
        </w:rPr>
      </w:pPr>
      <w:bookmarkStart w:id="0" w:name="_Hlk58592391"/>
      <w:r w:rsidRPr="00886F32">
        <w:rPr>
          <w:rFonts w:ascii="Times New Roman" w:eastAsia="Times New Roman" w:hAnsi="Times New Roman" w:cs="Times New Roman"/>
          <w:b/>
          <w:sz w:val="26"/>
          <w:szCs w:val="26"/>
          <w:lang w:eastAsia="lv-LV"/>
        </w:rPr>
        <w:t xml:space="preserve">Grozījumi Ministru kabineta </w:t>
      </w:r>
      <w:r w:rsidR="00B71BC8" w:rsidRPr="00886F32">
        <w:rPr>
          <w:rFonts w:ascii="Times New Roman" w:eastAsia="Times New Roman" w:hAnsi="Times New Roman" w:cs="Times New Roman"/>
          <w:b/>
          <w:sz w:val="26"/>
          <w:szCs w:val="26"/>
          <w:lang w:eastAsia="lv-LV"/>
        </w:rPr>
        <w:t>2020</w:t>
      </w:r>
      <w:r w:rsidR="00EF4686" w:rsidRPr="00886F32">
        <w:rPr>
          <w:rFonts w:ascii="Times New Roman" w:eastAsia="Times New Roman" w:hAnsi="Times New Roman" w:cs="Times New Roman"/>
          <w:b/>
          <w:sz w:val="26"/>
          <w:szCs w:val="26"/>
          <w:lang w:eastAsia="lv-LV"/>
        </w:rPr>
        <w:t>. </w:t>
      </w:r>
      <w:r w:rsidR="00B71BC8" w:rsidRPr="00886F32">
        <w:rPr>
          <w:rFonts w:ascii="Times New Roman" w:eastAsia="Times New Roman" w:hAnsi="Times New Roman" w:cs="Times New Roman"/>
          <w:b/>
          <w:sz w:val="26"/>
          <w:szCs w:val="26"/>
          <w:lang w:eastAsia="lv-LV"/>
        </w:rPr>
        <w:t xml:space="preserve">gada </w:t>
      </w:r>
      <w:r w:rsidR="00671CD4" w:rsidRPr="00886F32">
        <w:rPr>
          <w:rFonts w:ascii="Times New Roman" w:eastAsia="Times New Roman" w:hAnsi="Times New Roman" w:cs="Times New Roman"/>
          <w:b/>
          <w:sz w:val="26"/>
          <w:szCs w:val="26"/>
          <w:lang w:eastAsia="lv-LV"/>
        </w:rPr>
        <w:t>14</w:t>
      </w:r>
      <w:r w:rsidR="00EF4686" w:rsidRPr="00886F32">
        <w:rPr>
          <w:rFonts w:ascii="Times New Roman" w:eastAsia="Times New Roman" w:hAnsi="Times New Roman" w:cs="Times New Roman"/>
          <w:b/>
          <w:sz w:val="26"/>
          <w:szCs w:val="26"/>
          <w:lang w:eastAsia="lv-LV"/>
        </w:rPr>
        <w:t>. </w:t>
      </w:r>
      <w:r w:rsidR="00671CD4" w:rsidRPr="00886F32">
        <w:rPr>
          <w:rFonts w:ascii="Times New Roman" w:eastAsia="Times New Roman" w:hAnsi="Times New Roman" w:cs="Times New Roman"/>
          <w:b/>
          <w:sz w:val="26"/>
          <w:szCs w:val="26"/>
          <w:lang w:eastAsia="lv-LV"/>
        </w:rPr>
        <w:t xml:space="preserve">jūlija </w:t>
      </w:r>
      <w:r w:rsidRPr="00886F32">
        <w:rPr>
          <w:rFonts w:ascii="Times New Roman" w:eastAsia="Times New Roman" w:hAnsi="Times New Roman" w:cs="Times New Roman"/>
          <w:b/>
          <w:sz w:val="26"/>
          <w:szCs w:val="26"/>
          <w:lang w:eastAsia="lv-LV"/>
        </w:rPr>
        <w:t>noteikumos Nr.</w:t>
      </w:r>
      <w:r w:rsidR="00EF4686" w:rsidRPr="00886F32">
        <w:rPr>
          <w:rFonts w:ascii="Times New Roman" w:eastAsia="Times New Roman" w:hAnsi="Times New Roman" w:cs="Times New Roman"/>
          <w:b/>
          <w:sz w:val="26"/>
          <w:szCs w:val="26"/>
          <w:lang w:eastAsia="lv-LV"/>
        </w:rPr>
        <w:t> </w:t>
      </w:r>
      <w:r w:rsidR="00671CD4" w:rsidRPr="00886F32">
        <w:rPr>
          <w:rFonts w:ascii="Times New Roman" w:eastAsia="Times New Roman" w:hAnsi="Times New Roman" w:cs="Times New Roman"/>
          <w:b/>
          <w:sz w:val="26"/>
          <w:szCs w:val="26"/>
          <w:lang w:eastAsia="lv-LV"/>
        </w:rPr>
        <w:t xml:space="preserve">458 </w:t>
      </w:r>
      <w:r w:rsidR="00EE4549" w:rsidRPr="00886F32">
        <w:rPr>
          <w:rFonts w:ascii="Times New Roman" w:eastAsia="Times New Roman" w:hAnsi="Times New Roman" w:cs="Times New Roman"/>
          <w:b/>
          <w:bCs/>
          <w:sz w:val="26"/>
          <w:szCs w:val="26"/>
        </w:rPr>
        <w:t>"</w:t>
      </w:r>
      <w:r w:rsidR="00B71BC8" w:rsidRPr="00886F32">
        <w:rPr>
          <w:rFonts w:ascii="Times New Roman" w:eastAsia="Times New Roman" w:hAnsi="Times New Roman" w:cs="Times New Roman"/>
          <w:b/>
          <w:sz w:val="26"/>
          <w:szCs w:val="26"/>
          <w:lang w:eastAsia="lv-LV"/>
        </w:rPr>
        <w:t xml:space="preserve">Noteikumi par </w:t>
      </w:r>
      <w:r w:rsidR="00671CD4" w:rsidRPr="00886F32">
        <w:rPr>
          <w:rFonts w:ascii="Times New Roman" w:eastAsia="Times New Roman" w:hAnsi="Times New Roman" w:cs="Times New Roman"/>
          <w:b/>
          <w:sz w:val="26"/>
          <w:szCs w:val="26"/>
          <w:lang w:eastAsia="lv-LV"/>
        </w:rPr>
        <w:t>kapitāla ieguldījumiem komersantos</w:t>
      </w:r>
      <w:r w:rsidR="00B71BC8" w:rsidRPr="00886F32">
        <w:rPr>
          <w:rFonts w:ascii="Times New Roman" w:eastAsia="Times New Roman" w:hAnsi="Times New Roman" w:cs="Times New Roman"/>
          <w:b/>
          <w:sz w:val="26"/>
          <w:szCs w:val="26"/>
          <w:lang w:eastAsia="lv-LV"/>
        </w:rPr>
        <w:t>, kuru darbību ietekmējusi Covid-19 izplatība</w:t>
      </w:r>
      <w:bookmarkEnd w:id="0"/>
      <w:r w:rsidR="00EE4549" w:rsidRPr="00886F32">
        <w:rPr>
          <w:rFonts w:ascii="Times New Roman" w:eastAsia="Times New Roman" w:hAnsi="Times New Roman" w:cs="Times New Roman"/>
          <w:b/>
          <w:bCs/>
          <w:sz w:val="26"/>
          <w:szCs w:val="26"/>
        </w:rPr>
        <w:t>"</w:t>
      </w:r>
    </w:p>
    <w:p w14:paraId="0DC1A331" w14:textId="77777777" w:rsidR="009A5FC7" w:rsidRPr="00886F32" w:rsidRDefault="009A5FC7" w:rsidP="00AD29D1">
      <w:pPr>
        <w:pStyle w:val="naislab"/>
        <w:spacing w:before="0" w:after="0"/>
        <w:jc w:val="left"/>
        <w:rPr>
          <w:bCs/>
          <w:sz w:val="26"/>
          <w:szCs w:val="26"/>
        </w:rPr>
      </w:pPr>
    </w:p>
    <w:p w14:paraId="72472823" w14:textId="60820024" w:rsidR="00B27DCC" w:rsidRPr="00886F32" w:rsidRDefault="00B27DCC" w:rsidP="00AD29D1">
      <w:pPr>
        <w:pStyle w:val="naislab"/>
        <w:spacing w:before="0" w:after="0"/>
        <w:rPr>
          <w:iCs/>
          <w:sz w:val="26"/>
          <w:szCs w:val="26"/>
        </w:rPr>
      </w:pPr>
      <w:r w:rsidRPr="00886F32">
        <w:rPr>
          <w:iCs/>
          <w:sz w:val="26"/>
          <w:szCs w:val="26"/>
        </w:rPr>
        <w:t>Izdoti saskaņā ar</w:t>
      </w:r>
    </w:p>
    <w:p w14:paraId="3811C5B0" w14:textId="764C529F" w:rsidR="00C766D3" w:rsidRPr="00886F32" w:rsidRDefault="002400D7" w:rsidP="00AD29D1">
      <w:pPr>
        <w:pStyle w:val="naislab"/>
        <w:spacing w:before="0" w:after="0"/>
        <w:rPr>
          <w:iCs/>
          <w:sz w:val="26"/>
          <w:szCs w:val="26"/>
        </w:rPr>
      </w:pPr>
      <w:hyperlink r:id="rId8" w:tgtFrame="_blank" w:history="1">
        <w:r w:rsidR="00B27DCC" w:rsidRPr="00886F32">
          <w:rPr>
            <w:iCs/>
            <w:sz w:val="26"/>
            <w:szCs w:val="26"/>
          </w:rPr>
          <w:t>Attīstības finanšu institūcijas likuma</w:t>
        </w:r>
      </w:hyperlink>
    </w:p>
    <w:p w14:paraId="719FDB8C" w14:textId="02997A23" w:rsidR="00B27DCC" w:rsidRPr="00886F32" w:rsidRDefault="002400D7" w:rsidP="00AD29D1">
      <w:pPr>
        <w:pStyle w:val="naislab"/>
        <w:spacing w:before="0" w:after="0"/>
        <w:rPr>
          <w:iCs/>
          <w:sz w:val="26"/>
          <w:szCs w:val="26"/>
        </w:rPr>
      </w:pPr>
      <w:hyperlink r:id="rId9" w:anchor="p12" w:tgtFrame="_blank" w:history="1">
        <w:r w:rsidR="00B27DCC" w:rsidRPr="00886F32">
          <w:rPr>
            <w:iCs/>
            <w:sz w:val="26"/>
            <w:szCs w:val="26"/>
          </w:rPr>
          <w:t>12.</w:t>
        </w:r>
      </w:hyperlink>
      <w:r w:rsidR="00B27DCC" w:rsidRPr="00886F32">
        <w:rPr>
          <w:iCs/>
          <w:sz w:val="26"/>
          <w:szCs w:val="26"/>
        </w:rPr>
        <w:t> pant</w:t>
      </w:r>
      <w:r w:rsidR="00C766D3" w:rsidRPr="00886F32">
        <w:rPr>
          <w:iCs/>
          <w:sz w:val="26"/>
          <w:szCs w:val="26"/>
        </w:rPr>
        <w:t>a ceturto daļu</w:t>
      </w:r>
    </w:p>
    <w:p w14:paraId="47039334" w14:textId="77777777" w:rsidR="0070665D" w:rsidRPr="00886F32" w:rsidRDefault="0070665D" w:rsidP="00177DE7">
      <w:pPr>
        <w:pStyle w:val="naislab"/>
        <w:spacing w:before="0" w:after="0"/>
        <w:ind w:firstLine="709"/>
        <w:jc w:val="both"/>
        <w:rPr>
          <w:sz w:val="26"/>
          <w:szCs w:val="26"/>
        </w:rPr>
      </w:pPr>
    </w:p>
    <w:p w14:paraId="36CE1EA6" w14:textId="56AD4769" w:rsidR="008A3F8B" w:rsidRPr="00886F32" w:rsidRDefault="009177CE" w:rsidP="00BD3E6F">
      <w:pPr>
        <w:pStyle w:val="ListParagraph"/>
        <w:numPr>
          <w:ilvl w:val="0"/>
          <w:numId w:val="24"/>
        </w:numPr>
        <w:autoSpaceDE w:val="0"/>
        <w:autoSpaceDN w:val="0"/>
        <w:adjustRightInd w:val="0"/>
        <w:spacing w:after="0" w:line="240" w:lineRule="auto"/>
        <w:ind w:left="0" w:firstLine="283"/>
        <w:jc w:val="both"/>
        <w:rPr>
          <w:rFonts w:ascii="Times New Roman" w:hAnsi="Times New Roman" w:cs="Times New Roman"/>
          <w:sz w:val="26"/>
          <w:szCs w:val="26"/>
        </w:rPr>
      </w:pPr>
      <w:r w:rsidRPr="00886F32">
        <w:rPr>
          <w:rFonts w:ascii="Times New Roman" w:hAnsi="Times New Roman" w:cs="Times New Roman"/>
          <w:sz w:val="26"/>
          <w:szCs w:val="26"/>
        </w:rPr>
        <w:t>Izdarīt Ministru kabineta 2020</w:t>
      </w:r>
      <w:r w:rsidR="00177DE7" w:rsidRPr="00886F32">
        <w:rPr>
          <w:rFonts w:ascii="Times New Roman" w:hAnsi="Times New Roman" w:cs="Times New Roman"/>
          <w:sz w:val="26"/>
          <w:szCs w:val="26"/>
        </w:rPr>
        <w:t>. </w:t>
      </w:r>
      <w:r w:rsidRPr="00886F32">
        <w:rPr>
          <w:rFonts w:ascii="Times New Roman" w:hAnsi="Times New Roman" w:cs="Times New Roman"/>
          <w:sz w:val="26"/>
          <w:szCs w:val="26"/>
        </w:rPr>
        <w:t>gada 14</w:t>
      </w:r>
      <w:r w:rsidR="00177DE7" w:rsidRPr="00886F32">
        <w:rPr>
          <w:rFonts w:ascii="Times New Roman" w:hAnsi="Times New Roman" w:cs="Times New Roman"/>
          <w:sz w:val="26"/>
          <w:szCs w:val="26"/>
        </w:rPr>
        <w:t>. </w:t>
      </w:r>
      <w:r w:rsidRPr="00886F32">
        <w:rPr>
          <w:rFonts w:ascii="Times New Roman" w:hAnsi="Times New Roman" w:cs="Times New Roman"/>
          <w:sz w:val="26"/>
          <w:szCs w:val="26"/>
        </w:rPr>
        <w:t>jūlija noteikumos Nr</w:t>
      </w:r>
      <w:r w:rsidR="00177DE7" w:rsidRPr="00886F32">
        <w:rPr>
          <w:rFonts w:ascii="Times New Roman" w:hAnsi="Times New Roman" w:cs="Times New Roman"/>
          <w:sz w:val="26"/>
          <w:szCs w:val="26"/>
        </w:rPr>
        <w:t>. </w:t>
      </w:r>
      <w:r w:rsidRPr="00886F32">
        <w:rPr>
          <w:rFonts w:ascii="Times New Roman" w:hAnsi="Times New Roman" w:cs="Times New Roman"/>
          <w:sz w:val="26"/>
          <w:szCs w:val="26"/>
        </w:rPr>
        <w:t>458 "</w:t>
      </w:r>
      <w:hyperlink r:id="rId10" w:tgtFrame="_blank" w:history="1">
        <w:r w:rsidRPr="00886F32">
          <w:rPr>
            <w:rFonts w:ascii="Times New Roman" w:hAnsi="Times New Roman" w:cs="Times New Roman"/>
            <w:sz w:val="26"/>
            <w:szCs w:val="26"/>
          </w:rPr>
          <w:t>Noteikumi par kapitāla ieguldījumiem komersantos, kuru darbību ietekmējusi Covid-19 izplatība</w:t>
        </w:r>
      </w:hyperlink>
      <w:r w:rsidRPr="00886F32">
        <w:rPr>
          <w:rFonts w:ascii="Times New Roman" w:hAnsi="Times New Roman" w:cs="Times New Roman"/>
          <w:sz w:val="26"/>
          <w:szCs w:val="26"/>
        </w:rPr>
        <w:t>" (Latvijas Vēstnesis, 2020, 136</w:t>
      </w:r>
      <w:r w:rsidR="00177DE7" w:rsidRPr="00886F32">
        <w:rPr>
          <w:rFonts w:ascii="Times New Roman" w:hAnsi="Times New Roman" w:cs="Times New Roman"/>
          <w:sz w:val="26"/>
          <w:szCs w:val="26"/>
        </w:rPr>
        <w:t>. </w:t>
      </w:r>
      <w:r w:rsidRPr="00886F32">
        <w:rPr>
          <w:rFonts w:ascii="Times New Roman" w:hAnsi="Times New Roman" w:cs="Times New Roman"/>
          <w:sz w:val="26"/>
          <w:szCs w:val="26"/>
        </w:rPr>
        <w:t xml:space="preserve">nr.) </w:t>
      </w:r>
      <w:r w:rsidR="00B74809" w:rsidRPr="00886F32">
        <w:rPr>
          <w:rFonts w:ascii="Times New Roman" w:hAnsi="Times New Roman" w:cs="Times New Roman"/>
          <w:sz w:val="26"/>
          <w:szCs w:val="26"/>
        </w:rPr>
        <w:t xml:space="preserve">šādus </w:t>
      </w:r>
      <w:r w:rsidRPr="00886F32">
        <w:rPr>
          <w:rFonts w:ascii="Times New Roman" w:hAnsi="Times New Roman" w:cs="Times New Roman"/>
          <w:sz w:val="26"/>
          <w:szCs w:val="26"/>
        </w:rPr>
        <w:t>grozījumu</w:t>
      </w:r>
      <w:r w:rsidR="00B74809" w:rsidRPr="00886F32">
        <w:rPr>
          <w:rFonts w:ascii="Times New Roman" w:hAnsi="Times New Roman" w:cs="Times New Roman"/>
          <w:sz w:val="26"/>
          <w:szCs w:val="26"/>
        </w:rPr>
        <w:t>s:</w:t>
      </w:r>
    </w:p>
    <w:p w14:paraId="2516F75E" w14:textId="77777777" w:rsidR="008A3F8B" w:rsidRPr="00886F32" w:rsidRDefault="008A3F8B" w:rsidP="008A3F8B">
      <w:pPr>
        <w:autoSpaceDE w:val="0"/>
        <w:autoSpaceDN w:val="0"/>
        <w:adjustRightInd w:val="0"/>
        <w:spacing w:after="0" w:line="240" w:lineRule="auto"/>
        <w:ind w:firstLine="283"/>
        <w:jc w:val="both"/>
        <w:rPr>
          <w:rFonts w:ascii="Times New Roman" w:hAnsi="Times New Roman" w:cs="Times New Roman"/>
          <w:sz w:val="26"/>
          <w:szCs w:val="26"/>
        </w:rPr>
      </w:pPr>
    </w:p>
    <w:p w14:paraId="5F7E4117" w14:textId="52C6E3BE" w:rsidR="009177CE" w:rsidRPr="00886F32" w:rsidRDefault="00B74809" w:rsidP="00886F32">
      <w:pPr>
        <w:pStyle w:val="ListParagraph"/>
        <w:numPr>
          <w:ilvl w:val="1"/>
          <w:numId w:val="24"/>
        </w:numPr>
        <w:autoSpaceDE w:val="0"/>
        <w:autoSpaceDN w:val="0"/>
        <w:adjustRightInd w:val="0"/>
        <w:spacing w:after="0" w:line="240" w:lineRule="auto"/>
        <w:jc w:val="both"/>
        <w:rPr>
          <w:rFonts w:ascii="Times New Roman" w:hAnsi="Times New Roman" w:cs="Times New Roman"/>
          <w:sz w:val="26"/>
          <w:szCs w:val="26"/>
        </w:rPr>
      </w:pPr>
      <w:r w:rsidRPr="00886F32">
        <w:rPr>
          <w:rFonts w:ascii="Times New Roman" w:hAnsi="Times New Roman" w:cs="Times New Roman"/>
          <w:sz w:val="26"/>
          <w:szCs w:val="26"/>
        </w:rPr>
        <w:t>I</w:t>
      </w:r>
      <w:r w:rsidR="004767DB" w:rsidRPr="00886F32">
        <w:rPr>
          <w:rFonts w:ascii="Times New Roman" w:hAnsi="Times New Roman" w:cs="Times New Roman"/>
          <w:sz w:val="26"/>
          <w:szCs w:val="26"/>
        </w:rPr>
        <w:t>zteikt 5.</w:t>
      </w:r>
      <w:r w:rsidR="00057EF5" w:rsidRPr="00886F32">
        <w:rPr>
          <w:rFonts w:ascii="Times New Roman" w:hAnsi="Times New Roman" w:cs="Times New Roman"/>
          <w:sz w:val="26"/>
          <w:szCs w:val="26"/>
        </w:rPr>
        <w:t> </w:t>
      </w:r>
      <w:r w:rsidR="004767DB" w:rsidRPr="00886F32">
        <w:rPr>
          <w:rFonts w:ascii="Times New Roman" w:hAnsi="Times New Roman" w:cs="Times New Roman"/>
          <w:sz w:val="26"/>
          <w:szCs w:val="26"/>
        </w:rPr>
        <w:t>punktu šādā redakcijā</w:t>
      </w:r>
      <w:r w:rsidR="009177CE" w:rsidRPr="00886F32">
        <w:rPr>
          <w:rFonts w:ascii="Times New Roman" w:hAnsi="Times New Roman" w:cs="Times New Roman"/>
          <w:sz w:val="26"/>
          <w:szCs w:val="26"/>
        </w:rPr>
        <w:t>:</w:t>
      </w:r>
    </w:p>
    <w:p w14:paraId="0DF5E8D1" w14:textId="77777777" w:rsidR="00B74809" w:rsidRPr="00886F32" w:rsidRDefault="00B74809" w:rsidP="00B74809">
      <w:pPr>
        <w:autoSpaceDE w:val="0"/>
        <w:autoSpaceDN w:val="0"/>
        <w:adjustRightInd w:val="0"/>
        <w:spacing w:after="0" w:line="240" w:lineRule="auto"/>
        <w:ind w:left="283"/>
        <w:jc w:val="both"/>
        <w:rPr>
          <w:rFonts w:ascii="Times New Roman" w:hAnsi="Times New Roman" w:cs="Times New Roman"/>
          <w:sz w:val="26"/>
          <w:szCs w:val="26"/>
        </w:rPr>
      </w:pPr>
    </w:p>
    <w:p w14:paraId="0CC78515" w14:textId="7F05E1CB" w:rsidR="00340DA2" w:rsidRPr="00886F32" w:rsidRDefault="00EE4549" w:rsidP="004767DB">
      <w:pPr>
        <w:pStyle w:val="ListParagraph"/>
        <w:autoSpaceDE w:val="0"/>
        <w:autoSpaceDN w:val="0"/>
        <w:adjustRightInd w:val="0"/>
        <w:spacing w:after="0" w:line="240" w:lineRule="auto"/>
        <w:ind w:left="0" w:firstLine="709"/>
        <w:jc w:val="both"/>
        <w:rPr>
          <w:rFonts w:ascii="Times New Roman" w:hAnsi="Times New Roman" w:cs="Times New Roman"/>
          <w:sz w:val="26"/>
          <w:szCs w:val="26"/>
        </w:rPr>
      </w:pPr>
      <w:r w:rsidRPr="00886F32">
        <w:rPr>
          <w:rFonts w:ascii="Times New Roman" w:hAnsi="Times New Roman" w:cs="Times New Roman"/>
          <w:sz w:val="26"/>
          <w:szCs w:val="26"/>
        </w:rPr>
        <w:t>"</w:t>
      </w:r>
      <w:r w:rsidR="004767DB" w:rsidRPr="00886F32">
        <w:rPr>
          <w:rFonts w:ascii="Times New Roman" w:hAnsi="Times New Roman" w:cs="Times New Roman"/>
          <w:sz w:val="26"/>
          <w:szCs w:val="26"/>
        </w:rPr>
        <w:t xml:space="preserve">5. </w:t>
      </w:r>
      <w:bookmarkStart w:id="1" w:name="_Hlk80283797"/>
      <w:r w:rsidR="004767DB" w:rsidRPr="00886F32">
        <w:rPr>
          <w:rFonts w:ascii="Times New Roman" w:hAnsi="Times New Roman" w:cs="Times New Roman"/>
          <w:sz w:val="26"/>
          <w:szCs w:val="26"/>
        </w:rPr>
        <w:t>Saskaņā ar šiem noteikumiem finansējumu var saņemt komersanti – juridiskas personas, kas reģistrētas Latvijā, un kuri pieteikuma iesniegšanas brīdī</w:t>
      </w:r>
      <w:r w:rsidR="00340DA2" w:rsidRPr="00886F32">
        <w:rPr>
          <w:rFonts w:ascii="Times New Roman" w:hAnsi="Times New Roman" w:cs="Times New Roman"/>
          <w:sz w:val="26"/>
          <w:szCs w:val="26"/>
        </w:rPr>
        <w:t xml:space="preserve"> </w:t>
      </w:r>
      <w:r w:rsidR="00863EBC" w:rsidRPr="00886F32">
        <w:rPr>
          <w:rFonts w:ascii="Times New Roman" w:hAnsi="Times New Roman" w:cs="Times New Roman"/>
          <w:sz w:val="26"/>
          <w:szCs w:val="26"/>
        </w:rPr>
        <w:t xml:space="preserve">komersanta saistīto uzņēmumu grupas līmenī </w:t>
      </w:r>
      <w:r w:rsidR="00340DA2" w:rsidRPr="00886F32">
        <w:rPr>
          <w:rFonts w:ascii="Times New Roman" w:hAnsi="Times New Roman" w:cs="Times New Roman"/>
          <w:sz w:val="26"/>
          <w:szCs w:val="26"/>
        </w:rPr>
        <w:t>izpilda vismaz vienu no šiem kritērijiem</w:t>
      </w:r>
      <w:bookmarkEnd w:id="1"/>
      <w:r w:rsidR="00340DA2" w:rsidRPr="00886F32">
        <w:rPr>
          <w:rFonts w:ascii="Times New Roman" w:hAnsi="Times New Roman" w:cs="Times New Roman"/>
          <w:sz w:val="26"/>
          <w:szCs w:val="26"/>
        </w:rPr>
        <w:t>:</w:t>
      </w:r>
    </w:p>
    <w:p w14:paraId="12C2228C" w14:textId="337DE171" w:rsidR="00340DA2" w:rsidRPr="00886F32" w:rsidRDefault="00340DA2" w:rsidP="004767DB">
      <w:pPr>
        <w:pStyle w:val="ListParagraph"/>
        <w:autoSpaceDE w:val="0"/>
        <w:autoSpaceDN w:val="0"/>
        <w:adjustRightInd w:val="0"/>
        <w:spacing w:after="0" w:line="240" w:lineRule="auto"/>
        <w:ind w:left="0" w:firstLine="709"/>
        <w:jc w:val="both"/>
        <w:rPr>
          <w:rFonts w:ascii="Times New Roman" w:hAnsi="Times New Roman" w:cs="Times New Roman"/>
          <w:sz w:val="26"/>
          <w:szCs w:val="26"/>
        </w:rPr>
      </w:pPr>
      <w:r w:rsidRPr="00886F32">
        <w:rPr>
          <w:rFonts w:ascii="Times New Roman" w:hAnsi="Times New Roman" w:cs="Times New Roman"/>
          <w:sz w:val="26"/>
          <w:szCs w:val="26"/>
        </w:rPr>
        <w:t>1)</w:t>
      </w:r>
      <w:r w:rsidR="004767DB" w:rsidRPr="00886F32">
        <w:rPr>
          <w:rFonts w:ascii="Times New Roman" w:hAnsi="Times New Roman" w:cs="Times New Roman"/>
          <w:sz w:val="26"/>
          <w:szCs w:val="26"/>
        </w:rPr>
        <w:t xml:space="preserve"> darbinieku skaits ir vienāds vai pārsniedz </w:t>
      </w:r>
      <w:r w:rsidRPr="00886F32">
        <w:rPr>
          <w:rFonts w:ascii="Times New Roman" w:hAnsi="Times New Roman" w:cs="Times New Roman"/>
          <w:sz w:val="26"/>
          <w:szCs w:val="26"/>
        </w:rPr>
        <w:t>150</w:t>
      </w:r>
      <w:r w:rsidR="004767DB" w:rsidRPr="00886F32">
        <w:rPr>
          <w:rFonts w:ascii="Times New Roman" w:hAnsi="Times New Roman" w:cs="Times New Roman"/>
          <w:sz w:val="26"/>
          <w:szCs w:val="26"/>
        </w:rPr>
        <w:t xml:space="preserve"> darbiniekus</w:t>
      </w:r>
      <w:r w:rsidRPr="00886F32">
        <w:rPr>
          <w:rFonts w:ascii="Times New Roman" w:hAnsi="Times New Roman" w:cs="Times New Roman"/>
          <w:sz w:val="26"/>
          <w:szCs w:val="26"/>
        </w:rPr>
        <w:t>;</w:t>
      </w:r>
    </w:p>
    <w:p w14:paraId="36F3AEE3" w14:textId="55D35CA8" w:rsidR="003545B1" w:rsidRPr="00886F32" w:rsidRDefault="00340DA2" w:rsidP="004767DB">
      <w:pPr>
        <w:pStyle w:val="ListParagraph"/>
        <w:autoSpaceDE w:val="0"/>
        <w:autoSpaceDN w:val="0"/>
        <w:adjustRightInd w:val="0"/>
        <w:spacing w:after="0" w:line="240" w:lineRule="auto"/>
        <w:ind w:left="0" w:firstLine="709"/>
        <w:jc w:val="both"/>
        <w:rPr>
          <w:rFonts w:ascii="Times New Roman" w:hAnsi="Times New Roman" w:cs="Times New Roman"/>
          <w:sz w:val="26"/>
          <w:szCs w:val="26"/>
        </w:rPr>
      </w:pPr>
      <w:r w:rsidRPr="00886F32">
        <w:rPr>
          <w:rFonts w:ascii="Times New Roman" w:hAnsi="Times New Roman" w:cs="Times New Roman"/>
          <w:sz w:val="26"/>
          <w:szCs w:val="26"/>
        </w:rPr>
        <w:t>2)</w:t>
      </w:r>
      <w:r w:rsidR="004767DB" w:rsidRPr="00886F32">
        <w:rPr>
          <w:rFonts w:ascii="Times New Roman" w:hAnsi="Times New Roman" w:cs="Times New Roman"/>
          <w:sz w:val="26"/>
          <w:szCs w:val="26"/>
        </w:rPr>
        <w:t xml:space="preserve"> gada apgrozījums </w:t>
      </w:r>
      <w:r w:rsidR="00197389" w:rsidRPr="00886F32">
        <w:rPr>
          <w:rFonts w:ascii="Times New Roman" w:hAnsi="Times New Roman" w:cs="Times New Roman"/>
          <w:sz w:val="26"/>
          <w:szCs w:val="26"/>
        </w:rPr>
        <w:t xml:space="preserve">par pēdējo gadu </w:t>
      </w:r>
      <w:r w:rsidR="004767DB" w:rsidRPr="00886F32">
        <w:rPr>
          <w:rFonts w:ascii="Times New Roman" w:hAnsi="Times New Roman" w:cs="Times New Roman"/>
          <w:sz w:val="26"/>
          <w:szCs w:val="26"/>
        </w:rPr>
        <w:t xml:space="preserve">pārsniedz 50 000 000 </w:t>
      </w:r>
      <w:proofErr w:type="spellStart"/>
      <w:r w:rsidR="004767DB" w:rsidRPr="00886F32">
        <w:rPr>
          <w:rFonts w:ascii="Times New Roman" w:hAnsi="Times New Roman" w:cs="Times New Roman"/>
          <w:i/>
          <w:iCs/>
          <w:sz w:val="26"/>
          <w:szCs w:val="26"/>
        </w:rPr>
        <w:t>euro</w:t>
      </w:r>
      <w:proofErr w:type="spellEnd"/>
      <w:r w:rsidR="004767DB" w:rsidRPr="00886F32">
        <w:rPr>
          <w:rFonts w:ascii="Times New Roman" w:hAnsi="Times New Roman" w:cs="Times New Roman"/>
          <w:sz w:val="26"/>
          <w:szCs w:val="26"/>
        </w:rPr>
        <w:t xml:space="preserve"> </w:t>
      </w:r>
      <w:r w:rsidR="00E527D3" w:rsidRPr="00886F32">
        <w:rPr>
          <w:rFonts w:ascii="Times New Roman" w:hAnsi="Times New Roman" w:cs="Times New Roman"/>
          <w:sz w:val="26"/>
          <w:szCs w:val="26"/>
        </w:rPr>
        <w:t>un</w:t>
      </w:r>
      <w:r w:rsidR="004767DB" w:rsidRPr="00886F32">
        <w:rPr>
          <w:rFonts w:ascii="Times New Roman" w:hAnsi="Times New Roman" w:cs="Times New Roman"/>
          <w:sz w:val="26"/>
          <w:szCs w:val="26"/>
        </w:rPr>
        <w:t xml:space="preserve"> gada bilances kopsumma </w:t>
      </w:r>
      <w:r w:rsidR="00197389" w:rsidRPr="00886F32">
        <w:rPr>
          <w:rFonts w:ascii="Times New Roman" w:hAnsi="Times New Roman" w:cs="Times New Roman"/>
          <w:sz w:val="26"/>
          <w:szCs w:val="26"/>
        </w:rPr>
        <w:t xml:space="preserve">par pēdējo gadu </w:t>
      </w:r>
      <w:r w:rsidR="004767DB" w:rsidRPr="00886F32">
        <w:rPr>
          <w:rFonts w:ascii="Times New Roman" w:hAnsi="Times New Roman" w:cs="Times New Roman"/>
          <w:sz w:val="26"/>
          <w:szCs w:val="26"/>
        </w:rPr>
        <w:t xml:space="preserve">pārsniedz 43 000 000 </w:t>
      </w:r>
      <w:proofErr w:type="spellStart"/>
      <w:r w:rsidR="004767DB" w:rsidRPr="00886F32">
        <w:rPr>
          <w:rFonts w:ascii="Times New Roman" w:hAnsi="Times New Roman" w:cs="Times New Roman"/>
          <w:i/>
          <w:iCs/>
          <w:sz w:val="26"/>
          <w:szCs w:val="26"/>
        </w:rPr>
        <w:t>euro</w:t>
      </w:r>
      <w:proofErr w:type="spellEnd"/>
      <w:r w:rsidR="004767DB" w:rsidRPr="00886F32">
        <w:rPr>
          <w:rFonts w:ascii="Times New Roman" w:hAnsi="Times New Roman" w:cs="Times New Roman"/>
          <w:sz w:val="26"/>
          <w:szCs w:val="26"/>
        </w:rPr>
        <w:t xml:space="preserve">. </w:t>
      </w:r>
    </w:p>
    <w:p w14:paraId="71E4FF23" w14:textId="610D9BAE" w:rsidR="00710CF8" w:rsidRPr="00886F32" w:rsidRDefault="00AC105E" w:rsidP="00B74809">
      <w:pPr>
        <w:pStyle w:val="ListParagraph"/>
        <w:autoSpaceDE w:val="0"/>
        <w:autoSpaceDN w:val="0"/>
        <w:adjustRightInd w:val="0"/>
        <w:spacing w:after="0" w:line="240" w:lineRule="auto"/>
        <w:ind w:left="0" w:firstLine="709"/>
        <w:jc w:val="both"/>
        <w:rPr>
          <w:rFonts w:ascii="Times New Roman" w:hAnsi="Times New Roman" w:cs="Times New Roman"/>
          <w:sz w:val="26"/>
          <w:szCs w:val="26"/>
        </w:rPr>
      </w:pPr>
      <w:r w:rsidRPr="00886F32">
        <w:rPr>
          <w:rFonts w:ascii="Times New Roman" w:hAnsi="Times New Roman" w:cs="Times New Roman"/>
          <w:sz w:val="26"/>
          <w:szCs w:val="26"/>
        </w:rPr>
        <w:t>5.</w:t>
      </w:r>
      <w:r w:rsidRPr="00886F32">
        <w:rPr>
          <w:rFonts w:ascii="Times New Roman" w:hAnsi="Times New Roman" w:cs="Times New Roman"/>
          <w:sz w:val="26"/>
          <w:szCs w:val="26"/>
          <w:vertAlign w:val="superscript"/>
        </w:rPr>
        <w:t>1</w:t>
      </w:r>
      <w:r w:rsidRPr="00886F32">
        <w:rPr>
          <w:rFonts w:ascii="Times New Roman" w:hAnsi="Times New Roman" w:cs="Times New Roman"/>
          <w:sz w:val="26"/>
          <w:szCs w:val="26"/>
        </w:rPr>
        <w:t xml:space="preserve"> Saskaņā ar šo noteikumu 5.</w:t>
      </w:r>
      <w:r w:rsidR="00411720">
        <w:rPr>
          <w:rFonts w:ascii="Times New Roman" w:hAnsi="Times New Roman" w:cs="Times New Roman"/>
          <w:sz w:val="26"/>
          <w:szCs w:val="26"/>
        </w:rPr>
        <w:t> </w:t>
      </w:r>
      <w:r w:rsidRPr="00886F32">
        <w:rPr>
          <w:rFonts w:ascii="Times New Roman" w:hAnsi="Times New Roman" w:cs="Times New Roman"/>
          <w:sz w:val="26"/>
          <w:szCs w:val="26"/>
        </w:rPr>
        <w:t>punktā minētajiem kritērijiem finansējumu nevar saņemt publiskas personas kapitālsabiedrība, publiskas personas kontrolēta kapitālsabiedrība, publiski privātā kapitālsabiedrība, privātā kapitālsabiedrība, meitas sabiedrība, valsts kapitālsabiedrība, atvasinātas publiskas personas kapitālsabiedrība vai pašvaldības kapitālsabiedrība Publiskas personas kapitāla daļu un kapitālsabiedrību pārvaldības likuma izpratnē.</w:t>
      </w:r>
      <w:r w:rsidR="00EE4549" w:rsidRPr="00886F32">
        <w:rPr>
          <w:rFonts w:ascii="Times New Roman" w:hAnsi="Times New Roman" w:cs="Times New Roman"/>
          <w:sz w:val="26"/>
          <w:szCs w:val="26"/>
        </w:rPr>
        <w:t>"</w:t>
      </w:r>
    </w:p>
    <w:p w14:paraId="56FAD34F" w14:textId="08682690" w:rsidR="00B74809" w:rsidRPr="00886F32" w:rsidRDefault="00B74809" w:rsidP="00B74809">
      <w:pPr>
        <w:autoSpaceDE w:val="0"/>
        <w:autoSpaceDN w:val="0"/>
        <w:adjustRightInd w:val="0"/>
        <w:spacing w:after="0" w:line="240" w:lineRule="auto"/>
        <w:jc w:val="both"/>
        <w:rPr>
          <w:rFonts w:ascii="Times New Roman" w:hAnsi="Times New Roman" w:cs="Times New Roman"/>
          <w:sz w:val="26"/>
          <w:szCs w:val="26"/>
        </w:rPr>
      </w:pPr>
    </w:p>
    <w:p w14:paraId="6DFE9A92" w14:textId="52E5DE5C" w:rsidR="00057EF5" w:rsidRPr="009D1A12" w:rsidRDefault="00057EF5" w:rsidP="00886F32">
      <w:pPr>
        <w:pStyle w:val="ListParagraph"/>
        <w:numPr>
          <w:ilvl w:val="1"/>
          <w:numId w:val="24"/>
        </w:numPr>
        <w:autoSpaceDE w:val="0"/>
        <w:autoSpaceDN w:val="0"/>
        <w:adjustRightInd w:val="0"/>
        <w:spacing w:after="0" w:line="240" w:lineRule="auto"/>
        <w:jc w:val="both"/>
        <w:rPr>
          <w:rFonts w:ascii="Times New Roman" w:hAnsi="Times New Roman" w:cs="Times New Roman"/>
          <w:sz w:val="26"/>
          <w:szCs w:val="26"/>
        </w:rPr>
      </w:pPr>
      <w:r w:rsidRPr="009D1A12">
        <w:rPr>
          <w:rFonts w:ascii="Times New Roman" w:hAnsi="Times New Roman" w:cs="Times New Roman"/>
          <w:sz w:val="26"/>
          <w:szCs w:val="26"/>
        </w:rPr>
        <w:t>Izteikt 6. punktu šādā redakcijā:</w:t>
      </w:r>
    </w:p>
    <w:p w14:paraId="50184DC7" w14:textId="77226C8D" w:rsidR="00644D0B" w:rsidRPr="009D1A12" w:rsidRDefault="00057EF5" w:rsidP="00644D0B">
      <w:pPr>
        <w:pStyle w:val="ListParagraph"/>
        <w:autoSpaceDE w:val="0"/>
        <w:autoSpaceDN w:val="0"/>
        <w:adjustRightInd w:val="0"/>
        <w:spacing w:after="0" w:line="240" w:lineRule="auto"/>
        <w:ind w:left="0" w:firstLine="567"/>
        <w:jc w:val="both"/>
        <w:rPr>
          <w:rFonts w:ascii="Times New Roman" w:hAnsi="Times New Roman" w:cs="Times New Roman"/>
          <w:sz w:val="26"/>
          <w:szCs w:val="26"/>
        </w:rPr>
      </w:pPr>
      <w:r w:rsidRPr="009D1A12">
        <w:rPr>
          <w:rFonts w:ascii="Times New Roman" w:hAnsi="Times New Roman" w:cs="Times New Roman"/>
          <w:sz w:val="26"/>
          <w:szCs w:val="26"/>
        </w:rPr>
        <w:t>"</w:t>
      </w:r>
      <w:r w:rsidR="00F66BBE" w:rsidRPr="009D1A12">
        <w:rPr>
          <w:rFonts w:ascii="Times New Roman" w:hAnsi="Times New Roman" w:cs="Times New Roman"/>
          <w:sz w:val="26"/>
          <w:szCs w:val="26"/>
        </w:rPr>
        <w:t xml:space="preserve">6. </w:t>
      </w:r>
      <w:bookmarkStart w:id="2" w:name="_Hlk80283869"/>
      <w:r w:rsidRPr="009D1A12">
        <w:rPr>
          <w:rFonts w:ascii="Times New Roman" w:hAnsi="Times New Roman" w:cs="Times New Roman"/>
          <w:sz w:val="26"/>
          <w:szCs w:val="26"/>
        </w:rPr>
        <w:t>Šo noteikumu izpratnē saistītās personas ir saimnieciskās darbības veicēji, kas atbilst Komisijas 2014. gada 17. jūnija Regulas (ES) Nr. 651/2014, ar ko noteiktas atbalsta kategorijas atzīst par saderīgām ar iekšējo tirgu, piemērojot Līguma 107. un 108. pantu (turpmāk – Komisijas regula Nr. 651/2014) I pielikuma 3. panta 3. punktā noteiktajai definīcijai vai</w:t>
      </w:r>
      <w:bookmarkEnd w:id="2"/>
      <w:r w:rsidRPr="009D1A12">
        <w:rPr>
          <w:rFonts w:ascii="Times New Roman" w:hAnsi="Times New Roman" w:cs="Times New Roman"/>
          <w:sz w:val="26"/>
          <w:szCs w:val="26"/>
        </w:rPr>
        <w:t xml:space="preserve"> </w:t>
      </w:r>
      <w:r w:rsidR="00F66BBE" w:rsidRPr="009D1A12">
        <w:rPr>
          <w:rFonts w:ascii="Times New Roman" w:hAnsi="Times New Roman" w:cs="Times New Roman"/>
          <w:sz w:val="26"/>
          <w:szCs w:val="26"/>
        </w:rPr>
        <w:t xml:space="preserve"> Komisijas 2014. gada 25. jūnija Regulas (ES) Nr. 702/2014, ar kuru konkrētas atbalsta kategorijas lauksaimniecības un mežsaimniecības nozarē un </w:t>
      </w:r>
      <w:bookmarkStart w:id="3" w:name="_GoBack"/>
      <w:bookmarkEnd w:id="3"/>
      <w:r w:rsidR="00F66BBE" w:rsidRPr="009D1A12">
        <w:rPr>
          <w:rFonts w:ascii="Times New Roman" w:hAnsi="Times New Roman" w:cs="Times New Roman"/>
          <w:sz w:val="26"/>
          <w:szCs w:val="26"/>
        </w:rPr>
        <w:t xml:space="preserve">lauku apvidos atzīst par saderīgām ar iekšējo tirgu, piemērojot Līguma par Eiropas </w:t>
      </w:r>
      <w:r w:rsidR="00644D0B" w:rsidRPr="009D1A12">
        <w:rPr>
          <w:rFonts w:ascii="Times New Roman" w:hAnsi="Times New Roman" w:cs="Times New Roman"/>
          <w:sz w:val="26"/>
          <w:szCs w:val="26"/>
        </w:rPr>
        <w:t>Savienības darbību 107. un 108. pantu (turpmāk – Komisijas regula Nr. 702/2014) I pielikuma 3. panta 3. punktā noteiktajai definīcijai</w:t>
      </w:r>
      <w:r w:rsidR="00000327">
        <w:rPr>
          <w:rFonts w:ascii="Times New Roman" w:hAnsi="Times New Roman" w:cs="Times New Roman"/>
          <w:sz w:val="26"/>
          <w:szCs w:val="26"/>
        </w:rPr>
        <w:t xml:space="preserve"> vai </w:t>
      </w:r>
      <w:r w:rsidR="00000327" w:rsidRPr="00000327">
        <w:rPr>
          <w:rFonts w:ascii="Times New Roman" w:hAnsi="Times New Roman" w:cs="Times New Roman"/>
          <w:sz w:val="26"/>
          <w:szCs w:val="26"/>
        </w:rPr>
        <w:t xml:space="preserve">Komisijas 2014. gada 16. </w:t>
      </w:r>
      <w:r w:rsidR="00000327" w:rsidRPr="00000327">
        <w:rPr>
          <w:rFonts w:ascii="Times New Roman" w:hAnsi="Times New Roman" w:cs="Times New Roman"/>
          <w:sz w:val="26"/>
          <w:szCs w:val="26"/>
        </w:rPr>
        <w:lastRenderedPageBreak/>
        <w:t>decembra Regulas (EK) Nr. 1388/2014, ar ko konkrētas atbalsta kategorijas uzņēmumiem, kuri nodarbojas ar zvejas un akvakultūras produktu ražošanu, apstrādi un tirdzniecību, atzīst par saderīgām ar iekšējo tirgu, piemērojot Līguma par Eiropas Savienības darbību 107. un 108. pantu</w:t>
      </w:r>
      <w:r w:rsidR="00000327">
        <w:rPr>
          <w:rFonts w:ascii="Times New Roman" w:hAnsi="Times New Roman" w:cs="Times New Roman"/>
          <w:sz w:val="26"/>
          <w:szCs w:val="26"/>
        </w:rPr>
        <w:t xml:space="preserve"> </w:t>
      </w:r>
      <w:r w:rsidR="00000327" w:rsidRPr="009D1A12">
        <w:rPr>
          <w:rFonts w:ascii="Times New Roman" w:hAnsi="Times New Roman" w:cs="Times New Roman"/>
          <w:sz w:val="26"/>
          <w:szCs w:val="26"/>
        </w:rPr>
        <w:t xml:space="preserve">(turpmāk – Komisijas regula Nr. </w:t>
      </w:r>
      <w:r w:rsidR="00000327">
        <w:rPr>
          <w:rFonts w:ascii="Times New Roman" w:hAnsi="Times New Roman" w:cs="Times New Roman"/>
          <w:sz w:val="26"/>
          <w:szCs w:val="26"/>
        </w:rPr>
        <w:t>1388</w:t>
      </w:r>
      <w:r w:rsidR="00000327" w:rsidRPr="009D1A12">
        <w:rPr>
          <w:rFonts w:ascii="Times New Roman" w:hAnsi="Times New Roman" w:cs="Times New Roman"/>
          <w:sz w:val="26"/>
          <w:szCs w:val="26"/>
        </w:rPr>
        <w:t>/2014)</w:t>
      </w:r>
      <w:r w:rsidR="00000327">
        <w:rPr>
          <w:rFonts w:ascii="Times New Roman" w:hAnsi="Times New Roman" w:cs="Times New Roman"/>
          <w:sz w:val="26"/>
          <w:szCs w:val="26"/>
        </w:rPr>
        <w:t xml:space="preserve"> </w:t>
      </w:r>
      <w:r w:rsidR="00000327" w:rsidRPr="009D1A12">
        <w:rPr>
          <w:rFonts w:ascii="Times New Roman" w:hAnsi="Times New Roman" w:cs="Times New Roman"/>
          <w:sz w:val="26"/>
          <w:szCs w:val="26"/>
        </w:rPr>
        <w:t>I pielikuma 3. panta 3. punktā</w:t>
      </w:r>
      <w:r w:rsidR="00644D0B" w:rsidRPr="009D1A12">
        <w:rPr>
          <w:rFonts w:ascii="Times New Roman" w:hAnsi="Times New Roman" w:cs="Times New Roman"/>
          <w:sz w:val="26"/>
          <w:szCs w:val="26"/>
        </w:rPr>
        <w:t>.</w:t>
      </w:r>
    </w:p>
    <w:p w14:paraId="4AB686A1" w14:textId="4A815AB9" w:rsidR="00057EF5" w:rsidRPr="009D1A12" w:rsidRDefault="00644D0B" w:rsidP="00644D0B">
      <w:pPr>
        <w:pStyle w:val="ListParagraph"/>
        <w:autoSpaceDE w:val="0"/>
        <w:autoSpaceDN w:val="0"/>
        <w:adjustRightInd w:val="0"/>
        <w:spacing w:after="0" w:line="240" w:lineRule="auto"/>
        <w:ind w:left="0" w:firstLine="567"/>
        <w:jc w:val="both"/>
        <w:rPr>
          <w:rFonts w:ascii="Times New Roman" w:hAnsi="Times New Roman" w:cs="Times New Roman"/>
          <w:sz w:val="26"/>
          <w:szCs w:val="26"/>
        </w:rPr>
      </w:pPr>
      <w:r w:rsidRPr="009D1A12">
        <w:rPr>
          <w:rFonts w:ascii="Times New Roman" w:hAnsi="Times New Roman" w:cs="Times New Roman"/>
          <w:sz w:val="26"/>
          <w:szCs w:val="26"/>
        </w:rPr>
        <w:t>6.</w:t>
      </w:r>
      <w:r w:rsidRPr="009D1A12">
        <w:rPr>
          <w:rFonts w:ascii="Times New Roman" w:hAnsi="Times New Roman" w:cs="Times New Roman"/>
          <w:sz w:val="26"/>
          <w:szCs w:val="26"/>
          <w:vertAlign w:val="superscript"/>
        </w:rPr>
        <w:t xml:space="preserve">1 </w:t>
      </w:r>
      <w:r w:rsidRPr="009D1A12">
        <w:rPr>
          <w:rFonts w:ascii="Times New Roman" w:hAnsi="Times New Roman" w:cs="Times New Roman"/>
          <w:sz w:val="26"/>
          <w:szCs w:val="26"/>
        </w:rPr>
        <w:t>Finansējuma sniedzējs atbalstu piešķir, izvērtējot komersantu saistīto personu līmenī, un piemērojamās aizdevumu procentu likmes nosaka, ievērojot Komisijas regulas Nr. 651/2014 I pielikuma 2. pantā</w:t>
      </w:r>
      <w:r w:rsidR="00B84E30">
        <w:rPr>
          <w:rFonts w:ascii="Times New Roman" w:hAnsi="Times New Roman" w:cs="Times New Roman"/>
          <w:sz w:val="26"/>
          <w:szCs w:val="26"/>
        </w:rPr>
        <w:t xml:space="preserve">, </w:t>
      </w:r>
      <w:r w:rsidRPr="009D1A12">
        <w:rPr>
          <w:rFonts w:ascii="Times New Roman" w:hAnsi="Times New Roman" w:cs="Times New Roman"/>
          <w:sz w:val="26"/>
          <w:szCs w:val="26"/>
        </w:rPr>
        <w:t xml:space="preserve">Komisijas regulas Nr. 702/2014 I pielikuma 2. pantā </w:t>
      </w:r>
      <w:r w:rsidR="00CD4CC1">
        <w:rPr>
          <w:rFonts w:ascii="Times New Roman" w:hAnsi="Times New Roman" w:cs="Times New Roman"/>
          <w:sz w:val="26"/>
          <w:szCs w:val="26"/>
        </w:rPr>
        <w:t xml:space="preserve">un </w:t>
      </w:r>
      <w:r w:rsidR="00CD4CC1" w:rsidRPr="009D1A12">
        <w:rPr>
          <w:rFonts w:ascii="Times New Roman" w:hAnsi="Times New Roman" w:cs="Times New Roman"/>
          <w:sz w:val="26"/>
          <w:szCs w:val="26"/>
        </w:rPr>
        <w:t>Komisijas regula</w:t>
      </w:r>
      <w:r w:rsidR="00CD4CC1">
        <w:rPr>
          <w:rFonts w:ascii="Times New Roman" w:hAnsi="Times New Roman" w:cs="Times New Roman"/>
          <w:sz w:val="26"/>
          <w:szCs w:val="26"/>
        </w:rPr>
        <w:t>s</w:t>
      </w:r>
      <w:r w:rsidR="00CD4CC1" w:rsidRPr="009D1A12">
        <w:rPr>
          <w:rFonts w:ascii="Times New Roman" w:hAnsi="Times New Roman" w:cs="Times New Roman"/>
          <w:sz w:val="26"/>
          <w:szCs w:val="26"/>
        </w:rPr>
        <w:t xml:space="preserve"> Nr. </w:t>
      </w:r>
      <w:r w:rsidR="00CD4CC1">
        <w:rPr>
          <w:rFonts w:ascii="Times New Roman" w:hAnsi="Times New Roman" w:cs="Times New Roman"/>
          <w:sz w:val="26"/>
          <w:szCs w:val="26"/>
        </w:rPr>
        <w:t>1388</w:t>
      </w:r>
      <w:r w:rsidR="00CD4CC1" w:rsidRPr="009D1A12">
        <w:rPr>
          <w:rFonts w:ascii="Times New Roman" w:hAnsi="Times New Roman" w:cs="Times New Roman"/>
          <w:sz w:val="26"/>
          <w:szCs w:val="26"/>
        </w:rPr>
        <w:t>/2014</w:t>
      </w:r>
      <w:r w:rsidR="00CD4CC1">
        <w:rPr>
          <w:rFonts w:ascii="Times New Roman" w:hAnsi="Times New Roman" w:cs="Times New Roman"/>
          <w:sz w:val="26"/>
          <w:szCs w:val="26"/>
        </w:rPr>
        <w:t xml:space="preserve"> </w:t>
      </w:r>
      <w:r w:rsidR="00CD4CC1" w:rsidRPr="009D1A12">
        <w:rPr>
          <w:rFonts w:ascii="Times New Roman" w:hAnsi="Times New Roman" w:cs="Times New Roman"/>
          <w:sz w:val="26"/>
          <w:szCs w:val="26"/>
        </w:rPr>
        <w:t xml:space="preserve">I pielikuma 2. pantā </w:t>
      </w:r>
      <w:r w:rsidRPr="009D1A12">
        <w:rPr>
          <w:rFonts w:ascii="Times New Roman" w:hAnsi="Times New Roman" w:cs="Times New Roman"/>
          <w:sz w:val="26"/>
          <w:szCs w:val="26"/>
        </w:rPr>
        <w:t>noteiktās robežvērtības konkrētajām uzņēmumu kategorijām.</w:t>
      </w:r>
      <w:r w:rsidR="008646C0" w:rsidRPr="009D1A12">
        <w:rPr>
          <w:rFonts w:ascii="Times New Roman" w:hAnsi="Times New Roman" w:cs="Times New Roman"/>
          <w:sz w:val="26"/>
          <w:szCs w:val="26"/>
          <w:vertAlign w:val="superscript"/>
        </w:rPr>
        <w:t xml:space="preserve"> </w:t>
      </w:r>
      <w:r w:rsidR="00057EF5" w:rsidRPr="009D1A12">
        <w:rPr>
          <w:rFonts w:ascii="Times New Roman" w:hAnsi="Times New Roman" w:cs="Times New Roman"/>
          <w:sz w:val="26"/>
          <w:szCs w:val="26"/>
        </w:rPr>
        <w:t>"</w:t>
      </w:r>
    </w:p>
    <w:p w14:paraId="77FA6D27" w14:textId="77777777" w:rsidR="00057EF5" w:rsidRPr="009D1A12" w:rsidRDefault="00057EF5" w:rsidP="00057EF5">
      <w:pPr>
        <w:pStyle w:val="ListParagraph"/>
        <w:autoSpaceDE w:val="0"/>
        <w:autoSpaceDN w:val="0"/>
        <w:adjustRightInd w:val="0"/>
        <w:spacing w:after="0" w:line="240" w:lineRule="auto"/>
        <w:ind w:left="643"/>
        <w:jc w:val="both"/>
        <w:rPr>
          <w:rFonts w:ascii="Times New Roman" w:hAnsi="Times New Roman" w:cs="Times New Roman"/>
          <w:sz w:val="26"/>
          <w:szCs w:val="26"/>
        </w:rPr>
      </w:pPr>
    </w:p>
    <w:p w14:paraId="6AEB3E33" w14:textId="3BC712D1" w:rsidR="00B74809" w:rsidRPr="009D1A12" w:rsidRDefault="00B74809" w:rsidP="00886F32">
      <w:pPr>
        <w:pStyle w:val="ListParagraph"/>
        <w:numPr>
          <w:ilvl w:val="1"/>
          <w:numId w:val="24"/>
        </w:numPr>
        <w:autoSpaceDE w:val="0"/>
        <w:autoSpaceDN w:val="0"/>
        <w:adjustRightInd w:val="0"/>
        <w:spacing w:after="0" w:line="240" w:lineRule="auto"/>
        <w:jc w:val="both"/>
        <w:rPr>
          <w:rFonts w:ascii="Times New Roman" w:hAnsi="Times New Roman" w:cs="Times New Roman"/>
          <w:sz w:val="26"/>
          <w:szCs w:val="26"/>
        </w:rPr>
      </w:pPr>
      <w:r w:rsidRPr="009D1A12">
        <w:rPr>
          <w:rFonts w:ascii="Times New Roman" w:hAnsi="Times New Roman" w:cs="Times New Roman"/>
          <w:sz w:val="26"/>
          <w:szCs w:val="26"/>
        </w:rPr>
        <w:t>Izteikt 18.</w:t>
      </w:r>
      <w:r w:rsidR="00057EF5" w:rsidRPr="009D1A12">
        <w:rPr>
          <w:rFonts w:ascii="Times New Roman" w:hAnsi="Times New Roman" w:cs="Times New Roman"/>
          <w:sz w:val="26"/>
          <w:szCs w:val="26"/>
        </w:rPr>
        <w:t> </w:t>
      </w:r>
      <w:r w:rsidRPr="009D1A12">
        <w:rPr>
          <w:rFonts w:ascii="Times New Roman" w:hAnsi="Times New Roman" w:cs="Times New Roman"/>
          <w:sz w:val="26"/>
          <w:szCs w:val="26"/>
        </w:rPr>
        <w:t>punktu šādā redakcijā:</w:t>
      </w:r>
    </w:p>
    <w:p w14:paraId="5FBFC49D" w14:textId="77777777" w:rsidR="00B74809" w:rsidRPr="009D1A12" w:rsidRDefault="00B74809" w:rsidP="00B74809">
      <w:pPr>
        <w:autoSpaceDE w:val="0"/>
        <w:autoSpaceDN w:val="0"/>
        <w:adjustRightInd w:val="0"/>
        <w:spacing w:after="0" w:line="240" w:lineRule="auto"/>
        <w:ind w:left="283"/>
        <w:jc w:val="both"/>
        <w:rPr>
          <w:rFonts w:ascii="Times New Roman" w:hAnsi="Times New Roman" w:cs="Times New Roman"/>
          <w:sz w:val="26"/>
          <w:szCs w:val="26"/>
        </w:rPr>
      </w:pPr>
    </w:p>
    <w:p w14:paraId="6FC2741B" w14:textId="383E934B" w:rsidR="00ED368C" w:rsidRPr="009D1A12" w:rsidRDefault="00EE4549" w:rsidP="00177DE7">
      <w:pPr>
        <w:spacing w:after="0" w:line="240" w:lineRule="auto"/>
        <w:ind w:right="-199" w:firstLine="709"/>
        <w:jc w:val="both"/>
        <w:rPr>
          <w:rFonts w:ascii="Times New Roman" w:hAnsi="Times New Roman" w:cs="Times New Roman"/>
          <w:sz w:val="26"/>
          <w:szCs w:val="26"/>
        </w:rPr>
      </w:pPr>
      <w:r w:rsidRPr="009D1A12">
        <w:rPr>
          <w:rFonts w:ascii="Times New Roman" w:hAnsi="Times New Roman" w:cs="Times New Roman"/>
          <w:sz w:val="26"/>
          <w:szCs w:val="26"/>
        </w:rPr>
        <w:t>"</w:t>
      </w:r>
      <w:r w:rsidR="00B74809" w:rsidRPr="009D1A12">
        <w:rPr>
          <w:rFonts w:ascii="Times New Roman" w:hAnsi="Times New Roman" w:cs="Times New Roman"/>
          <w:sz w:val="26"/>
          <w:szCs w:val="26"/>
        </w:rPr>
        <w:t xml:space="preserve">18. Ja komersanta akcijas nav iekļautas akciju sabiedrības </w:t>
      </w:r>
      <w:r w:rsidR="008A3F8B" w:rsidRPr="009D1A12">
        <w:rPr>
          <w:rFonts w:ascii="Times New Roman" w:hAnsi="Times New Roman" w:cs="Times New Roman"/>
          <w:sz w:val="26"/>
          <w:szCs w:val="26"/>
        </w:rPr>
        <w:t>“</w:t>
      </w:r>
      <w:proofErr w:type="spellStart"/>
      <w:r w:rsidR="00B74809" w:rsidRPr="009D1A12">
        <w:rPr>
          <w:rFonts w:ascii="Times New Roman" w:hAnsi="Times New Roman" w:cs="Times New Roman"/>
          <w:sz w:val="26"/>
          <w:szCs w:val="26"/>
        </w:rPr>
        <w:t>Nasdaq</w:t>
      </w:r>
      <w:proofErr w:type="spellEnd"/>
      <w:r w:rsidR="00B74809" w:rsidRPr="009D1A12">
        <w:rPr>
          <w:rFonts w:ascii="Times New Roman" w:hAnsi="Times New Roman" w:cs="Times New Roman"/>
          <w:sz w:val="26"/>
          <w:szCs w:val="26"/>
        </w:rPr>
        <w:t xml:space="preserve"> </w:t>
      </w:r>
      <w:proofErr w:type="spellStart"/>
      <w:r w:rsidR="00B74809" w:rsidRPr="009D1A12">
        <w:rPr>
          <w:rFonts w:ascii="Times New Roman" w:hAnsi="Times New Roman" w:cs="Times New Roman"/>
          <w:sz w:val="26"/>
          <w:szCs w:val="26"/>
        </w:rPr>
        <w:t>Riga</w:t>
      </w:r>
      <w:proofErr w:type="spellEnd"/>
      <w:r w:rsidR="008A3F8B" w:rsidRPr="009D1A12">
        <w:rPr>
          <w:rFonts w:ascii="Times New Roman" w:hAnsi="Times New Roman" w:cs="Times New Roman"/>
          <w:sz w:val="26"/>
          <w:szCs w:val="26"/>
        </w:rPr>
        <w:t>”</w:t>
      </w:r>
      <w:r w:rsidR="00B74809" w:rsidRPr="009D1A12">
        <w:rPr>
          <w:rFonts w:ascii="Times New Roman" w:hAnsi="Times New Roman" w:cs="Times New Roman"/>
          <w:sz w:val="26"/>
          <w:szCs w:val="26"/>
        </w:rPr>
        <w:t xml:space="preserve"> regulētajā tirgū vai daudzpusējā tirdzniecības sistēmā, akciju</w:t>
      </w:r>
      <w:r w:rsidR="00CD00C3" w:rsidRPr="009D1A12">
        <w:rPr>
          <w:rFonts w:ascii="Times New Roman" w:hAnsi="Times New Roman" w:cs="Times New Roman"/>
          <w:sz w:val="26"/>
          <w:szCs w:val="26"/>
        </w:rPr>
        <w:t xml:space="preserve"> </w:t>
      </w:r>
      <w:r w:rsidR="00B74809" w:rsidRPr="009D1A12">
        <w:rPr>
          <w:rFonts w:ascii="Times New Roman" w:hAnsi="Times New Roman" w:cs="Times New Roman"/>
          <w:sz w:val="26"/>
          <w:szCs w:val="26"/>
        </w:rPr>
        <w:t>tirgus vērtību nosaka neatkarīgs eksperts, kuru izraugās fonds</w:t>
      </w:r>
      <w:r w:rsidR="007B7FA4" w:rsidRPr="009D1A12">
        <w:rPr>
          <w:rFonts w:ascii="Times New Roman" w:hAnsi="Times New Roman" w:cs="Times New Roman"/>
          <w:sz w:val="26"/>
          <w:szCs w:val="26"/>
        </w:rPr>
        <w:t>,</w:t>
      </w:r>
      <w:r w:rsidR="00B74809" w:rsidRPr="009D1A12">
        <w:rPr>
          <w:rFonts w:ascii="Times New Roman" w:hAnsi="Times New Roman" w:cs="Times New Roman"/>
          <w:sz w:val="26"/>
          <w:szCs w:val="26"/>
        </w:rPr>
        <w:t xml:space="preserve"> vai izmantojot citus samērīgus līdzekļus.</w:t>
      </w:r>
      <w:r w:rsidRPr="009D1A12">
        <w:rPr>
          <w:rFonts w:ascii="Times New Roman" w:hAnsi="Times New Roman" w:cs="Times New Roman"/>
          <w:sz w:val="26"/>
          <w:szCs w:val="26"/>
        </w:rPr>
        <w:t>"</w:t>
      </w:r>
    </w:p>
    <w:p w14:paraId="53A56B6D" w14:textId="0C1723DF" w:rsidR="00E071AB" w:rsidRPr="009D1A12" w:rsidRDefault="00E071AB" w:rsidP="00177DE7">
      <w:pPr>
        <w:spacing w:after="0" w:line="240" w:lineRule="auto"/>
        <w:ind w:right="-199" w:firstLine="709"/>
        <w:jc w:val="both"/>
        <w:rPr>
          <w:rFonts w:ascii="Times New Roman" w:hAnsi="Times New Roman" w:cs="Times New Roman"/>
          <w:sz w:val="26"/>
          <w:szCs w:val="26"/>
        </w:rPr>
      </w:pPr>
    </w:p>
    <w:p w14:paraId="34871683" w14:textId="6BFF2787" w:rsidR="00E071AB" w:rsidRPr="009D1A12" w:rsidRDefault="00E071AB" w:rsidP="00E071AB">
      <w:pPr>
        <w:pStyle w:val="ListParagraph"/>
        <w:numPr>
          <w:ilvl w:val="1"/>
          <w:numId w:val="24"/>
        </w:numPr>
        <w:spacing w:after="0" w:line="240" w:lineRule="auto"/>
        <w:ind w:right="-199"/>
        <w:jc w:val="both"/>
        <w:rPr>
          <w:rFonts w:ascii="Times New Roman" w:hAnsi="Times New Roman" w:cs="Times New Roman"/>
          <w:sz w:val="26"/>
          <w:szCs w:val="26"/>
        </w:rPr>
      </w:pPr>
      <w:r w:rsidRPr="009D1A12">
        <w:rPr>
          <w:rFonts w:ascii="Times New Roman" w:hAnsi="Times New Roman" w:cs="Times New Roman"/>
          <w:sz w:val="26"/>
          <w:szCs w:val="26"/>
        </w:rPr>
        <w:t>Izteikt 35. punktu šādā redakcijā:</w:t>
      </w:r>
    </w:p>
    <w:p w14:paraId="369C4534" w14:textId="70F4B618" w:rsidR="00E071AB" w:rsidRPr="009D1A12" w:rsidRDefault="00E071AB" w:rsidP="00E071AB">
      <w:pPr>
        <w:spacing w:after="0" w:line="240" w:lineRule="auto"/>
        <w:ind w:left="643" w:right="-199"/>
        <w:jc w:val="both"/>
        <w:rPr>
          <w:rFonts w:ascii="Times New Roman" w:hAnsi="Times New Roman" w:cs="Times New Roman"/>
          <w:sz w:val="26"/>
          <w:szCs w:val="26"/>
        </w:rPr>
      </w:pPr>
    </w:p>
    <w:p w14:paraId="76FA9ECB" w14:textId="236351C0" w:rsidR="00E071AB" w:rsidRPr="009D1A12" w:rsidRDefault="00E071AB" w:rsidP="009D1A12">
      <w:pPr>
        <w:spacing w:after="0" w:line="240" w:lineRule="auto"/>
        <w:ind w:right="-199" w:firstLine="643"/>
        <w:jc w:val="both"/>
        <w:rPr>
          <w:rFonts w:ascii="Times New Roman" w:hAnsi="Times New Roman" w:cs="Times New Roman"/>
          <w:sz w:val="26"/>
          <w:szCs w:val="26"/>
        </w:rPr>
      </w:pPr>
      <w:r w:rsidRPr="009D1A12">
        <w:rPr>
          <w:rFonts w:ascii="Times New Roman" w:hAnsi="Times New Roman" w:cs="Times New Roman"/>
          <w:sz w:val="26"/>
          <w:szCs w:val="26"/>
        </w:rPr>
        <w:t>“35. Sabiedrība "</w:t>
      </w:r>
      <w:proofErr w:type="spellStart"/>
      <w:r w:rsidRPr="009D1A12">
        <w:rPr>
          <w:rFonts w:ascii="Times New Roman" w:hAnsi="Times New Roman" w:cs="Times New Roman"/>
          <w:sz w:val="26"/>
          <w:szCs w:val="26"/>
        </w:rPr>
        <w:t>Altum</w:t>
      </w:r>
      <w:proofErr w:type="spellEnd"/>
      <w:r w:rsidRPr="009D1A12">
        <w:rPr>
          <w:rFonts w:ascii="Times New Roman" w:hAnsi="Times New Roman" w:cs="Times New Roman"/>
          <w:sz w:val="26"/>
          <w:szCs w:val="26"/>
        </w:rPr>
        <w:t>" saskaņā ar Komisijas regulas Nr. 651/2014 III pielikumā</w:t>
      </w:r>
      <w:r w:rsidR="00000327">
        <w:rPr>
          <w:rFonts w:ascii="Times New Roman" w:hAnsi="Times New Roman" w:cs="Times New Roman"/>
          <w:sz w:val="26"/>
          <w:szCs w:val="26"/>
        </w:rPr>
        <w:t xml:space="preserve">, </w:t>
      </w:r>
      <w:r w:rsidRPr="009D1A12">
        <w:rPr>
          <w:rFonts w:ascii="Times New Roman" w:hAnsi="Times New Roman" w:cs="Times New Roman"/>
          <w:sz w:val="26"/>
          <w:szCs w:val="26"/>
        </w:rPr>
        <w:t xml:space="preserve"> Komisijas regula</w:t>
      </w:r>
      <w:r w:rsidR="00101E37">
        <w:rPr>
          <w:rFonts w:ascii="Times New Roman" w:hAnsi="Times New Roman" w:cs="Times New Roman"/>
          <w:sz w:val="26"/>
          <w:szCs w:val="26"/>
        </w:rPr>
        <w:t>s</w:t>
      </w:r>
      <w:r w:rsidRPr="009D1A12">
        <w:rPr>
          <w:rFonts w:ascii="Times New Roman" w:hAnsi="Times New Roman" w:cs="Times New Roman"/>
          <w:sz w:val="26"/>
          <w:szCs w:val="26"/>
        </w:rPr>
        <w:t xml:space="preserve"> Nr. 702/2014 III pielikumā</w:t>
      </w:r>
      <w:r w:rsidR="00000327">
        <w:rPr>
          <w:rFonts w:ascii="Times New Roman" w:hAnsi="Times New Roman" w:cs="Times New Roman"/>
          <w:sz w:val="26"/>
          <w:szCs w:val="26"/>
        </w:rPr>
        <w:t xml:space="preserve"> un </w:t>
      </w:r>
      <w:r w:rsidR="00000327" w:rsidRPr="009D1A12">
        <w:rPr>
          <w:rFonts w:ascii="Times New Roman" w:hAnsi="Times New Roman" w:cs="Times New Roman"/>
          <w:sz w:val="26"/>
          <w:szCs w:val="26"/>
        </w:rPr>
        <w:t>Komisijas regulas Nr.</w:t>
      </w:r>
      <w:r w:rsidR="00000327">
        <w:rPr>
          <w:rFonts w:ascii="Times New Roman" w:hAnsi="Times New Roman" w:cs="Times New Roman"/>
          <w:sz w:val="26"/>
          <w:szCs w:val="26"/>
        </w:rPr>
        <w:t xml:space="preserve"> 1388/2014 </w:t>
      </w:r>
      <w:r w:rsidRPr="009D1A12">
        <w:rPr>
          <w:rFonts w:ascii="Times New Roman" w:hAnsi="Times New Roman" w:cs="Times New Roman"/>
          <w:sz w:val="26"/>
          <w:szCs w:val="26"/>
        </w:rPr>
        <w:t xml:space="preserve"> </w:t>
      </w:r>
      <w:r w:rsidR="00000327" w:rsidRPr="009D1A12">
        <w:rPr>
          <w:rFonts w:ascii="Times New Roman" w:hAnsi="Times New Roman" w:cs="Times New Roman"/>
          <w:sz w:val="26"/>
          <w:szCs w:val="26"/>
        </w:rPr>
        <w:t>III pielikumā</w:t>
      </w:r>
      <w:r w:rsidR="00000327">
        <w:rPr>
          <w:rFonts w:ascii="Times New Roman" w:hAnsi="Times New Roman" w:cs="Times New Roman"/>
          <w:sz w:val="26"/>
          <w:szCs w:val="26"/>
        </w:rPr>
        <w:t xml:space="preserve"> </w:t>
      </w:r>
      <w:r w:rsidRPr="009D1A12">
        <w:rPr>
          <w:rFonts w:ascii="Times New Roman" w:hAnsi="Times New Roman" w:cs="Times New Roman"/>
          <w:sz w:val="26"/>
          <w:szCs w:val="26"/>
        </w:rPr>
        <w:t>noteiktajām publicitātes pasākumu prasībām</w:t>
      </w:r>
      <w:r w:rsidR="00101E37">
        <w:rPr>
          <w:rFonts w:ascii="Times New Roman" w:hAnsi="Times New Roman" w:cs="Times New Roman"/>
          <w:sz w:val="26"/>
          <w:szCs w:val="26"/>
        </w:rPr>
        <w:t>,</w:t>
      </w:r>
      <w:r w:rsidRPr="009D1A12">
        <w:rPr>
          <w:rFonts w:ascii="Times New Roman" w:hAnsi="Times New Roman" w:cs="Times New Roman"/>
          <w:sz w:val="26"/>
          <w:szCs w:val="26"/>
        </w:rPr>
        <w:t xml:space="preserve"> publicē savā tīmekļvietnē prasīto informāciju par katru fonda ieguldījumu trīs mēnešu laikā pēc tā ieguldīšanas.”</w:t>
      </w:r>
    </w:p>
    <w:p w14:paraId="475E3902" w14:textId="04BDEBAE" w:rsidR="00A932C0" w:rsidRPr="009D1A12" w:rsidRDefault="00A932C0" w:rsidP="00177DE7">
      <w:pPr>
        <w:spacing w:after="0" w:line="240" w:lineRule="auto"/>
        <w:ind w:right="-199" w:firstLine="709"/>
        <w:jc w:val="both"/>
        <w:rPr>
          <w:rFonts w:ascii="Times New Roman" w:hAnsi="Times New Roman" w:cs="Times New Roman"/>
          <w:sz w:val="26"/>
          <w:szCs w:val="26"/>
        </w:rPr>
      </w:pPr>
    </w:p>
    <w:p w14:paraId="05071F8C" w14:textId="56FBF969" w:rsidR="00A932C0" w:rsidRPr="009D1A12" w:rsidRDefault="00E071AB" w:rsidP="00886F32">
      <w:pPr>
        <w:pStyle w:val="ListParagraph"/>
        <w:numPr>
          <w:ilvl w:val="1"/>
          <w:numId w:val="24"/>
        </w:numPr>
        <w:spacing w:after="0" w:line="240" w:lineRule="auto"/>
        <w:ind w:right="-199"/>
        <w:jc w:val="both"/>
        <w:rPr>
          <w:rFonts w:ascii="Times New Roman" w:hAnsi="Times New Roman" w:cs="Times New Roman"/>
          <w:sz w:val="26"/>
          <w:szCs w:val="26"/>
        </w:rPr>
      </w:pPr>
      <w:r w:rsidRPr="009D1A12">
        <w:rPr>
          <w:rFonts w:ascii="Times New Roman" w:hAnsi="Times New Roman" w:cs="Times New Roman"/>
          <w:sz w:val="26"/>
          <w:szCs w:val="26"/>
        </w:rPr>
        <w:t xml:space="preserve"> </w:t>
      </w:r>
      <w:r w:rsidR="00A932C0" w:rsidRPr="009D1A12">
        <w:rPr>
          <w:rFonts w:ascii="Times New Roman" w:hAnsi="Times New Roman" w:cs="Times New Roman"/>
          <w:sz w:val="26"/>
          <w:szCs w:val="26"/>
        </w:rPr>
        <w:t>Izteikt 1.</w:t>
      </w:r>
      <w:r w:rsidR="003914C7" w:rsidRPr="009D1A12">
        <w:rPr>
          <w:rFonts w:ascii="Times New Roman" w:hAnsi="Times New Roman" w:cs="Times New Roman"/>
          <w:sz w:val="26"/>
          <w:szCs w:val="26"/>
        </w:rPr>
        <w:t xml:space="preserve"> un 2.</w:t>
      </w:r>
      <w:r w:rsidR="00A932C0" w:rsidRPr="009D1A12">
        <w:rPr>
          <w:rFonts w:ascii="Times New Roman" w:hAnsi="Times New Roman" w:cs="Times New Roman"/>
          <w:sz w:val="26"/>
          <w:szCs w:val="26"/>
        </w:rPr>
        <w:t xml:space="preserve"> pielikumu šādā redakcijā: </w:t>
      </w:r>
    </w:p>
    <w:p w14:paraId="7E21D64D" w14:textId="06C33044" w:rsidR="00A932C0" w:rsidRPr="00D671C2" w:rsidRDefault="00A932C0" w:rsidP="00A932C0">
      <w:pPr>
        <w:shd w:val="clear" w:color="auto" w:fill="FFFFFF"/>
        <w:spacing w:before="480" w:after="0" w:line="240" w:lineRule="auto"/>
        <w:ind w:left="283" w:right="150"/>
        <w:jc w:val="right"/>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“1. pielikums</w:t>
      </w:r>
      <w:r w:rsidRPr="00D671C2">
        <w:rPr>
          <w:rFonts w:ascii="Times New Roman" w:eastAsia="Times New Roman" w:hAnsi="Times New Roman" w:cs="Times New Roman"/>
          <w:color w:val="000000" w:themeColor="text1"/>
          <w:sz w:val="26"/>
          <w:szCs w:val="26"/>
          <w:lang w:eastAsia="lv-LV"/>
        </w:rPr>
        <w:br/>
        <w:t>Ministru kabineta</w:t>
      </w:r>
      <w:r w:rsidRPr="00D671C2">
        <w:rPr>
          <w:rFonts w:ascii="Times New Roman" w:eastAsia="Times New Roman" w:hAnsi="Times New Roman" w:cs="Times New Roman"/>
          <w:color w:val="000000" w:themeColor="text1"/>
          <w:sz w:val="26"/>
          <w:szCs w:val="26"/>
          <w:lang w:eastAsia="lv-LV"/>
        </w:rPr>
        <w:br/>
        <w:t>2020. gada 14. jūlija</w:t>
      </w:r>
      <w:r w:rsidRPr="00D671C2">
        <w:rPr>
          <w:rFonts w:ascii="Times New Roman" w:eastAsia="Times New Roman" w:hAnsi="Times New Roman" w:cs="Times New Roman"/>
          <w:color w:val="000000" w:themeColor="text1"/>
          <w:sz w:val="26"/>
          <w:szCs w:val="26"/>
          <w:lang w:eastAsia="lv-LV"/>
        </w:rPr>
        <w:br/>
        <w:t>noteikumiem Nr. 458</w:t>
      </w:r>
      <w:bookmarkStart w:id="4" w:name="piel-741890"/>
      <w:bookmarkEnd w:id="4"/>
    </w:p>
    <w:p w14:paraId="73273118" w14:textId="77777777" w:rsidR="00A932C0" w:rsidRPr="00D671C2" w:rsidRDefault="00A932C0" w:rsidP="00A932C0">
      <w:pPr>
        <w:shd w:val="clear" w:color="auto" w:fill="FFFFFF"/>
        <w:spacing w:after="0" w:line="240" w:lineRule="auto"/>
        <w:ind w:left="283"/>
        <w:jc w:val="center"/>
        <w:rPr>
          <w:rFonts w:ascii="Times New Roman" w:eastAsia="Times New Roman" w:hAnsi="Times New Roman" w:cs="Times New Roman"/>
          <w:b/>
          <w:bCs/>
          <w:color w:val="000000" w:themeColor="text1"/>
          <w:sz w:val="26"/>
          <w:szCs w:val="26"/>
          <w:lang w:eastAsia="lv-LV"/>
        </w:rPr>
      </w:pPr>
      <w:bookmarkStart w:id="5" w:name="741892"/>
      <w:bookmarkStart w:id="6" w:name="n-741892"/>
      <w:bookmarkEnd w:id="5"/>
      <w:bookmarkEnd w:id="6"/>
      <w:r w:rsidRPr="00D671C2">
        <w:rPr>
          <w:rFonts w:ascii="Times New Roman" w:eastAsia="Times New Roman" w:hAnsi="Times New Roman" w:cs="Times New Roman"/>
          <w:b/>
          <w:bCs/>
          <w:color w:val="000000" w:themeColor="text1"/>
          <w:sz w:val="26"/>
          <w:szCs w:val="26"/>
          <w:lang w:eastAsia="lv-LV"/>
        </w:rPr>
        <w:t>Aizdevuma procentu likme</w:t>
      </w:r>
    </w:p>
    <w:p w14:paraId="5E623B2E" w14:textId="77777777" w:rsidR="00644D0B" w:rsidRDefault="00A932C0" w:rsidP="00644D0B">
      <w:pPr>
        <w:pStyle w:val="ListParagraph"/>
        <w:shd w:val="clear" w:color="auto" w:fill="FFFFFF"/>
        <w:spacing w:before="240" w:after="100" w:afterAutospacing="1" w:line="293" w:lineRule="atLeast"/>
        <w:ind w:left="643"/>
        <w:jc w:val="both"/>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Procentu likmes zemāko robežu nosaka, Eiropas Komisijas publicētajai bāzes likmei pieskaitot tabulā norādītās kredītriska robežas</w:t>
      </w:r>
      <w:r w:rsidR="00644D0B">
        <w:rPr>
          <w:rFonts w:ascii="Times New Roman" w:eastAsia="Times New Roman" w:hAnsi="Times New Roman" w:cs="Times New Roman"/>
          <w:color w:val="000000" w:themeColor="text1"/>
          <w:sz w:val="26"/>
          <w:szCs w:val="26"/>
          <w:lang w:eastAsia="lv-LV"/>
        </w:rPr>
        <w:t xml:space="preserve">. </w:t>
      </w:r>
    </w:p>
    <w:p w14:paraId="5D8E7812" w14:textId="35E3A40B" w:rsidR="00644D0B" w:rsidRPr="008A4C85" w:rsidRDefault="00644D0B" w:rsidP="008A4C85">
      <w:pPr>
        <w:pStyle w:val="ListParagraph"/>
        <w:shd w:val="clear" w:color="auto" w:fill="FFFFFF"/>
        <w:spacing w:before="240" w:after="100" w:afterAutospacing="1" w:line="293" w:lineRule="atLeast"/>
        <w:ind w:left="643"/>
        <w:jc w:val="both"/>
        <w:rPr>
          <w:rFonts w:ascii="Times New Roman" w:eastAsia="Times New Roman" w:hAnsi="Times New Roman" w:cs="Times New Roman"/>
          <w:color w:val="000000" w:themeColor="text1"/>
          <w:sz w:val="26"/>
          <w:szCs w:val="26"/>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548"/>
        <w:gridCol w:w="1874"/>
        <w:gridCol w:w="1605"/>
        <w:gridCol w:w="2150"/>
        <w:gridCol w:w="1878"/>
      </w:tblGrid>
      <w:tr w:rsidR="003914C7" w:rsidRPr="00D671C2" w14:paraId="2B8DF2D8" w14:textId="77777777" w:rsidTr="009A3DEE">
        <w:tc>
          <w:tcPr>
            <w:tcW w:w="855" w:type="pct"/>
            <w:tcBorders>
              <w:top w:val="outset" w:sz="6" w:space="0" w:color="414142"/>
              <w:left w:val="outset" w:sz="6" w:space="0" w:color="414142"/>
              <w:bottom w:val="outset" w:sz="6" w:space="0" w:color="414142"/>
              <w:right w:val="outset" w:sz="6" w:space="0" w:color="414142"/>
            </w:tcBorders>
            <w:vAlign w:val="center"/>
            <w:hideMark/>
          </w:tcPr>
          <w:p w14:paraId="4DD3EAD4" w14:textId="63970B98"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 xml:space="preserve">Saimnieciskās darbības </w:t>
            </w:r>
            <w:r w:rsidR="00831C83">
              <w:rPr>
                <w:rFonts w:ascii="Times New Roman" w:eastAsia="Times New Roman" w:hAnsi="Times New Roman" w:cs="Times New Roman"/>
                <w:color w:val="000000" w:themeColor="text1"/>
                <w:sz w:val="26"/>
                <w:szCs w:val="26"/>
                <w:lang w:eastAsia="lv-LV"/>
              </w:rPr>
              <w:t>lielums</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55E497CA" w14:textId="77777777"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Kredītriska robeža pirmajam gadam</w:t>
            </w:r>
          </w:p>
        </w:tc>
        <w:tc>
          <w:tcPr>
            <w:tcW w:w="886" w:type="pct"/>
            <w:tcBorders>
              <w:top w:val="outset" w:sz="6" w:space="0" w:color="414142"/>
              <w:left w:val="outset" w:sz="6" w:space="0" w:color="414142"/>
              <w:bottom w:val="outset" w:sz="6" w:space="0" w:color="414142"/>
              <w:right w:val="outset" w:sz="6" w:space="0" w:color="414142"/>
            </w:tcBorders>
            <w:vAlign w:val="center"/>
            <w:hideMark/>
          </w:tcPr>
          <w:p w14:paraId="3D9FF2E1" w14:textId="77777777"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Kredītriska robeža otrajam un trešajam gadam</w:t>
            </w:r>
          </w:p>
        </w:tc>
        <w:tc>
          <w:tcPr>
            <w:tcW w:w="1187" w:type="pct"/>
            <w:tcBorders>
              <w:top w:val="outset" w:sz="6" w:space="0" w:color="414142"/>
              <w:left w:val="outset" w:sz="6" w:space="0" w:color="414142"/>
              <w:bottom w:val="outset" w:sz="6" w:space="0" w:color="414142"/>
              <w:right w:val="outset" w:sz="6" w:space="0" w:color="414142"/>
            </w:tcBorders>
            <w:vAlign w:val="center"/>
            <w:hideMark/>
          </w:tcPr>
          <w:p w14:paraId="3C357B0E" w14:textId="77777777"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Kredītriska robeža ceturtajam un piektajam gadam</w:t>
            </w:r>
          </w:p>
        </w:tc>
        <w:tc>
          <w:tcPr>
            <w:tcW w:w="1037" w:type="pct"/>
            <w:tcBorders>
              <w:top w:val="outset" w:sz="6" w:space="0" w:color="414142"/>
              <w:left w:val="outset" w:sz="6" w:space="0" w:color="414142"/>
              <w:bottom w:val="outset" w:sz="6" w:space="0" w:color="414142"/>
              <w:right w:val="outset" w:sz="6" w:space="0" w:color="414142"/>
            </w:tcBorders>
            <w:vAlign w:val="center"/>
            <w:hideMark/>
          </w:tcPr>
          <w:p w14:paraId="6ABE8F57" w14:textId="77777777"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Kredītriska robeža sestajam un septītajam gadam</w:t>
            </w:r>
          </w:p>
        </w:tc>
      </w:tr>
      <w:tr w:rsidR="003914C7" w:rsidRPr="00D671C2" w14:paraId="39426AE3" w14:textId="77777777" w:rsidTr="009A3DEE">
        <w:tc>
          <w:tcPr>
            <w:tcW w:w="855" w:type="pct"/>
            <w:tcBorders>
              <w:top w:val="outset" w:sz="6" w:space="0" w:color="414142"/>
              <w:left w:val="outset" w:sz="6" w:space="0" w:color="414142"/>
              <w:bottom w:val="outset" w:sz="6" w:space="0" w:color="414142"/>
              <w:right w:val="outset" w:sz="6" w:space="0" w:color="414142"/>
            </w:tcBorders>
            <w:vAlign w:val="center"/>
          </w:tcPr>
          <w:p w14:paraId="6DDD6E5C" w14:textId="4E131842" w:rsidR="00A932C0" w:rsidRPr="00D671C2" w:rsidRDefault="007C7079"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 xml:space="preserve">Vidējie </w:t>
            </w:r>
            <w:r w:rsidR="0017091C" w:rsidRPr="00D671C2">
              <w:rPr>
                <w:rFonts w:ascii="Times New Roman" w:eastAsia="Times New Roman" w:hAnsi="Times New Roman" w:cs="Times New Roman"/>
                <w:color w:val="000000" w:themeColor="text1"/>
                <w:sz w:val="26"/>
                <w:szCs w:val="26"/>
                <w:lang w:eastAsia="lv-LV"/>
              </w:rPr>
              <w:t>komersanti</w:t>
            </w:r>
          </w:p>
        </w:tc>
        <w:tc>
          <w:tcPr>
            <w:tcW w:w="1035" w:type="pct"/>
            <w:tcBorders>
              <w:top w:val="outset" w:sz="6" w:space="0" w:color="414142"/>
              <w:left w:val="outset" w:sz="6" w:space="0" w:color="414142"/>
              <w:bottom w:val="outset" w:sz="6" w:space="0" w:color="414142"/>
              <w:right w:val="outset" w:sz="6" w:space="0" w:color="414142"/>
            </w:tcBorders>
            <w:vAlign w:val="center"/>
          </w:tcPr>
          <w:p w14:paraId="62DFA001" w14:textId="4BEBF9BF"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225 bāzes punkti</w:t>
            </w:r>
          </w:p>
        </w:tc>
        <w:tc>
          <w:tcPr>
            <w:tcW w:w="886" w:type="pct"/>
            <w:tcBorders>
              <w:top w:val="outset" w:sz="6" w:space="0" w:color="414142"/>
              <w:left w:val="outset" w:sz="6" w:space="0" w:color="414142"/>
              <w:bottom w:val="outset" w:sz="6" w:space="0" w:color="414142"/>
              <w:right w:val="outset" w:sz="6" w:space="0" w:color="414142"/>
            </w:tcBorders>
            <w:vAlign w:val="center"/>
          </w:tcPr>
          <w:p w14:paraId="380A2573" w14:textId="36D8E7F8"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325 bāzes punkti</w:t>
            </w:r>
          </w:p>
        </w:tc>
        <w:tc>
          <w:tcPr>
            <w:tcW w:w="1187" w:type="pct"/>
            <w:tcBorders>
              <w:top w:val="outset" w:sz="6" w:space="0" w:color="414142"/>
              <w:left w:val="outset" w:sz="6" w:space="0" w:color="414142"/>
              <w:bottom w:val="outset" w:sz="6" w:space="0" w:color="414142"/>
              <w:right w:val="outset" w:sz="6" w:space="0" w:color="414142"/>
            </w:tcBorders>
            <w:vAlign w:val="center"/>
          </w:tcPr>
          <w:p w14:paraId="784B7382" w14:textId="3A47F381"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450 bāzes punkti</w:t>
            </w:r>
          </w:p>
        </w:tc>
        <w:tc>
          <w:tcPr>
            <w:tcW w:w="1037" w:type="pct"/>
            <w:tcBorders>
              <w:top w:val="outset" w:sz="6" w:space="0" w:color="414142"/>
              <w:left w:val="outset" w:sz="6" w:space="0" w:color="414142"/>
              <w:bottom w:val="outset" w:sz="6" w:space="0" w:color="414142"/>
              <w:right w:val="outset" w:sz="6" w:space="0" w:color="414142"/>
            </w:tcBorders>
            <w:vAlign w:val="center"/>
          </w:tcPr>
          <w:p w14:paraId="019B2E0D" w14:textId="7555709B"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600 bāze punkti</w:t>
            </w:r>
          </w:p>
        </w:tc>
      </w:tr>
      <w:tr w:rsidR="003914C7" w:rsidRPr="00D671C2" w14:paraId="23E1D3A9" w14:textId="77777777" w:rsidTr="009A3DEE">
        <w:tc>
          <w:tcPr>
            <w:tcW w:w="855" w:type="pct"/>
            <w:tcBorders>
              <w:top w:val="outset" w:sz="6" w:space="0" w:color="414142"/>
              <w:left w:val="outset" w:sz="6" w:space="0" w:color="414142"/>
              <w:bottom w:val="outset" w:sz="6" w:space="0" w:color="414142"/>
              <w:right w:val="outset" w:sz="6" w:space="0" w:color="414142"/>
            </w:tcBorders>
            <w:vAlign w:val="center"/>
            <w:hideMark/>
          </w:tcPr>
          <w:p w14:paraId="7FAA1411" w14:textId="77777777"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lastRenderedPageBreak/>
              <w:t>Lielie komersanti</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3AD0DAF2" w14:textId="77777777"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250 bāzes punkti</w:t>
            </w:r>
          </w:p>
        </w:tc>
        <w:tc>
          <w:tcPr>
            <w:tcW w:w="886" w:type="pct"/>
            <w:tcBorders>
              <w:top w:val="outset" w:sz="6" w:space="0" w:color="414142"/>
              <w:left w:val="outset" w:sz="6" w:space="0" w:color="414142"/>
              <w:bottom w:val="outset" w:sz="6" w:space="0" w:color="414142"/>
              <w:right w:val="outset" w:sz="6" w:space="0" w:color="414142"/>
            </w:tcBorders>
            <w:vAlign w:val="center"/>
            <w:hideMark/>
          </w:tcPr>
          <w:p w14:paraId="796C38AC" w14:textId="77777777"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350 bāzes punkti</w:t>
            </w:r>
          </w:p>
        </w:tc>
        <w:tc>
          <w:tcPr>
            <w:tcW w:w="1187" w:type="pct"/>
            <w:tcBorders>
              <w:top w:val="outset" w:sz="6" w:space="0" w:color="414142"/>
              <w:left w:val="outset" w:sz="6" w:space="0" w:color="414142"/>
              <w:bottom w:val="outset" w:sz="6" w:space="0" w:color="414142"/>
              <w:right w:val="outset" w:sz="6" w:space="0" w:color="414142"/>
            </w:tcBorders>
            <w:vAlign w:val="center"/>
            <w:hideMark/>
          </w:tcPr>
          <w:p w14:paraId="47C7189E" w14:textId="77777777"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500 bāzes punkti</w:t>
            </w:r>
          </w:p>
        </w:tc>
        <w:tc>
          <w:tcPr>
            <w:tcW w:w="1037" w:type="pct"/>
            <w:tcBorders>
              <w:top w:val="outset" w:sz="6" w:space="0" w:color="414142"/>
              <w:left w:val="outset" w:sz="6" w:space="0" w:color="414142"/>
              <w:bottom w:val="outset" w:sz="6" w:space="0" w:color="414142"/>
              <w:right w:val="outset" w:sz="6" w:space="0" w:color="414142"/>
            </w:tcBorders>
            <w:vAlign w:val="center"/>
            <w:hideMark/>
          </w:tcPr>
          <w:p w14:paraId="3C08423C" w14:textId="77777777" w:rsidR="00A932C0" w:rsidRPr="00D671C2" w:rsidRDefault="00A932C0" w:rsidP="00A932C0">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700 bāzes punkti</w:t>
            </w:r>
          </w:p>
        </w:tc>
      </w:tr>
    </w:tbl>
    <w:p w14:paraId="02E00C9F" w14:textId="667CCC0D" w:rsidR="009A3DEE" w:rsidRPr="008A4C85" w:rsidRDefault="00831C83" w:rsidP="008A4C85">
      <w:pPr>
        <w:shd w:val="clear" w:color="auto" w:fill="FFFFFF"/>
        <w:spacing w:before="240" w:after="100" w:afterAutospacing="1" w:line="293" w:lineRule="atLeast"/>
        <w:jc w:val="both"/>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Aizdevuma procent</w:t>
      </w:r>
      <w:r w:rsidR="00A10F88" w:rsidRPr="009D1A12">
        <w:rPr>
          <w:rFonts w:ascii="Times New Roman" w:eastAsia="Times New Roman" w:hAnsi="Times New Roman" w:cs="Times New Roman"/>
          <w:color w:val="000000" w:themeColor="text1"/>
          <w:sz w:val="26"/>
          <w:szCs w:val="26"/>
          <w:lang w:eastAsia="lv-LV"/>
        </w:rPr>
        <w:t>u</w:t>
      </w:r>
      <w:r w:rsidRPr="009D1A12">
        <w:rPr>
          <w:rFonts w:ascii="Times New Roman" w:eastAsia="Times New Roman" w:hAnsi="Times New Roman" w:cs="Times New Roman"/>
          <w:color w:val="000000" w:themeColor="text1"/>
          <w:sz w:val="26"/>
          <w:szCs w:val="26"/>
          <w:lang w:eastAsia="lv-LV"/>
        </w:rPr>
        <w:t xml:space="preserve"> likmi komersantam nosaka ņemot vērā tā saimnieciskās darbības lielumu. </w:t>
      </w:r>
      <w:r w:rsidR="009A3DEE" w:rsidRPr="009D1A12">
        <w:rPr>
          <w:rFonts w:ascii="Times New Roman" w:eastAsia="Times New Roman" w:hAnsi="Times New Roman" w:cs="Times New Roman"/>
          <w:color w:val="000000" w:themeColor="text1"/>
          <w:sz w:val="26"/>
          <w:szCs w:val="26"/>
          <w:lang w:eastAsia="lv-LV"/>
        </w:rPr>
        <w:t>Vidējie komersant</w:t>
      </w:r>
      <w:r w:rsidR="00A10F88" w:rsidRPr="009D1A12">
        <w:rPr>
          <w:rFonts w:ascii="Times New Roman" w:eastAsia="Times New Roman" w:hAnsi="Times New Roman" w:cs="Times New Roman"/>
          <w:color w:val="000000" w:themeColor="text1"/>
          <w:sz w:val="26"/>
          <w:szCs w:val="26"/>
          <w:lang w:eastAsia="lv-LV"/>
        </w:rPr>
        <w:t>i</w:t>
      </w:r>
      <w:r w:rsidR="009A3DEE" w:rsidRPr="009D1A12">
        <w:rPr>
          <w:rFonts w:ascii="Times New Roman" w:eastAsia="Times New Roman" w:hAnsi="Times New Roman" w:cs="Times New Roman"/>
          <w:color w:val="000000" w:themeColor="text1"/>
          <w:sz w:val="26"/>
          <w:szCs w:val="26"/>
          <w:lang w:eastAsia="lv-LV"/>
        </w:rPr>
        <w:t xml:space="preserve"> tiek vērtēt</w:t>
      </w:r>
      <w:r w:rsidR="00A10F88" w:rsidRPr="009D1A12">
        <w:rPr>
          <w:rFonts w:ascii="Times New Roman" w:eastAsia="Times New Roman" w:hAnsi="Times New Roman" w:cs="Times New Roman"/>
          <w:color w:val="000000" w:themeColor="text1"/>
          <w:sz w:val="26"/>
          <w:szCs w:val="26"/>
          <w:lang w:eastAsia="lv-LV"/>
        </w:rPr>
        <w:t>i</w:t>
      </w:r>
      <w:r w:rsidR="009A3DEE" w:rsidRPr="009D1A12">
        <w:rPr>
          <w:rFonts w:ascii="Times New Roman" w:eastAsia="Times New Roman" w:hAnsi="Times New Roman" w:cs="Times New Roman"/>
          <w:color w:val="000000" w:themeColor="text1"/>
          <w:sz w:val="26"/>
          <w:szCs w:val="26"/>
          <w:lang w:eastAsia="lv-LV"/>
        </w:rPr>
        <w:t xml:space="preserve"> atbilstoši </w:t>
      </w:r>
      <w:r w:rsidR="009A3DEE" w:rsidRPr="009D1A12">
        <w:rPr>
          <w:rFonts w:ascii="Times New Roman" w:hAnsi="Times New Roman" w:cs="Times New Roman"/>
          <w:sz w:val="26"/>
          <w:szCs w:val="26"/>
        </w:rPr>
        <w:t>Komisijas regula</w:t>
      </w:r>
      <w:r w:rsidR="00A10F88" w:rsidRPr="009D1A12">
        <w:rPr>
          <w:rFonts w:ascii="Times New Roman" w:hAnsi="Times New Roman" w:cs="Times New Roman"/>
          <w:sz w:val="26"/>
          <w:szCs w:val="26"/>
        </w:rPr>
        <w:t>s</w:t>
      </w:r>
      <w:r w:rsidR="009A3DEE" w:rsidRPr="009D1A12">
        <w:rPr>
          <w:rFonts w:ascii="Times New Roman" w:hAnsi="Times New Roman" w:cs="Times New Roman"/>
          <w:sz w:val="26"/>
          <w:szCs w:val="26"/>
        </w:rPr>
        <w:t xml:space="preserve"> Nr. 651/2014</w:t>
      </w:r>
      <w:r w:rsidR="009A3DEE" w:rsidRPr="009D1A12">
        <w:rPr>
          <w:rFonts w:ascii="Times New Roman" w:eastAsia="Times New Roman" w:hAnsi="Times New Roman" w:cs="Times New Roman"/>
          <w:color w:val="000000" w:themeColor="text1"/>
          <w:sz w:val="26"/>
          <w:szCs w:val="26"/>
          <w:lang w:eastAsia="lv-LV"/>
        </w:rPr>
        <w:t>, I</w:t>
      </w:r>
      <w:r w:rsidR="008A4C85" w:rsidRPr="009D1A12">
        <w:rPr>
          <w:rFonts w:ascii="Times New Roman" w:eastAsia="Times New Roman" w:hAnsi="Times New Roman" w:cs="Times New Roman"/>
          <w:color w:val="000000" w:themeColor="text1"/>
          <w:sz w:val="26"/>
          <w:szCs w:val="26"/>
          <w:lang w:eastAsia="lv-LV"/>
        </w:rPr>
        <w:t> </w:t>
      </w:r>
      <w:r w:rsidR="009A3DEE" w:rsidRPr="009D1A12">
        <w:rPr>
          <w:rFonts w:ascii="Times New Roman" w:eastAsia="Times New Roman" w:hAnsi="Times New Roman" w:cs="Times New Roman"/>
          <w:color w:val="000000" w:themeColor="text1"/>
          <w:sz w:val="26"/>
          <w:szCs w:val="26"/>
          <w:lang w:eastAsia="lv-LV"/>
        </w:rPr>
        <w:t xml:space="preserve">pielikumā 2. pantā noteiktajai definīcijai vai </w:t>
      </w:r>
      <w:r w:rsidR="009A3DEE" w:rsidRPr="009D1A12">
        <w:rPr>
          <w:rFonts w:ascii="Times New Roman" w:hAnsi="Times New Roman" w:cs="Times New Roman"/>
          <w:sz w:val="26"/>
          <w:szCs w:val="26"/>
        </w:rPr>
        <w:t>Komisijas regula</w:t>
      </w:r>
      <w:r w:rsidR="00A10F88" w:rsidRPr="009D1A12">
        <w:rPr>
          <w:rFonts w:ascii="Times New Roman" w:hAnsi="Times New Roman" w:cs="Times New Roman"/>
          <w:sz w:val="26"/>
          <w:szCs w:val="26"/>
        </w:rPr>
        <w:t>s</w:t>
      </w:r>
      <w:r w:rsidR="009A3DEE" w:rsidRPr="009D1A12">
        <w:rPr>
          <w:rFonts w:ascii="Times New Roman" w:hAnsi="Times New Roman" w:cs="Times New Roman"/>
          <w:sz w:val="26"/>
          <w:szCs w:val="26"/>
        </w:rPr>
        <w:t xml:space="preserve"> Nr. 702/2014</w:t>
      </w:r>
      <w:r w:rsidR="009A3DEE" w:rsidRPr="009D1A12">
        <w:rPr>
          <w:rFonts w:ascii="Times New Roman" w:eastAsia="Times New Roman" w:hAnsi="Times New Roman" w:cs="Times New Roman"/>
          <w:color w:val="000000" w:themeColor="text1"/>
          <w:sz w:val="26"/>
          <w:szCs w:val="26"/>
          <w:lang w:eastAsia="lv-LV"/>
        </w:rPr>
        <w:t>, I</w:t>
      </w:r>
      <w:r w:rsidR="008A4C85" w:rsidRPr="009D1A12">
        <w:rPr>
          <w:rFonts w:ascii="Times New Roman" w:eastAsia="Times New Roman" w:hAnsi="Times New Roman" w:cs="Times New Roman"/>
          <w:color w:val="000000" w:themeColor="text1"/>
          <w:sz w:val="26"/>
          <w:szCs w:val="26"/>
          <w:lang w:eastAsia="lv-LV"/>
        </w:rPr>
        <w:t> </w:t>
      </w:r>
      <w:r w:rsidR="009A3DEE" w:rsidRPr="009D1A12">
        <w:rPr>
          <w:rFonts w:ascii="Times New Roman" w:eastAsia="Times New Roman" w:hAnsi="Times New Roman" w:cs="Times New Roman"/>
          <w:color w:val="000000" w:themeColor="text1"/>
          <w:sz w:val="26"/>
          <w:szCs w:val="26"/>
          <w:lang w:eastAsia="lv-LV"/>
        </w:rPr>
        <w:t>pielikuma 2. pantā noteiktajai definīcijai</w:t>
      </w:r>
      <w:r w:rsidR="00CD4CC1">
        <w:rPr>
          <w:rFonts w:ascii="Times New Roman" w:eastAsia="Times New Roman" w:hAnsi="Times New Roman" w:cs="Times New Roman"/>
          <w:color w:val="000000" w:themeColor="text1"/>
          <w:sz w:val="26"/>
          <w:szCs w:val="26"/>
          <w:lang w:eastAsia="lv-LV"/>
        </w:rPr>
        <w:t xml:space="preserve"> vai </w:t>
      </w:r>
      <w:r w:rsidR="00CD4CC1" w:rsidRPr="009D1A12">
        <w:rPr>
          <w:rFonts w:ascii="Times New Roman" w:hAnsi="Times New Roman" w:cs="Times New Roman"/>
          <w:sz w:val="26"/>
          <w:szCs w:val="26"/>
        </w:rPr>
        <w:t xml:space="preserve">Komisijas regulas Nr. </w:t>
      </w:r>
      <w:r w:rsidR="00CD4CC1">
        <w:rPr>
          <w:rFonts w:ascii="Times New Roman" w:hAnsi="Times New Roman" w:cs="Times New Roman"/>
          <w:sz w:val="26"/>
          <w:szCs w:val="26"/>
        </w:rPr>
        <w:t>1388</w:t>
      </w:r>
      <w:r w:rsidR="00CD4CC1" w:rsidRPr="009D1A12">
        <w:rPr>
          <w:rFonts w:ascii="Times New Roman" w:hAnsi="Times New Roman" w:cs="Times New Roman"/>
          <w:sz w:val="26"/>
          <w:szCs w:val="26"/>
        </w:rPr>
        <w:t>/2014</w:t>
      </w:r>
      <w:r w:rsidR="00CD4CC1" w:rsidRPr="009D1A12">
        <w:rPr>
          <w:rFonts w:ascii="Times New Roman" w:eastAsia="Times New Roman" w:hAnsi="Times New Roman" w:cs="Times New Roman"/>
          <w:color w:val="000000" w:themeColor="text1"/>
          <w:sz w:val="26"/>
          <w:szCs w:val="26"/>
          <w:lang w:eastAsia="lv-LV"/>
        </w:rPr>
        <w:t>, I pielikuma 2. pantā noteiktajai definīcijai</w:t>
      </w:r>
      <w:r w:rsidR="009A3DEE" w:rsidRPr="009D1A12">
        <w:rPr>
          <w:rFonts w:ascii="Times New Roman" w:eastAsia="Times New Roman" w:hAnsi="Times New Roman" w:cs="Times New Roman"/>
          <w:color w:val="000000" w:themeColor="text1"/>
          <w:sz w:val="26"/>
          <w:szCs w:val="26"/>
          <w:lang w:eastAsia="lv-LV"/>
        </w:rPr>
        <w:t>. Lielais komersants tiek vērtēts atbilstoši Komisijas regulas Nr. 651/2014, 2. panta 24. punktā noteiktajai definīcijai vai Komisijas regula</w:t>
      </w:r>
      <w:r w:rsidR="00A10F88" w:rsidRPr="009D1A12">
        <w:rPr>
          <w:rFonts w:ascii="Times New Roman" w:eastAsia="Times New Roman" w:hAnsi="Times New Roman" w:cs="Times New Roman"/>
          <w:color w:val="000000" w:themeColor="text1"/>
          <w:sz w:val="26"/>
          <w:szCs w:val="26"/>
          <w:lang w:eastAsia="lv-LV"/>
        </w:rPr>
        <w:t>s</w:t>
      </w:r>
      <w:r w:rsidR="009A3DEE" w:rsidRPr="009D1A12">
        <w:rPr>
          <w:rFonts w:ascii="Times New Roman" w:eastAsia="Times New Roman" w:hAnsi="Times New Roman" w:cs="Times New Roman"/>
          <w:color w:val="000000" w:themeColor="text1"/>
          <w:sz w:val="26"/>
          <w:szCs w:val="26"/>
          <w:lang w:eastAsia="lv-LV"/>
        </w:rPr>
        <w:t xml:space="preserve"> Nr. 702/2014, 2. panta 26. punktā noteiktajai definīcijai</w:t>
      </w:r>
      <w:r w:rsidR="00CD4CC1">
        <w:rPr>
          <w:rFonts w:ascii="Times New Roman" w:eastAsia="Times New Roman" w:hAnsi="Times New Roman" w:cs="Times New Roman"/>
          <w:color w:val="000000" w:themeColor="text1"/>
          <w:sz w:val="26"/>
          <w:szCs w:val="26"/>
          <w:lang w:eastAsia="lv-LV"/>
        </w:rPr>
        <w:t xml:space="preserve"> vai zvejniecības un akvakultūras nozarē lielais komersants </w:t>
      </w:r>
      <w:r w:rsidR="001742EC">
        <w:rPr>
          <w:rFonts w:ascii="Times New Roman" w:eastAsia="Times New Roman" w:hAnsi="Times New Roman" w:cs="Times New Roman"/>
          <w:color w:val="000000" w:themeColor="text1"/>
          <w:sz w:val="26"/>
          <w:szCs w:val="26"/>
          <w:lang w:eastAsia="lv-LV"/>
        </w:rPr>
        <w:t>ir saimnieciskās darbības veicējs, kas</w:t>
      </w:r>
      <w:r w:rsidR="00CD4CC1">
        <w:rPr>
          <w:rFonts w:ascii="Times New Roman" w:eastAsia="Times New Roman" w:hAnsi="Times New Roman" w:cs="Times New Roman"/>
          <w:color w:val="000000" w:themeColor="text1"/>
          <w:sz w:val="26"/>
          <w:szCs w:val="26"/>
          <w:lang w:eastAsia="lv-LV"/>
        </w:rPr>
        <w:t xml:space="preserve"> </w:t>
      </w:r>
      <w:r w:rsidR="00CD4CC1" w:rsidRPr="00CD4CC1">
        <w:rPr>
          <w:rFonts w:ascii="Times New Roman" w:eastAsia="Times New Roman" w:hAnsi="Times New Roman" w:cs="Times New Roman"/>
          <w:color w:val="000000" w:themeColor="text1"/>
          <w:sz w:val="26"/>
          <w:szCs w:val="26"/>
          <w:lang w:eastAsia="lv-LV"/>
        </w:rPr>
        <w:t>pārsniedz Komisijas Regulas Nr. 1388/2014, 1. pielikuma 2. panta 1. punktā noteiktos kritērijus.</w:t>
      </w:r>
    </w:p>
    <w:p w14:paraId="4169F4BE" w14:textId="77777777" w:rsidR="003914C7" w:rsidRPr="00D671C2" w:rsidRDefault="003914C7" w:rsidP="00A932C0">
      <w:pPr>
        <w:shd w:val="clear" w:color="auto" w:fill="FFFFFF"/>
        <w:spacing w:after="0" w:line="240" w:lineRule="auto"/>
        <w:jc w:val="right"/>
        <w:rPr>
          <w:rFonts w:ascii="Times New Roman" w:eastAsia="Times New Roman" w:hAnsi="Times New Roman" w:cs="Times New Roman"/>
          <w:color w:val="000000" w:themeColor="text1"/>
          <w:sz w:val="26"/>
          <w:szCs w:val="26"/>
          <w:lang w:eastAsia="lv-LV"/>
        </w:rPr>
      </w:pPr>
    </w:p>
    <w:p w14:paraId="761EEA37" w14:textId="229ECEA2" w:rsidR="00A932C0" w:rsidRPr="00D671C2" w:rsidRDefault="00A932C0" w:rsidP="00A932C0">
      <w:pPr>
        <w:shd w:val="clear" w:color="auto" w:fill="FFFFFF"/>
        <w:spacing w:after="0" w:line="240" w:lineRule="auto"/>
        <w:jc w:val="right"/>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2. pielikums</w:t>
      </w:r>
      <w:r w:rsidRPr="00D671C2">
        <w:rPr>
          <w:rFonts w:ascii="Times New Roman" w:eastAsia="Times New Roman" w:hAnsi="Times New Roman" w:cs="Times New Roman"/>
          <w:color w:val="000000" w:themeColor="text1"/>
          <w:sz w:val="26"/>
          <w:szCs w:val="26"/>
          <w:lang w:eastAsia="lv-LV"/>
        </w:rPr>
        <w:br/>
        <w:t>Ministru kabineta</w:t>
      </w:r>
      <w:r w:rsidRPr="00D671C2">
        <w:rPr>
          <w:rFonts w:ascii="Times New Roman" w:eastAsia="Times New Roman" w:hAnsi="Times New Roman" w:cs="Times New Roman"/>
          <w:color w:val="000000" w:themeColor="text1"/>
          <w:sz w:val="26"/>
          <w:szCs w:val="26"/>
          <w:lang w:eastAsia="lv-LV"/>
        </w:rPr>
        <w:br/>
        <w:t>2020. gada 14. jūlija</w:t>
      </w:r>
      <w:r w:rsidRPr="00D671C2">
        <w:rPr>
          <w:rFonts w:ascii="Times New Roman" w:eastAsia="Times New Roman" w:hAnsi="Times New Roman" w:cs="Times New Roman"/>
          <w:color w:val="000000" w:themeColor="text1"/>
          <w:sz w:val="26"/>
          <w:szCs w:val="26"/>
          <w:lang w:eastAsia="lv-LV"/>
        </w:rPr>
        <w:br/>
        <w:t>noteikumiem Nr. 458</w:t>
      </w:r>
      <w:bookmarkStart w:id="7" w:name="piel-741896"/>
      <w:bookmarkEnd w:id="7"/>
    </w:p>
    <w:p w14:paraId="1B0C497A" w14:textId="77777777" w:rsidR="00A932C0" w:rsidRPr="00D671C2" w:rsidRDefault="00A932C0" w:rsidP="00A932C0">
      <w:pPr>
        <w:shd w:val="clear" w:color="auto" w:fill="FFFFFF"/>
        <w:spacing w:after="0" w:line="240" w:lineRule="auto"/>
        <w:jc w:val="center"/>
        <w:rPr>
          <w:rFonts w:ascii="Times New Roman" w:eastAsia="Times New Roman" w:hAnsi="Times New Roman" w:cs="Times New Roman"/>
          <w:b/>
          <w:bCs/>
          <w:color w:val="000000" w:themeColor="text1"/>
          <w:sz w:val="26"/>
          <w:szCs w:val="26"/>
          <w:lang w:eastAsia="lv-LV"/>
        </w:rPr>
      </w:pPr>
      <w:bookmarkStart w:id="8" w:name="741897"/>
      <w:bookmarkStart w:id="9" w:name="n-741897"/>
      <w:bookmarkEnd w:id="8"/>
      <w:bookmarkEnd w:id="9"/>
      <w:r w:rsidRPr="00D671C2">
        <w:rPr>
          <w:rFonts w:ascii="Times New Roman" w:eastAsia="Times New Roman" w:hAnsi="Times New Roman" w:cs="Times New Roman"/>
          <w:b/>
          <w:bCs/>
          <w:color w:val="000000" w:themeColor="text1"/>
          <w:sz w:val="26"/>
          <w:szCs w:val="26"/>
          <w:lang w:eastAsia="lv-LV"/>
        </w:rPr>
        <w:t>Aizdevuma procentu likme</w:t>
      </w:r>
    </w:p>
    <w:p w14:paraId="416B8CC9" w14:textId="4005B3A5" w:rsidR="00A932C0" w:rsidRDefault="00A932C0" w:rsidP="008A4C85">
      <w:pPr>
        <w:pStyle w:val="ListParagraph"/>
        <w:shd w:val="clear" w:color="auto" w:fill="FFFFFF"/>
        <w:spacing w:before="240" w:after="100" w:afterAutospacing="1" w:line="293" w:lineRule="atLeast"/>
        <w:ind w:left="643"/>
        <w:jc w:val="both"/>
        <w:rPr>
          <w:rFonts w:ascii="Times New Roman" w:eastAsia="Times New Roman" w:hAnsi="Times New Roman" w:cs="Times New Roman"/>
          <w:color w:val="000000" w:themeColor="text1"/>
          <w:sz w:val="26"/>
          <w:szCs w:val="26"/>
          <w:lang w:eastAsia="lv-LV"/>
        </w:rPr>
      </w:pPr>
      <w:r w:rsidRPr="00D671C2">
        <w:rPr>
          <w:rFonts w:ascii="Times New Roman" w:eastAsia="Times New Roman" w:hAnsi="Times New Roman" w:cs="Times New Roman"/>
          <w:color w:val="000000" w:themeColor="text1"/>
          <w:sz w:val="26"/>
          <w:szCs w:val="26"/>
          <w:lang w:eastAsia="lv-LV"/>
        </w:rPr>
        <w:t>Procentu likmes zemāko robežu nosaka, Eiropas Komisijas publicētajai bāzes likmei pieskaitot tabulā norādītās kredītriska robežas</w:t>
      </w:r>
      <w:r w:rsidR="00644D0B">
        <w:rPr>
          <w:rFonts w:ascii="Times New Roman" w:eastAsia="Times New Roman" w:hAnsi="Times New Roman" w:cs="Times New Roman"/>
          <w:color w:val="000000" w:themeColor="text1"/>
          <w:sz w:val="26"/>
          <w:szCs w:val="26"/>
          <w:lang w:eastAsia="lv-LV"/>
        </w:rPr>
        <w:t xml:space="preserve">. </w:t>
      </w:r>
    </w:p>
    <w:p w14:paraId="35C98487" w14:textId="77777777" w:rsidR="00644D0B" w:rsidRPr="00D671C2" w:rsidRDefault="00644D0B" w:rsidP="00A932C0">
      <w:pPr>
        <w:shd w:val="clear" w:color="auto" w:fill="FFFFFF"/>
        <w:spacing w:after="100" w:afterAutospacing="1" w:line="293" w:lineRule="atLeast"/>
        <w:ind w:firstLine="300"/>
        <w:rPr>
          <w:rFonts w:ascii="Times New Roman" w:eastAsia="Times New Roman" w:hAnsi="Times New Roman" w:cs="Times New Roman"/>
          <w:color w:val="000000" w:themeColor="text1"/>
          <w:sz w:val="26"/>
          <w:szCs w:val="26"/>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78"/>
        <w:gridCol w:w="1829"/>
        <w:gridCol w:w="2744"/>
        <w:gridCol w:w="2104"/>
      </w:tblGrid>
      <w:tr w:rsidR="00776739" w:rsidRPr="009D1A12" w14:paraId="296E3A12" w14:textId="77777777" w:rsidTr="00776739">
        <w:tc>
          <w:tcPr>
            <w:tcW w:w="1313" w:type="pct"/>
            <w:tcBorders>
              <w:top w:val="outset" w:sz="6" w:space="0" w:color="414142"/>
              <w:left w:val="outset" w:sz="6" w:space="0" w:color="414142"/>
              <w:bottom w:val="outset" w:sz="6" w:space="0" w:color="414142"/>
              <w:right w:val="outset" w:sz="6" w:space="0" w:color="414142"/>
            </w:tcBorders>
            <w:vAlign w:val="center"/>
            <w:hideMark/>
          </w:tcPr>
          <w:p w14:paraId="37B9B175" w14:textId="2F63011F" w:rsidR="00776739" w:rsidRPr="009D1A12" w:rsidRDefault="00831C83"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Saimnieciskās darbības lielums</w:t>
            </w:r>
          </w:p>
        </w:tc>
        <w:tc>
          <w:tcPr>
            <w:tcW w:w="1010" w:type="pct"/>
            <w:tcBorders>
              <w:top w:val="outset" w:sz="6" w:space="0" w:color="414142"/>
              <w:left w:val="outset" w:sz="6" w:space="0" w:color="414142"/>
              <w:bottom w:val="outset" w:sz="6" w:space="0" w:color="414142"/>
              <w:right w:val="outset" w:sz="6" w:space="0" w:color="414142"/>
            </w:tcBorders>
            <w:vAlign w:val="center"/>
            <w:hideMark/>
          </w:tcPr>
          <w:p w14:paraId="69D99856"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Kredītriska robeža pirmajam gadam</w:t>
            </w:r>
          </w:p>
        </w:tc>
        <w:tc>
          <w:tcPr>
            <w:tcW w:w="1515" w:type="pct"/>
            <w:tcBorders>
              <w:top w:val="outset" w:sz="6" w:space="0" w:color="414142"/>
              <w:left w:val="outset" w:sz="6" w:space="0" w:color="414142"/>
              <w:bottom w:val="outset" w:sz="6" w:space="0" w:color="414142"/>
              <w:right w:val="outset" w:sz="6" w:space="0" w:color="414142"/>
            </w:tcBorders>
            <w:vAlign w:val="center"/>
            <w:hideMark/>
          </w:tcPr>
          <w:p w14:paraId="5BB61C58"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Kredītriska robeža otrajam un trešajam gadam</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746A3488"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Kredītriska robeža no ceturtā līdz sestajam gadam</w:t>
            </w:r>
          </w:p>
        </w:tc>
      </w:tr>
      <w:tr w:rsidR="00776739" w:rsidRPr="009D1A12" w14:paraId="18B86E27" w14:textId="77777777" w:rsidTr="00776739">
        <w:tc>
          <w:tcPr>
            <w:tcW w:w="1313" w:type="pct"/>
            <w:tcBorders>
              <w:top w:val="outset" w:sz="6" w:space="0" w:color="414142"/>
              <w:left w:val="outset" w:sz="6" w:space="0" w:color="414142"/>
              <w:bottom w:val="outset" w:sz="6" w:space="0" w:color="414142"/>
              <w:right w:val="outset" w:sz="6" w:space="0" w:color="414142"/>
            </w:tcBorders>
            <w:vAlign w:val="center"/>
          </w:tcPr>
          <w:p w14:paraId="04B69757"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Vidējie komersanti</w:t>
            </w:r>
          </w:p>
        </w:tc>
        <w:tc>
          <w:tcPr>
            <w:tcW w:w="1010" w:type="pct"/>
            <w:tcBorders>
              <w:top w:val="outset" w:sz="6" w:space="0" w:color="414142"/>
              <w:left w:val="outset" w:sz="6" w:space="0" w:color="414142"/>
              <w:bottom w:val="outset" w:sz="6" w:space="0" w:color="414142"/>
              <w:right w:val="outset" w:sz="6" w:space="0" w:color="414142"/>
            </w:tcBorders>
            <w:vAlign w:val="center"/>
          </w:tcPr>
          <w:p w14:paraId="6BD88D10"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175 bāzes punkti</w:t>
            </w:r>
          </w:p>
        </w:tc>
        <w:tc>
          <w:tcPr>
            <w:tcW w:w="1515" w:type="pct"/>
            <w:tcBorders>
              <w:top w:val="outset" w:sz="6" w:space="0" w:color="414142"/>
              <w:left w:val="outset" w:sz="6" w:space="0" w:color="414142"/>
              <w:bottom w:val="outset" w:sz="6" w:space="0" w:color="414142"/>
              <w:right w:val="outset" w:sz="6" w:space="0" w:color="414142"/>
            </w:tcBorders>
            <w:vAlign w:val="center"/>
          </w:tcPr>
          <w:p w14:paraId="6DA8A24F"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200 bāzes punkti</w:t>
            </w:r>
          </w:p>
        </w:tc>
        <w:tc>
          <w:tcPr>
            <w:tcW w:w="1162" w:type="pct"/>
            <w:tcBorders>
              <w:top w:val="outset" w:sz="6" w:space="0" w:color="414142"/>
              <w:left w:val="outset" w:sz="6" w:space="0" w:color="414142"/>
              <w:bottom w:val="outset" w:sz="6" w:space="0" w:color="414142"/>
              <w:right w:val="outset" w:sz="6" w:space="0" w:color="414142"/>
            </w:tcBorders>
            <w:vAlign w:val="center"/>
          </w:tcPr>
          <w:p w14:paraId="7967A882" w14:textId="799F1E28" w:rsidR="00776739" w:rsidRPr="009D1A12" w:rsidRDefault="00A10F88"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25</w:t>
            </w:r>
            <w:r w:rsidR="00776739" w:rsidRPr="009D1A12">
              <w:rPr>
                <w:rFonts w:ascii="Times New Roman" w:eastAsia="Times New Roman" w:hAnsi="Times New Roman" w:cs="Times New Roman"/>
                <w:color w:val="000000" w:themeColor="text1"/>
                <w:sz w:val="26"/>
                <w:szCs w:val="26"/>
                <w:lang w:eastAsia="lv-LV"/>
              </w:rPr>
              <w:t>0 bāzes punkti</w:t>
            </w:r>
          </w:p>
        </w:tc>
      </w:tr>
      <w:tr w:rsidR="00776739" w:rsidRPr="009D1A12" w14:paraId="1531DB91" w14:textId="77777777" w:rsidTr="00776739">
        <w:tc>
          <w:tcPr>
            <w:tcW w:w="1313" w:type="pct"/>
            <w:tcBorders>
              <w:top w:val="outset" w:sz="6" w:space="0" w:color="414142"/>
              <w:left w:val="outset" w:sz="6" w:space="0" w:color="414142"/>
              <w:bottom w:val="outset" w:sz="6" w:space="0" w:color="414142"/>
              <w:right w:val="outset" w:sz="6" w:space="0" w:color="414142"/>
            </w:tcBorders>
            <w:vAlign w:val="center"/>
            <w:hideMark/>
          </w:tcPr>
          <w:p w14:paraId="7666896F"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Lielie komersanti</w:t>
            </w:r>
          </w:p>
        </w:tc>
        <w:tc>
          <w:tcPr>
            <w:tcW w:w="1010" w:type="pct"/>
            <w:tcBorders>
              <w:top w:val="outset" w:sz="6" w:space="0" w:color="414142"/>
              <w:left w:val="outset" w:sz="6" w:space="0" w:color="414142"/>
              <w:bottom w:val="outset" w:sz="6" w:space="0" w:color="414142"/>
              <w:right w:val="outset" w:sz="6" w:space="0" w:color="414142"/>
            </w:tcBorders>
            <w:vAlign w:val="center"/>
            <w:hideMark/>
          </w:tcPr>
          <w:p w14:paraId="56B35B2A"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250 bāzes punkti</w:t>
            </w:r>
          </w:p>
        </w:tc>
        <w:tc>
          <w:tcPr>
            <w:tcW w:w="1515" w:type="pct"/>
            <w:tcBorders>
              <w:top w:val="outset" w:sz="6" w:space="0" w:color="414142"/>
              <w:left w:val="outset" w:sz="6" w:space="0" w:color="414142"/>
              <w:bottom w:val="outset" w:sz="6" w:space="0" w:color="414142"/>
              <w:right w:val="outset" w:sz="6" w:space="0" w:color="414142"/>
            </w:tcBorders>
            <w:vAlign w:val="center"/>
            <w:hideMark/>
          </w:tcPr>
          <w:p w14:paraId="39BD2D34"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300 bāzes punkti</w:t>
            </w:r>
          </w:p>
        </w:tc>
        <w:tc>
          <w:tcPr>
            <w:tcW w:w="1162" w:type="pct"/>
            <w:tcBorders>
              <w:top w:val="outset" w:sz="6" w:space="0" w:color="414142"/>
              <w:left w:val="outset" w:sz="6" w:space="0" w:color="414142"/>
              <w:bottom w:val="outset" w:sz="6" w:space="0" w:color="414142"/>
              <w:right w:val="outset" w:sz="6" w:space="0" w:color="414142"/>
            </w:tcBorders>
            <w:vAlign w:val="center"/>
            <w:hideMark/>
          </w:tcPr>
          <w:p w14:paraId="297C00A7" w14:textId="77777777" w:rsidR="00776739" w:rsidRPr="009D1A12" w:rsidRDefault="00776739" w:rsidP="00B44715">
            <w:pPr>
              <w:spacing w:before="195" w:after="100" w:afterAutospacing="1" w:line="293" w:lineRule="atLeast"/>
              <w:jc w:val="center"/>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400 bāzes punkti</w:t>
            </w:r>
          </w:p>
        </w:tc>
      </w:tr>
    </w:tbl>
    <w:p w14:paraId="77863E8D" w14:textId="2814DD9F" w:rsidR="00831C83" w:rsidRPr="00B44715" w:rsidRDefault="00831C83" w:rsidP="00831C83">
      <w:pPr>
        <w:shd w:val="clear" w:color="auto" w:fill="FFFFFF"/>
        <w:spacing w:before="240" w:after="100" w:afterAutospacing="1" w:line="293" w:lineRule="atLeast"/>
        <w:jc w:val="both"/>
        <w:rPr>
          <w:rFonts w:ascii="Times New Roman" w:eastAsia="Times New Roman" w:hAnsi="Times New Roman" w:cs="Times New Roman"/>
          <w:color w:val="000000" w:themeColor="text1"/>
          <w:sz w:val="26"/>
          <w:szCs w:val="26"/>
          <w:lang w:eastAsia="lv-LV"/>
        </w:rPr>
      </w:pPr>
      <w:r w:rsidRPr="009D1A12">
        <w:rPr>
          <w:rFonts w:ascii="Times New Roman" w:eastAsia="Times New Roman" w:hAnsi="Times New Roman" w:cs="Times New Roman"/>
          <w:color w:val="000000" w:themeColor="text1"/>
          <w:sz w:val="26"/>
          <w:szCs w:val="26"/>
          <w:lang w:eastAsia="lv-LV"/>
        </w:rPr>
        <w:t>Aizdevuma procent</w:t>
      </w:r>
      <w:r w:rsidR="00A10F88" w:rsidRPr="009D1A12">
        <w:rPr>
          <w:rFonts w:ascii="Times New Roman" w:eastAsia="Times New Roman" w:hAnsi="Times New Roman" w:cs="Times New Roman"/>
          <w:color w:val="000000" w:themeColor="text1"/>
          <w:sz w:val="26"/>
          <w:szCs w:val="26"/>
          <w:lang w:eastAsia="lv-LV"/>
        </w:rPr>
        <w:t>u</w:t>
      </w:r>
      <w:r w:rsidRPr="009D1A12">
        <w:rPr>
          <w:rFonts w:ascii="Times New Roman" w:eastAsia="Times New Roman" w:hAnsi="Times New Roman" w:cs="Times New Roman"/>
          <w:color w:val="000000" w:themeColor="text1"/>
          <w:sz w:val="26"/>
          <w:szCs w:val="26"/>
          <w:lang w:eastAsia="lv-LV"/>
        </w:rPr>
        <w:t xml:space="preserve"> likmi komersantam nosaka ņemot vērā tā saimnieciskās darbības lielumu. Vidējie komersant</w:t>
      </w:r>
      <w:r w:rsidR="00A10F88" w:rsidRPr="009D1A12">
        <w:rPr>
          <w:rFonts w:ascii="Times New Roman" w:eastAsia="Times New Roman" w:hAnsi="Times New Roman" w:cs="Times New Roman"/>
          <w:color w:val="000000" w:themeColor="text1"/>
          <w:sz w:val="26"/>
          <w:szCs w:val="26"/>
          <w:lang w:eastAsia="lv-LV"/>
        </w:rPr>
        <w:t>i</w:t>
      </w:r>
      <w:r w:rsidRPr="009D1A12">
        <w:rPr>
          <w:rFonts w:ascii="Times New Roman" w:eastAsia="Times New Roman" w:hAnsi="Times New Roman" w:cs="Times New Roman"/>
          <w:color w:val="000000" w:themeColor="text1"/>
          <w:sz w:val="26"/>
          <w:szCs w:val="26"/>
          <w:lang w:eastAsia="lv-LV"/>
        </w:rPr>
        <w:t xml:space="preserve"> tiek vērtēt</w:t>
      </w:r>
      <w:r w:rsidR="00A10F88" w:rsidRPr="009D1A12">
        <w:rPr>
          <w:rFonts w:ascii="Times New Roman" w:eastAsia="Times New Roman" w:hAnsi="Times New Roman" w:cs="Times New Roman"/>
          <w:color w:val="000000" w:themeColor="text1"/>
          <w:sz w:val="26"/>
          <w:szCs w:val="26"/>
          <w:lang w:eastAsia="lv-LV"/>
        </w:rPr>
        <w:t>i</w:t>
      </w:r>
      <w:r w:rsidRPr="009D1A12">
        <w:rPr>
          <w:rFonts w:ascii="Times New Roman" w:eastAsia="Times New Roman" w:hAnsi="Times New Roman" w:cs="Times New Roman"/>
          <w:color w:val="000000" w:themeColor="text1"/>
          <w:sz w:val="26"/>
          <w:szCs w:val="26"/>
          <w:lang w:eastAsia="lv-LV"/>
        </w:rPr>
        <w:t xml:space="preserve"> atbilstoši </w:t>
      </w:r>
      <w:r w:rsidRPr="009D1A12">
        <w:rPr>
          <w:rFonts w:ascii="Times New Roman" w:hAnsi="Times New Roman" w:cs="Times New Roman"/>
          <w:sz w:val="26"/>
          <w:szCs w:val="26"/>
        </w:rPr>
        <w:t>Komisijas regula</w:t>
      </w:r>
      <w:r w:rsidR="00A10F88" w:rsidRPr="009D1A12">
        <w:rPr>
          <w:rFonts w:ascii="Times New Roman" w:hAnsi="Times New Roman" w:cs="Times New Roman"/>
          <w:sz w:val="26"/>
          <w:szCs w:val="26"/>
        </w:rPr>
        <w:t>s</w:t>
      </w:r>
      <w:r w:rsidRPr="009D1A12">
        <w:rPr>
          <w:rFonts w:ascii="Times New Roman" w:hAnsi="Times New Roman" w:cs="Times New Roman"/>
          <w:sz w:val="26"/>
          <w:szCs w:val="26"/>
        </w:rPr>
        <w:t xml:space="preserve"> Nr. 651/2014</w:t>
      </w:r>
      <w:r w:rsidRPr="009D1A12">
        <w:rPr>
          <w:rFonts w:ascii="Times New Roman" w:eastAsia="Times New Roman" w:hAnsi="Times New Roman" w:cs="Times New Roman"/>
          <w:color w:val="000000" w:themeColor="text1"/>
          <w:sz w:val="26"/>
          <w:szCs w:val="26"/>
          <w:lang w:eastAsia="lv-LV"/>
        </w:rPr>
        <w:t>, I</w:t>
      </w:r>
      <w:r w:rsidR="008A4C85" w:rsidRPr="009D1A12">
        <w:rPr>
          <w:rFonts w:ascii="Times New Roman" w:eastAsia="Times New Roman" w:hAnsi="Times New Roman" w:cs="Times New Roman"/>
          <w:color w:val="000000" w:themeColor="text1"/>
          <w:sz w:val="26"/>
          <w:szCs w:val="26"/>
          <w:lang w:eastAsia="lv-LV"/>
        </w:rPr>
        <w:t> </w:t>
      </w:r>
      <w:r w:rsidRPr="009D1A12">
        <w:rPr>
          <w:rFonts w:ascii="Times New Roman" w:eastAsia="Times New Roman" w:hAnsi="Times New Roman" w:cs="Times New Roman"/>
          <w:color w:val="000000" w:themeColor="text1"/>
          <w:sz w:val="26"/>
          <w:szCs w:val="26"/>
          <w:lang w:eastAsia="lv-LV"/>
        </w:rPr>
        <w:t xml:space="preserve">pielikumā 2. pantā noteiktajai definīcijai vai </w:t>
      </w:r>
      <w:r w:rsidRPr="009D1A12">
        <w:rPr>
          <w:rFonts w:ascii="Times New Roman" w:hAnsi="Times New Roman" w:cs="Times New Roman"/>
          <w:sz w:val="26"/>
          <w:szCs w:val="26"/>
        </w:rPr>
        <w:t>Komisijas regula</w:t>
      </w:r>
      <w:r w:rsidR="00A10F88" w:rsidRPr="009D1A12">
        <w:rPr>
          <w:rFonts w:ascii="Times New Roman" w:hAnsi="Times New Roman" w:cs="Times New Roman"/>
          <w:sz w:val="26"/>
          <w:szCs w:val="26"/>
        </w:rPr>
        <w:t>s</w:t>
      </w:r>
      <w:r w:rsidRPr="009D1A12">
        <w:rPr>
          <w:rFonts w:ascii="Times New Roman" w:hAnsi="Times New Roman" w:cs="Times New Roman"/>
          <w:sz w:val="26"/>
          <w:szCs w:val="26"/>
        </w:rPr>
        <w:t xml:space="preserve"> Nr. 702/2014</w:t>
      </w:r>
      <w:r w:rsidRPr="009D1A12">
        <w:rPr>
          <w:rFonts w:ascii="Times New Roman" w:eastAsia="Times New Roman" w:hAnsi="Times New Roman" w:cs="Times New Roman"/>
          <w:color w:val="000000" w:themeColor="text1"/>
          <w:sz w:val="26"/>
          <w:szCs w:val="26"/>
          <w:lang w:eastAsia="lv-LV"/>
        </w:rPr>
        <w:t>, I</w:t>
      </w:r>
      <w:r w:rsidR="008A4C85" w:rsidRPr="009D1A12">
        <w:rPr>
          <w:rFonts w:ascii="Times New Roman" w:eastAsia="Times New Roman" w:hAnsi="Times New Roman" w:cs="Times New Roman"/>
          <w:color w:val="000000" w:themeColor="text1"/>
          <w:sz w:val="26"/>
          <w:szCs w:val="26"/>
          <w:lang w:eastAsia="lv-LV"/>
        </w:rPr>
        <w:t> </w:t>
      </w:r>
      <w:r w:rsidRPr="009D1A12">
        <w:rPr>
          <w:rFonts w:ascii="Times New Roman" w:eastAsia="Times New Roman" w:hAnsi="Times New Roman" w:cs="Times New Roman"/>
          <w:color w:val="000000" w:themeColor="text1"/>
          <w:sz w:val="26"/>
          <w:szCs w:val="26"/>
          <w:lang w:eastAsia="lv-LV"/>
        </w:rPr>
        <w:t>pielikuma 2. pantā noteiktajai definīcijai</w:t>
      </w:r>
      <w:r w:rsidR="001742EC">
        <w:rPr>
          <w:rFonts w:ascii="Times New Roman" w:eastAsia="Times New Roman" w:hAnsi="Times New Roman" w:cs="Times New Roman"/>
          <w:color w:val="000000" w:themeColor="text1"/>
          <w:sz w:val="26"/>
          <w:szCs w:val="26"/>
          <w:lang w:eastAsia="lv-LV"/>
        </w:rPr>
        <w:t xml:space="preserve"> vai </w:t>
      </w:r>
      <w:r w:rsidR="001742EC" w:rsidRPr="009D1A12">
        <w:rPr>
          <w:rFonts w:ascii="Times New Roman" w:hAnsi="Times New Roman" w:cs="Times New Roman"/>
          <w:sz w:val="26"/>
          <w:szCs w:val="26"/>
        </w:rPr>
        <w:t xml:space="preserve">Komisijas regulas Nr. </w:t>
      </w:r>
      <w:r w:rsidR="001742EC">
        <w:rPr>
          <w:rFonts w:ascii="Times New Roman" w:hAnsi="Times New Roman" w:cs="Times New Roman"/>
          <w:sz w:val="26"/>
          <w:szCs w:val="26"/>
        </w:rPr>
        <w:t>1388</w:t>
      </w:r>
      <w:r w:rsidR="001742EC" w:rsidRPr="009D1A12">
        <w:rPr>
          <w:rFonts w:ascii="Times New Roman" w:hAnsi="Times New Roman" w:cs="Times New Roman"/>
          <w:sz w:val="26"/>
          <w:szCs w:val="26"/>
        </w:rPr>
        <w:t>/2014</w:t>
      </w:r>
      <w:r w:rsidR="001742EC" w:rsidRPr="009D1A12">
        <w:rPr>
          <w:rFonts w:ascii="Times New Roman" w:eastAsia="Times New Roman" w:hAnsi="Times New Roman" w:cs="Times New Roman"/>
          <w:color w:val="000000" w:themeColor="text1"/>
          <w:sz w:val="26"/>
          <w:szCs w:val="26"/>
          <w:lang w:eastAsia="lv-LV"/>
        </w:rPr>
        <w:t>, I pielikuma 2. pantā noteiktajai definīcijai</w:t>
      </w:r>
      <w:r w:rsidRPr="009D1A12">
        <w:rPr>
          <w:rFonts w:ascii="Times New Roman" w:eastAsia="Times New Roman" w:hAnsi="Times New Roman" w:cs="Times New Roman"/>
          <w:color w:val="000000" w:themeColor="text1"/>
          <w:sz w:val="26"/>
          <w:szCs w:val="26"/>
          <w:lang w:eastAsia="lv-LV"/>
        </w:rPr>
        <w:t>. Lielais komersants tiek vērtēts atbilstoši Komisijas regulas Nr. 651/2014, 2. panta 24. punktā noteiktajai definīcijai vai Komisijas regula</w:t>
      </w:r>
      <w:r w:rsidR="00A10F88" w:rsidRPr="009D1A12">
        <w:rPr>
          <w:rFonts w:ascii="Times New Roman" w:eastAsia="Times New Roman" w:hAnsi="Times New Roman" w:cs="Times New Roman"/>
          <w:color w:val="000000" w:themeColor="text1"/>
          <w:sz w:val="26"/>
          <w:szCs w:val="26"/>
          <w:lang w:eastAsia="lv-LV"/>
        </w:rPr>
        <w:t>s</w:t>
      </w:r>
      <w:r w:rsidRPr="009D1A12">
        <w:rPr>
          <w:rFonts w:ascii="Times New Roman" w:eastAsia="Times New Roman" w:hAnsi="Times New Roman" w:cs="Times New Roman"/>
          <w:color w:val="000000" w:themeColor="text1"/>
          <w:sz w:val="26"/>
          <w:szCs w:val="26"/>
          <w:lang w:eastAsia="lv-LV"/>
        </w:rPr>
        <w:t xml:space="preserve"> Nr. 702/2014, 2. panta 26. punktā noteiktajai definīcijai</w:t>
      </w:r>
      <w:r w:rsidR="001742EC">
        <w:rPr>
          <w:rFonts w:ascii="Times New Roman" w:eastAsia="Times New Roman" w:hAnsi="Times New Roman" w:cs="Times New Roman"/>
          <w:color w:val="000000" w:themeColor="text1"/>
          <w:sz w:val="26"/>
          <w:szCs w:val="26"/>
          <w:lang w:eastAsia="lv-LV"/>
        </w:rPr>
        <w:t xml:space="preserve"> vai zvejniecības un akvakultūras nozarē lielais komersants ir saimnieciskās darbības veicējs, kas </w:t>
      </w:r>
      <w:r w:rsidR="001742EC" w:rsidRPr="00CD4CC1">
        <w:rPr>
          <w:rFonts w:ascii="Times New Roman" w:eastAsia="Times New Roman" w:hAnsi="Times New Roman" w:cs="Times New Roman"/>
          <w:color w:val="000000" w:themeColor="text1"/>
          <w:sz w:val="26"/>
          <w:szCs w:val="26"/>
          <w:lang w:eastAsia="lv-LV"/>
        </w:rPr>
        <w:t>pārsniedz Komisijas Regulas Nr. 1388/2014, 1. pielikuma 2. panta 1. punktā noteiktos kritērijus.</w:t>
      </w:r>
      <w:r w:rsidR="008A4C85" w:rsidRPr="009D1A12">
        <w:rPr>
          <w:rFonts w:ascii="Times New Roman" w:eastAsia="Times New Roman" w:hAnsi="Times New Roman" w:cs="Times New Roman"/>
          <w:color w:val="000000" w:themeColor="text1"/>
          <w:sz w:val="26"/>
          <w:szCs w:val="26"/>
          <w:lang w:eastAsia="lv-LV"/>
        </w:rPr>
        <w:t>.”</w:t>
      </w:r>
    </w:p>
    <w:p w14:paraId="4C4610DE" w14:textId="2FBBFFE6" w:rsidR="00A932C0" w:rsidRPr="00886F32" w:rsidRDefault="00A932C0" w:rsidP="00A932C0">
      <w:pPr>
        <w:pStyle w:val="ListParagraph"/>
        <w:spacing w:after="0" w:line="240" w:lineRule="auto"/>
        <w:ind w:left="643" w:right="-199"/>
        <w:jc w:val="both"/>
        <w:rPr>
          <w:rFonts w:ascii="Times New Roman" w:hAnsi="Times New Roman" w:cs="Times New Roman"/>
          <w:color w:val="000000" w:themeColor="text1"/>
          <w:sz w:val="26"/>
          <w:szCs w:val="26"/>
        </w:rPr>
      </w:pPr>
    </w:p>
    <w:p w14:paraId="70EB899D" w14:textId="77777777" w:rsidR="00A932C0" w:rsidRPr="00886F32" w:rsidRDefault="00A932C0" w:rsidP="00A932C0">
      <w:pPr>
        <w:spacing w:after="0" w:line="240" w:lineRule="auto"/>
        <w:ind w:left="283" w:right="-199"/>
        <w:jc w:val="both"/>
        <w:rPr>
          <w:rFonts w:ascii="Times New Roman" w:hAnsi="Times New Roman" w:cs="Times New Roman"/>
          <w:color w:val="000000" w:themeColor="text1"/>
          <w:sz w:val="26"/>
          <w:szCs w:val="26"/>
        </w:rPr>
      </w:pPr>
    </w:p>
    <w:p w14:paraId="4FE737F9" w14:textId="52E02A8E" w:rsidR="0017091C" w:rsidRPr="008646C0" w:rsidRDefault="0017091C" w:rsidP="0017091C">
      <w:pPr>
        <w:pStyle w:val="ListParagraph"/>
        <w:numPr>
          <w:ilvl w:val="0"/>
          <w:numId w:val="24"/>
        </w:numPr>
        <w:shd w:val="clear" w:color="auto" w:fill="FFFFFF"/>
        <w:spacing w:after="0" w:line="240" w:lineRule="auto"/>
        <w:jc w:val="both"/>
        <w:rPr>
          <w:rFonts w:ascii="Times New Roman" w:eastAsia="Times New Roman" w:hAnsi="Times New Roman" w:cs="Times New Roman"/>
          <w:bCs/>
          <w:color w:val="000000" w:themeColor="text1"/>
          <w:sz w:val="26"/>
          <w:szCs w:val="26"/>
          <w:lang w:eastAsia="lv-LV"/>
        </w:rPr>
      </w:pPr>
      <w:r w:rsidRPr="008646C0">
        <w:rPr>
          <w:rFonts w:ascii="Times New Roman" w:eastAsia="Times New Roman" w:hAnsi="Times New Roman" w:cs="Times New Roman"/>
          <w:bCs/>
          <w:color w:val="000000" w:themeColor="text1"/>
          <w:sz w:val="26"/>
          <w:szCs w:val="26"/>
          <w:lang w:eastAsia="lv-LV"/>
        </w:rPr>
        <w:lastRenderedPageBreak/>
        <w:t>Noteikumi stājas spēkā nākamajā dienā pēc tam, kad oficiālajā izdevumā “Latvijas Vēstnesis” publicēts paziņojums par to, ka Eiropas Komisija pieņēmusi lēmumu par šajos noteikumos paredzētā komercdarbības atbalsta saderību ar Eiropas Savienības iekšējo tirgu.</w:t>
      </w:r>
    </w:p>
    <w:p w14:paraId="7CCD6AC4" w14:textId="77777777" w:rsidR="0017091C" w:rsidRPr="008646C0" w:rsidRDefault="0017091C" w:rsidP="0017091C">
      <w:pPr>
        <w:pStyle w:val="ListParagraph"/>
        <w:shd w:val="clear" w:color="auto" w:fill="FFFFFF"/>
        <w:spacing w:after="0" w:line="240" w:lineRule="auto"/>
        <w:ind w:left="643"/>
        <w:jc w:val="both"/>
        <w:rPr>
          <w:rFonts w:ascii="Times New Roman" w:eastAsia="Times New Roman" w:hAnsi="Times New Roman" w:cs="Times New Roman"/>
          <w:bCs/>
          <w:color w:val="000000" w:themeColor="text1"/>
          <w:sz w:val="26"/>
          <w:szCs w:val="26"/>
          <w:lang w:eastAsia="lv-LV"/>
        </w:rPr>
      </w:pPr>
    </w:p>
    <w:p w14:paraId="610107DA" w14:textId="1025791A" w:rsidR="0017091C" w:rsidRPr="008646C0" w:rsidRDefault="0017091C" w:rsidP="0017091C">
      <w:pPr>
        <w:pStyle w:val="ListParagraph"/>
        <w:numPr>
          <w:ilvl w:val="0"/>
          <w:numId w:val="24"/>
        </w:numPr>
        <w:shd w:val="clear" w:color="auto" w:fill="FFFFFF"/>
        <w:spacing w:after="0" w:line="240" w:lineRule="auto"/>
        <w:jc w:val="both"/>
        <w:rPr>
          <w:rFonts w:ascii="Times New Roman" w:eastAsia="Times New Roman" w:hAnsi="Times New Roman" w:cs="Times New Roman"/>
          <w:bCs/>
          <w:sz w:val="26"/>
          <w:szCs w:val="26"/>
          <w:lang w:eastAsia="lv-LV"/>
        </w:rPr>
      </w:pPr>
      <w:r w:rsidRPr="008646C0">
        <w:rPr>
          <w:rFonts w:ascii="Times New Roman" w:eastAsia="Times New Roman" w:hAnsi="Times New Roman" w:cs="Times New Roman"/>
          <w:bCs/>
          <w:color w:val="000000" w:themeColor="text1"/>
          <w:sz w:val="26"/>
          <w:szCs w:val="26"/>
          <w:lang w:eastAsia="lv-LV"/>
        </w:rPr>
        <w:t xml:space="preserve">Ekonomikas ministrija pēc tam, kad Eiropas Komisija pieņēmusi lēmumu </w:t>
      </w:r>
      <w:r w:rsidRPr="008646C0">
        <w:rPr>
          <w:rFonts w:ascii="Times New Roman" w:eastAsia="Times New Roman" w:hAnsi="Times New Roman" w:cs="Times New Roman"/>
          <w:bCs/>
          <w:sz w:val="26"/>
          <w:szCs w:val="26"/>
          <w:lang w:eastAsia="lv-LV"/>
        </w:rPr>
        <w:t>par komercdarbības atbalsta saderību ar Eiropas Savienības iekšējo tirgu, nosūta attiecīgu paziņojumu publicēšanai oficiālajā izdevumā “Latvijas Vēstnesis”.</w:t>
      </w:r>
    </w:p>
    <w:p w14:paraId="065D57C6" w14:textId="77C76518" w:rsidR="00AD29D1" w:rsidRPr="00886F32" w:rsidRDefault="00AD29D1" w:rsidP="00177DE7">
      <w:pPr>
        <w:spacing w:after="0" w:line="240" w:lineRule="auto"/>
        <w:ind w:right="-199" w:firstLine="709"/>
        <w:jc w:val="both"/>
        <w:rPr>
          <w:rFonts w:ascii="Times New Roman" w:hAnsi="Times New Roman" w:cs="Times New Roman"/>
          <w:sz w:val="26"/>
          <w:szCs w:val="26"/>
        </w:rPr>
      </w:pPr>
    </w:p>
    <w:p w14:paraId="377E2F8C" w14:textId="77777777" w:rsidR="007029D8" w:rsidRPr="00886F32" w:rsidRDefault="007029D8" w:rsidP="00177DE7">
      <w:pPr>
        <w:spacing w:after="0" w:line="240" w:lineRule="auto"/>
        <w:ind w:right="-199" w:firstLine="709"/>
        <w:jc w:val="both"/>
        <w:rPr>
          <w:rFonts w:ascii="Times New Roman" w:hAnsi="Times New Roman" w:cs="Times New Roman"/>
          <w:sz w:val="26"/>
          <w:szCs w:val="26"/>
        </w:rPr>
      </w:pPr>
    </w:p>
    <w:p w14:paraId="60A320D6" w14:textId="77777777" w:rsidR="00AD29D1" w:rsidRPr="00886F32" w:rsidRDefault="00AD29D1" w:rsidP="00177DE7">
      <w:pPr>
        <w:pStyle w:val="Body"/>
        <w:tabs>
          <w:tab w:val="left" w:pos="6521"/>
        </w:tabs>
        <w:spacing w:after="0" w:line="240" w:lineRule="auto"/>
        <w:ind w:firstLine="709"/>
        <w:jc w:val="both"/>
        <w:rPr>
          <w:rFonts w:ascii="Times New Roman" w:hAnsi="Times New Roman" w:cs="Times New Roman"/>
          <w:color w:val="auto"/>
          <w:sz w:val="26"/>
          <w:szCs w:val="26"/>
          <w:lang w:val="de-DE"/>
        </w:rPr>
      </w:pPr>
      <w:proofErr w:type="spellStart"/>
      <w:r w:rsidRPr="00886F32">
        <w:rPr>
          <w:rFonts w:ascii="Times New Roman" w:hAnsi="Times New Roman" w:cs="Times New Roman"/>
          <w:color w:val="auto"/>
          <w:sz w:val="26"/>
          <w:szCs w:val="26"/>
          <w:lang w:val="de-DE"/>
        </w:rPr>
        <w:t>Ministru</w:t>
      </w:r>
      <w:proofErr w:type="spellEnd"/>
      <w:r w:rsidRPr="00886F32">
        <w:rPr>
          <w:rFonts w:ascii="Times New Roman" w:hAnsi="Times New Roman" w:cs="Times New Roman"/>
          <w:color w:val="auto"/>
          <w:sz w:val="26"/>
          <w:szCs w:val="26"/>
          <w:lang w:val="de-DE"/>
        </w:rPr>
        <w:t xml:space="preserve"> </w:t>
      </w:r>
      <w:proofErr w:type="spellStart"/>
      <w:r w:rsidRPr="00886F32">
        <w:rPr>
          <w:rFonts w:ascii="Times New Roman" w:hAnsi="Times New Roman" w:cs="Times New Roman"/>
          <w:color w:val="auto"/>
          <w:sz w:val="26"/>
          <w:szCs w:val="26"/>
          <w:lang w:val="de-DE"/>
        </w:rPr>
        <w:t>prezidents</w:t>
      </w:r>
      <w:proofErr w:type="spellEnd"/>
      <w:r w:rsidRPr="00886F32">
        <w:rPr>
          <w:rFonts w:ascii="Times New Roman" w:hAnsi="Times New Roman" w:cs="Times New Roman"/>
          <w:color w:val="auto"/>
          <w:sz w:val="26"/>
          <w:szCs w:val="26"/>
          <w:lang w:val="de-DE"/>
        </w:rPr>
        <w:tab/>
      </w:r>
      <w:r w:rsidRPr="00886F32">
        <w:rPr>
          <w:rFonts w:ascii="Times New Roman" w:eastAsia="Calibri" w:hAnsi="Times New Roman" w:cs="Times New Roman"/>
          <w:color w:val="auto"/>
          <w:sz w:val="26"/>
          <w:szCs w:val="26"/>
          <w:lang w:val="de-DE"/>
        </w:rPr>
        <w:t>A. </w:t>
      </w:r>
      <w:r w:rsidRPr="00886F32">
        <w:rPr>
          <w:rFonts w:ascii="Times New Roman" w:hAnsi="Times New Roman" w:cs="Times New Roman"/>
          <w:color w:val="auto"/>
          <w:sz w:val="26"/>
          <w:szCs w:val="26"/>
          <w:lang w:val="de-DE"/>
        </w:rPr>
        <w:t>K. </w:t>
      </w:r>
      <w:proofErr w:type="spellStart"/>
      <w:r w:rsidRPr="00886F32">
        <w:rPr>
          <w:rFonts w:ascii="Times New Roman" w:hAnsi="Times New Roman" w:cs="Times New Roman"/>
          <w:color w:val="auto"/>
          <w:sz w:val="26"/>
          <w:szCs w:val="26"/>
          <w:lang w:val="de-DE"/>
        </w:rPr>
        <w:t>Kariņš</w:t>
      </w:r>
      <w:proofErr w:type="spellEnd"/>
    </w:p>
    <w:p w14:paraId="6D2F9AF0" w14:textId="77777777" w:rsidR="00AD29D1" w:rsidRPr="00886F32" w:rsidRDefault="00AD29D1" w:rsidP="00177DE7">
      <w:pPr>
        <w:pStyle w:val="Body"/>
        <w:spacing w:after="0" w:line="240" w:lineRule="auto"/>
        <w:ind w:firstLine="709"/>
        <w:jc w:val="both"/>
        <w:rPr>
          <w:rFonts w:ascii="Times New Roman" w:hAnsi="Times New Roman" w:cs="Times New Roman"/>
          <w:color w:val="auto"/>
          <w:sz w:val="26"/>
          <w:szCs w:val="26"/>
          <w:lang w:val="de-DE"/>
        </w:rPr>
      </w:pPr>
    </w:p>
    <w:p w14:paraId="5657EA4A" w14:textId="77777777" w:rsidR="00AD29D1" w:rsidRPr="00886F32" w:rsidRDefault="00AD29D1" w:rsidP="00177DE7">
      <w:pPr>
        <w:pStyle w:val="Body"/>
        <w:spacing w:after="0" w:line="240" w:lineRule="auto"/>
        <w:ind w:firstLine="709"/>
        <w:jc w:val="both"/>
        <w:rPr>
          <w:rFonts w:ascii="Times New Roman" w:hAnsi="Times New Roman" w:cs="Times New Roman"/>
          <w:color w:val="auto"/>
          <w:sz w:val="26"/>
          <w:szCs w:val="26"/>
          <w:lang w:val="de-DE"/>
        </w:rPr>
      </w:pPr>
    </w:p>
    <w:p w14:paraId="05C3F187" w14:textId="77777777" w:rsidR="00AD29D1" w:rsidRPr="00886F32" w:rsidRDefault="00AD29D1" w:rsidP="00177DE7">
      <w:pPr>
        <w:pStyle w:val="Body"/>
        <w:spacing w:after="0" w:line="240" w:lineRule="auto"/>
        <w:ind w:firstLine="709"/>
        <w:jc w:val="both"/>
        <w:rPr>
          <w:rFonts w:ascii="Times New Roman" w:hAnsi="Times New Roman" w:cs="Times New Roman"/>
          <w:color w:val="auto"/>
          <w:sz w:val="26"/>
          <w:szCs w:val="26"/>
          <w:lang w:val="de-DE"/>
        </w:rPr>
      </w:pPr>
    </w:p>
    <w:p w14:paraId="491576F3" w14:textId="77777777" w:rsidR="00AD29D1" w:rsidRPr="00886F32" w:rsidRDefault="00AD29D1" w:rsidP="00177DE7">
      <w:pPr>
        <w:pStyle w:val="Body"/>
        <w:tabs>
          <w:tab w:val="left" w:pos="6521"/>
        </w:tabs>
        <w:spacing w:after="0" w:line="240" w:lineRule="auto"/>
        <w:ind w:firstLine="709"/>
        <w:jc w:val="both"/>
        <w:rPr>
          <w:rFonts w:ascii="Times New Roman" w:hAnsi="Times New Roman" w:cs="Times New Roman"/>
          <w:color w:val="auto"/>
          <w:sz w:val="26"/>
          <w:szCs w:val="26"/>
          <w:lang w:val="de-DE"/>
        </w:rPr>
      </w:pPr>
      <w:proofErr w:type="spellStart"/>
      <w:r w:rsidRPr="00886F32">
        <w:rPr>
          <w:rFonts w:ascii="Times New Roman" w:hAnsi="Times New Roman" w:cs="Times New Roman"/>
          <w:color w:val="auto"/>
          <w:sz w:val="26"/>
          <w:szCs w:val="26"/>
          <w:lang w:val="de-DE"/>
        </w:rPr>
        <w:t>Ekonomikas</w:t>
      </w:r>
      <w:proofErr w:type="spellEnd"/>
      <w:r w:rsidRPr="00886F32">
        <w:rPr>
          <w:rFonts w:ascii="Times New Roman" w:hAnsi="Times New Roman" w:cs="Times New Roman"/>
          <w:color w:val="auto"/>
          <w:sz w:val="26"/>
          <w:szCs w:val="26"/>
          <w:lang w:val="de-DE"/>
        </w:rPr>
        <w:t xml:space="preserve"> </w:t>
      </w:r>
      <w:proofErr w:type="spellStart"/>
      <w:r w:rsidRPr="00886F32">
        <w:rPr>
          <w:rFonts w:ascii="Times New Roman" w:hAnsi="Times New Roman" w:cs="Times New Roman"/>
          <w:color w:val="auto"/>
          <w:sz w:val="26"/>
          <w:szCs w:val="26"/>
          <w:lang w:val="de-DE"/>
        </w:rPr>
        <w:t>ministrs</w:t>
      </w:r>
      <w:proofErr w:type="spellEnd"/>
      <w:r w:rsidRPr="00886F32">
        <w:rPr>
          <w:rFonts w:ascii="Times New Roman" w:hAnsi="Times New Roman" w:cs="Times New Roman"/>
          <w:color w:val="auto"/>
          <w:sz w:val="26"/>
          <w:szCs w:val="26"/>
          <w:lang w:val="de-DE"/>
        </w:rPr>
        <w:tab/>
        <w:t>J. </w:t>
      </w:r>
      <w:proofErr w:type="spellStart"/>
      <w:r w:rsidRPr="00886F32">
        <w:rPr>
          <w:rFonts w:ascii="Times New Roman" w:hAnsi="Times New Roman" w:cs="Times New Roman"/>
          <w:color w:val="auto"/>
          <w:sz w:val="26"/>
          <w:szCs w:val="26"/>
          <w:lang w:val="de-DE"/>
        </w:rPr>
        <w:t>Vitenbergs</w:t>
      </w:r>
      <w:proofErr w:type="spellEnd"/>
    </w:p>
    <w:sectPr w:rsidR="00AD29D1" w:rsidRPr="00886F32" w:rsidSect="00AD29D1">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A1FDE" w14:textId="77777777" w:rsidR="002400D7" w:rsidRDefault="002400D7" w:rsidP="0070665D">
      <w:pPr>
        <w:spacing w:after="0" w:line="240" w:lineRule="auto"/>
      </w:pPr>
      <w:r>
        <w:separator/>
      </w:r>
    </w:p>
  </w:endnote>
  <w:endnote w:type="continuationSeparator" w:id="0">
    <w:p w14:paraId="29B214E0" w14:textId="77777777" w:rsidR="002400D7" w:rsidRDefault="002400D7" w:rsidP="00706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9B772" w14:textId="55A7A926" w:rsidR="00AD29D1" w:rsidRPr="001E17CD" w:rsidRDefault="009A3DEE" w:rsidP="001E17CD">
    <w:pPr>
      <w:pStyle w:val="Footer"/>
      <w:rPr>
        <w:rFonts w:ascii="Times New Roman" w:hAnsi="Times New Roman" w:cs="Times New Roman"/>
        <w:noProof/>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FILENAME \* MERGEFORMAT </w:instrText>
    </w:r>
    <w:r>
      <w:rPr>
        <w:rFonts w:ascii="Times New Roman" w:hAnsi="Times New Roman" w:cs="Times New Roman"/>
        <w:sz w:val="16"/>
        <w:szCs w:val="16"/>
      </w:rPr>
      <w:fldChar w:fldCharType="separate"/>
    </w:r>
    <w:r>
      <w:rPr>
        <w:rFonts w:ascii="Times New Roman" w:hAnsi="Times New Roman" w:cs="Times New Roman"/>
        <w:noProof/>
        <w:sz w:val="16"/>
        <w:szCs w:val="16"/>
      </w:rPr>
      <w:t>1.EMNot_Groz458_</w:t>
    </w:r>
    <w:r w:rsidR="009D1A12">
      <w:rPr>
        <w:rFonts w:ascii="Times New Roman" w:hAnsi="Times New Roman" w:cs="Times New Roman"/>
        <w:noProof/>
        <w:sz w:val="16"/>
        <w:szCs w:val="16"/>
      </w:rPr>
      <w:t>1</w:t>
    </w:r>
    <w:r w:rsidR="00854066">
      <w:rPr>
        <w:rFonts w:ascii="Times New Roman" w:hAnsi="Times New Roman" w:cs="Times New Roman"/>
        <w:noProof/>
        <w:sz w:val="16"/>
        <w:szCs w:val="16"/>
      </w:rPr>
      <w:t>7</w:t>
    </w:r>
    <w:r>
      <w:rPr>
        <w:rFonts w:ascii="Times New Roman" w:hAnsi="Times New Roman" w:cs="Times New Roman"/>
        <w:noProof/>
        <w:sz w:val="16"/>
        <w:szCs w:val="16"/>
      </w:rPr>
      <w:t>092021.docx</w:t>
    </w:r>
    <w:r>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F5D5" w14:textId="5E7846C5" w:rsidR="008B6E92" w:rsidRPr="00AD29D1" w:rsidRDefault="009A3DEE" w:rsidP="00EE5389">
    <w:pPr>
      <w:pStyle w:val="Footer"/>
      <w:jc w:val="both"/>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FILENAME \* MERGEFORMAT </w:instrText>
    </w:r>
    <w:r>
      <w:rPr>
        <w:rFonts w:ascii="Times New Roman" w:hAnsi="Times New Roman" w:cs="Times New Roman"/>
        <w:sz w:val="16"/>
        <w:szCs w:val="16"/>
      </w:rPr>
      <w:fldChar w:fldCharType="separate"/>
    </w:r>
    <w:r>
      <w:rPr>
        <w:rFonts w:ascii="Times New Roman" w:hAnsi="Times New Roman" w:cs="Times New Roman"/>
        <w:noProof/>
        <w:sz w:val="16"/>
        <w:szCs w:val="16"/>
      </w:rPr>
      <w:t>1.EMNot_Groz458_</w:t>
    </w:r>
    <w:r w:rsidR="00854066">
      <w:rPr>
        <w:rFonts w:ascii="Times New Roman" w:hAnsi="Times New Roman" w:cs="Times New Roman"/>
        <w:noProof/>
        <w:sz w:val="16"/>
        <w:szCs w:val="16"/>
      </w:rPr>
      <w:t>17</w:t>
    </w:r>
    <w:r>
      <w:rPr>
        <w:rFonts w:ascii="Times New Roman" w:hAnsi="Times New Roman" w:cs="Times New Roman"/>
        <w:noProof/>
        <w:sz w:val="16"/>
        <w:szCs w:val="16"/>
      </w:rPr>
      <w:t>092021.docx</w:t>
    </w:r>
    <w:r>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7F89C" w14:textId="77777777" w:rsidR="002400D7" w:rsidRDefault="002400D7" w:rsidP="0070665D">
      <w:pPr>
        <w:spacing w:after="0" w:line="240" w:lineRule="auto"/>
      </w:pPr>
      <w:r>
        <w:separator/>
      </w:r>
    </w:p>
  </w:footnote>
  <w:footnote w:type="continuationSeparator" w:id="0">
    <w:p w14:paraId="09A7BCFB" w14:textId="77777777" w:rsidR="002400D7" w:rsidRDefault="002400D7" w:rsidP="00706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B44B7" w14:textId="557D01BA" w:rsidR="003C32E7" w:rsidRPr="007E0DB0" w:rsidRDefault="003C32E7" w:rsidP="007E0DB0">
    <w:pPr>
      <w:pStyle w:val="Header"/>
      <w:jc w:val="center"/>
      <w:rPr>
        <w:rFonts w:ascii="Times New Roman" w:hAnsi="Times New Roman" w:cs="Times New Roman"/>
        <w:sz w:val="24"/>
        <w:szCs w:val="24"/>
      </w:rPr>
    </w:pPr>
    <w:r w:rsidRPr="007E0DB0">
      <w:rPr>
        <w:rFonts w:ascii="Times New Roman" w:hAnsi="Times New Roman" w:cs="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E525D" w14:textId="51641DD6" w:rsidR="00AD29D1" w:rsidRPr="003629D6" w:rsidRDefault="00AD29D1">
    <w:pPr>
      <w:pStyle w:val="Header"/>
    </w:pPr>
  </w:p>
  <w:p w14:paraId="68DBF202" w14:textId="684B86A9" w:rsidR="00AD29D1" w:rsidRDefault="00AD29D1">
    <w:pPr>
      <w:pStyle w:val="Header"/>
    </w:pPr>
    <w:r>
      <w:rPr>
        <w:noProof/>
        <w:lang w:eastAsia="lv-LV"/>
      </w:rPr>
      <w:drawing>
        <wp:inline distT="0" distB="0" distL="0" distR="0" wp14:anchorId="66EC00F7" wp14:editId="06EDEA89">
          <wp:extent cx="5939790" cy="1002030"/>
          <wp:effectExtent l="0" t="0" r="0" b="0"/>
          <wp:docPr id="5" name="Picture 5"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2294"/>
    <w:multiLevelType w:val="hybridMultilevel"/>
    <w:tmpl w:val="946ECF5A"/>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C42065"/>
    <w:multiLevelType w:val="hybridMultilevel"/>
    <w:tmpl w:val="D89681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2D33EE"/>
    <w:multiLevelType w:val="hybridMultilevel"/>
    <w:tmpl w:val="F72854F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A208E7"/>
    <w:multiLevelType w:val="multilevel"/>
    <w:tmpl w:val="0426001F"/>
    <w:lvl w:ilvl="0">
      <w:start w:val="1"/>
      <w:numFmt w:val="decimal"/>
      <w:lvlText w:val="%1."/>
      <w:lvlJc w:val="left"/>
      <w:pPr>
        <w:ind w:left="720" w:hanging="360"/>
      </w:pPr>
    </w:lvl>
    <w:lvl w:ilvl="1">
      <w:start w:val="1"/>
      <w:numFmt w:val="decimal"/>
      <w:lvlText w:val="%1.%2."/>
      <w:lvlJc w:val="left"/>
      <w:pPr>
        <w:ind w:left="715"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19F504C8"/>
    <w:multiLevelType w:val="multilevel"/>
    <w:tmpl w:val="66369C64"/>
    <w:lvl w:ilvl="0">
      <w:start w:val="1"/>
      <w:numFmt w:val="decimal"/>
      <w:lvlText w:val="%1."/>
      <w:lvlJc w:val="left"/>
      <w:pPr>
        <w:ind w:left="643" w:hanging="360"/>
      </w:pPr>
      <w:rPr>
        <w:rFonts w:hint="default"/>
      </w:rPr>
    </w:lvl>
    <w:lvl w:ilvl="1">
      <w:start w:val="1"/>
      <w:numFmt w:val="decimal"/>
      <w:isLgl/>
      <w:lvlText w:val="%1.%2."/>
      <w:lvlJc w:val="left"/>
      <w:pPr>
        <w:ind w:left="1363" w:hanging="7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443" w:hanging="108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523"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63" w:hanging="1800"/>
      </w:pPr>
      <w:rPr>
        <w:rFonts w:hint="default"/>
      </w:rPr>
    </w:lvl>
  </w:abstractNum>
  <w:abstractNum w:abstractNumId="5" w15:restartNumberingAfterBreak="0">
    <w:nsid w:val="1E026C15"/>
    <w:multiLevelType w:val="hybridMultilevel"/>
    <w:tmpl w:val="E64A4542"/>
    <w:lvl w:ilvl="0" w:tplc="81D8E092">
      <w:start w:val="1"/>
      <w:numFmt w:val="decimal"/>
      <w:lvlText w:val="%1."/>
      <w:lvlJc w:val="left"/>
      <w:pPr>
        <w:ind w:left="644"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C2126E"/>
    <w:multiLevelType w:val="hybridMultilevel"/>
    <w:tmpl w:val="1C0C3F50"/>
    <w:lvl w:ilvl="0" w:tplc="81D8E092">
      <w:start w:val="1"/>
      <w:numFmt w:val="decimal"/>
      <w:lvlText w:val="%1."/>
      <w:lvlJc w:val="left"/>
      <w:pPr>
        <w:ind w:left="644"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1E47F1"/>
    <w:multiLevelType w:val="hybridMultilevel"/>
    <w:tmpl w:val="946ECF5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7164F2"/>
    <w:multiLevelType w:val="hybridMultilevel"/>
    <w:tmpl w:val="946ECF5A"/>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F5B37"/>
    <w:multiLevelType w:val="hybridMultilevel"/>
    <w:tmpl w:val="9B78F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B4426A"/>
    <w:multiLevelType w:val="hybridMultilevel"/>
    <w:tmpl w:val="946ECF5A"/>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D3366A"/>
    <w:multiLevelType w:val="hybridMultilevel"/>
    <w:tmpl w:val="946ECF5A"/>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631B12"/>
    <w:multiLevelType w:val="hybridMultilevel"/>
    <w:tmpl w:val="CB226B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A25A0C"/>
    <w:multiLevelType w:val="hybridMultilevel"/>
    <w:tmpl w:val="B7164D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7D4BA5"/>
    <w:multiLevelType w:val="hybridMultilevel"/>
    <w:tmpl w:val="7D0EFD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98F1BEC"/>
    <w:multiLevelType w:val="hybridMultilevel"/>
    <w:tmpl w:val="946ECF5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23163C"/>
    <w:multiLevelType w:val="hybridMultilevel"/>
    <w:tmpl w:val="6CAC7A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11051E3"/>
    <w:multiLevelType w:val="hybridMultilevel"/>
    <w:tmpl w:val="1C0C3F50"/>
    <w:lvl w:ilvl="0" w:tplc="81D8E092">
      <w:start w:val="1"/>
      <w:numFmt w:val="decimal"/>
      <w:lvlText w:val="%1."/>
      <w:lvlJc w:val="left"/>
      <w:pPr>
        <w:ind w:left="644"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624433"/>
    <w:multiLevelType w:val="hybridMultilevel"/>
    <w:tmpl w:val="946ECF5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4E7EE9"/>
    <w:multiLevelType w:val="hybridMultilevel"/>
    <w:tmpl w:val="02A48FCA"/>
    <w:lvl w:ilvl="0" w:tplc="E9700D42">
      <w:start w:val="1"/>
      <w:numFmt w:val="bullet"/>
      <w:lvlText w:val=""/>
      <w:lvlJc w:val="left"/>
      <w:pPr>
        <w:ind w:left="720" w:hanging="360"/>
      </w:pPr>
      <w:rPr>
        <w:rFonts w:ascii="Symbol" w:hAnsi="Symbo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7A624464"/>
    <w:multiLevelType w:val="hybridMultilevel"/>
    <w:tmpl w:val="FA8EA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5B56F7"/>
    <w:multiLevelType w:val="hybridMultilevel"/>
    <w:tmpl w:val="946ECF5A"/>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2"/>
  </w:num>
  <w:num w:numId="3">
    <w:abstractNumId w:val="15"/>
  </w:num>
  <w:num w:numId="4">
    <w:abstractNumId w:val="20"/>
  </w:num>
  <w:num w:numId="5">
    <w:abstractNumId w:val="13"/>
  </w:num>
  <w:num w:numId="6">
    <w:abstractNumId w:val="17"/>
  </w:num>
  <w:num w:numId="7">
    <w:abstractNumId w:val="7"/>
  </w:num>
  <w:num w:numId="8">
    <w:abstractNumId w:val="1"/>
  </w:num>
  <w:num w:numId="9">
    <w:abstractNumId w:val="16"/>
  </w:num>
  <w:num w:numId="10">
    <w:abstractNumId w:val="11"/>
  </w:num>
  <w:num w:numId="11">
    <w:abstractNumId w:val="10"/>
  </w:num>
  <w:num w:numId="12">
    <w:abstractNumId w:val="0"/>
  </w:num>
  <w:num w:numId="13">
    <w:abstractNumId w:val="21"/>
  </w:num>
  <w:num w:numId="14">
    <w:abstractNumId w:val="8"/>
  </w:num>
  <w:num w:numId="15">
    <w:abstractNumId w:val="17"/>
  </w:num>
  <w:num w:numId="16">
    <w:abstractNumId w:val="17"/>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5"/>
  </w:num>
  <w:num w:numId="20">
    <w:abstractNumId w:val="6"/>
  </w:num>
  <w:num w:numId="21">
    <w:abstractNumId w:val="9"/>
  </w:num>
  <w:num w:numId="22">
    <w:abstractNumId w:val="12"/>
  </w:num>
  <w:num w:numId="23">
    <w:abstractNumId w:val="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C91"/>
    <w:rsid w:val="00000327"/>
    <w:rsid w:val="000009BC"/>
    <w:rsid w:val="00020344"/>
    <w:rsid w:val="000235C6"/>
    <w:rsid w:val="0005767E"/>
    <w:rsid w:val="00057EF5"/>
    <w:rsid w:val="000604A7"/>
    <w:rsid w:val="00061052"/>
    <w:rsid w:val="000671DC"/>
    <w:rsid w:val="000718AC"/>
    <w:rsid w:val="0007428C"/>
    <w:rsid w:val="00080691"/>
    <w:rsid w:val="00080B7A"/>
    <w:rsid w:val="00081136"/>
    <w:rsid w:val="00090EE2"/>
    <w:rsid w:val="00095C5C"/>
    <w:rsid w:val="000A5D72"/>
    <w:rsid w:val="000B035A"/>
    <w:rsid w:val="000B1DE5"/>
    <w:rsid w:val="000B2530"/>
    <w:rsid w:val="000B6663"/>
    <w:rsid w:val="000C4C73"/>
    <w:rsid w:val="000C5922"/>
    <w:rsid w:val="000D0B34"/>
    <w:rsid w:val="000D23D2"/>
    <w:rsid w:val="000D63FE"/>
    <w:rsid w:val="000D79C1"/>
    <w:rsid w:val="000F3B9A"/>
    <w:rsid w:val="000F3BD1"/>
    <w:rsid w:val="000F4A8F"/>
    <w:rsid w:val="00101E37"/>
    <w:rsid w:val="00105028"/>
    <w:rsid w:val="001051C9"/>
    <w:rsid w:val="00107B51"/>
    <w:rsid w:val="001117BC"/>
    <w:rsid w:val="001128AB"/>
    <w:rsid w:val="00115206"/>
    <w:rsid w:val="00117643"/>
    <w:rsid w:val="00127214"/>
    <w:rsid w:val="00127C50"/>
    <w:rsid w:val="001315B6"/>
    <w:rsid w:val="001332CC"/>
    <w:rsid w:val="001343F1"/>
    <w:rsid w:val="00134F94"/>
    <w:rsid w:val="00135003"/>
    <w:rsid w:val="00143F46"/>
    <w:rsid w:val="00156AD6"/>
    <w:rsid w:val="00157AE5"/>
    <w:rsid w:val="00161135"/>
    <w:rsid w:val="00163FD0"/>
    <w:rsid w:val="0017091C"/>
    <w:rsid w:val="00171B3C"/>
    <w:rsid w:val="001742EC"/>
    <w:rsid w:val="00177DE7"/>
    <w:rsid w:val="001813A1"/>
    <w:rsid w:val="00183F63"/>
    <w:rsid w:val="00186AF0"/>
    <w:rsid w:val="0019146C"/>
    <w:rsid w:val="00192611"/>
    <w:rsid w:val="00197389"/>
    <w:rsid w:val="00197D18"/>
    <w:rsid w:val="001A0C7F"/>
    <w:rsid w:val="001A402C"/>
    <w:rsid w:val="001A7855"/>
    <w:rsid w:val="001B0EFD"/>
    <w:rsid w:val="001B12E4"/>
    <w:rsid w:val="001B12F6"/>
    <w:rsid w:val="001C1D7D"/>
    <w:rsid w:val="001E17CD"/>
    <w:rsid w:val="001F06C6"/>
    <w:rsid w:val="001F1C73"/>
    <w:rsid w:val="001F23FA"/>
    <w:rsid w:val="001F2E41"/>
    <w:rsid w:val="00200639"/>
    <w:rsid w:val="00201CFA"/>
    <w:rsid w:val="0020269E"/>
    <w:rsid w:val="00203393"/>
    <w:rsid w:val="00207693"/>
    <w:rsid w:val="002154F5"/>
    <w:rsid w:val="0021626E"/>
    <w:rsid w:val="00221E5D"/>
    <w:rsid w:val="002228E2"/>
    <w:rsid w:val="00223143"/>
    <w:rsid w:val="00225258"/>
    <w:rsid w:val="00226BBC"/>
    <w:rsid w:val="0023012C"/>
    <w:rsid w:val="00230158"/>
    <w:rsid w:val="002317CF"/>
    <w:rsid w:val="002377D6"/>
    <w:rsid w:val="002400D7"/>
    <w:rsid w:val="002457A0"/>
    <w:rsid w:val="00246F4C"/>
    <w:rsid w:val="00252546"/>
    <w:rsid w:val="00252CB5"/>
    <w:rsid w:val="0025505C"/>
    <w:rsid w:val="002568A6"/>
    <w:rsid w:val="002643DC"/>
    <w:rsid w:val="0027661E"/>
    <w:rsid w:val="0028725C"/>
    <w:rsid w:val="002A018B"/>
    <w:rsid w:val="002A0AE9"/>
    <w:rsid w:val="002A2D3B"/>
    <w:rsid w:val="002A6323"/>
    <w:rsid w:val="002B25D8"/>
    <w:rsid w:val="002B2DB9"/>
    <w:rsid w:val="002B4F27"/>
    <w:rsid w:val="002B7B74"/>
    <w:rsid w:val="002D05F8"/>
    <w:rsid w:val="002D1659"/>
    <w:rsid w:val="002D52F5"/>
    <w:rsid w:val="002E6598"/>
    <w:rsid w:val="002E6B3F"/>
    <w:rsid w:val="002F0256"/>
    <w:rsid w:val="002F320D"/>
    <w:rsid w:val="0030106A"/>
    <w:rsid w:val="00311306"/>
    <w:rsid w:val="00315C8A"/>
    <w:rsid w:val="003323CE"/>
    <w:rsid w:val="00333697"/>
    <w:rsid w:val="0034068A"/>
    <w:rsid w:val="00340DA2"/>
    <w:rsid w:val="00341FA5"/>
    <w:rsid w:val="003449AD"/>
    <w:rsid w:val="003545B1"/>
    <w:rsid w:val="00355B44"/>
    <w:rsid w:val="0036588D"/>
    <w:rsid w:val="00372F10"/>
    <w:rsid w:val="003748EC"/>
    <w:rsid w:val="003830D4"/>
    <w:rsid w:val="003836F3"/>
    <w:rsid w:val="00390161"/>
    <w:rsid w:val="003914C7"/>
    <w:rsid w:val="00392013"/>
    <w:rsid w:val="00393845"/>
    <w:rsid w:val="003A0F51"/>
    <w:rsid w:val="003A2E34"/>
    <w:rsid w:val="003A60D7"/>
    <w:rsid w:val="003B1B3B"/>
    <w:rsid w:val="003B3194"/>
    <w:rsid w:val="003B3D8E"/>
    <w:rsid w:val="003B4926"/>
    <w:rsid w:val="003B567E"/>
    <w:rsid w:val="003C32E7"/>
    <w:rsid w:val="003D313A"/>
    <w:rsid w:val="003E56D0"/>
    <w:rsid w:val="004077D5"/>
    <w:rsid w:val="0041161E"/>
    <w:rsid w:val="00411720"/>
    <w:rsid w:val="00414C44"/>
    <w:rsid w:val="0043631B"/>
    <w:rsid w:val="00441120"/>
    <w:rsid w:val="00442385"/>
    <w:rsid w:val="004438A1"/>
    <w:rsid w:val="00445205"/>
    <w:rsid w:val="004470C4"/>
    <w:rsid w:val="00451B54"/>
    <w:rsid w:val="0045218F"/>
    <w:rsid w:val="00453DC8"/>
    <w:rsid w:val="00467AB8"/>
    <w:rsid w:val="004767DB"/>
    <w:rsid w:val="004834E7"/>
    <w:rsid w:val="00484223"/>
    <w:rsid w:val="00485BF2"/>
    <w:rsid w:val="00491170"/>
    <w:rsid w:val="0049313B"/>
    <w:rsid w:val="00493C79"/>
    <w:rsid w:val="004A08E8"/>
    <w:rsid w:val="004A22C6"/>
    <w:rsid w:val="004A425F"/>
    <w:rsid w:val="004A6CF1"/>
    <w:rsid w:val="004B7449"/>
    <w:rsid w:val="004C0620"/>
    <w:rsid w:val="004C2A8E"/>
    <w:rsid w:val="004D05F7"/>
    <w:rsid w:val="004E31D5"/>
    <w:rsid w:val="004E384D"/>
    <w:rsid w:val="004E3CAF"/>
    <w:rsid w:val="004E4844"/>
    <w:rsid w:val="004E568B"/>
    <w:rsid w:val="00516F1F"/>
    <w:rsid w:val="00523543"/>
    <w:rsid w:val="00524560"/>
    <w:rsid w:val="00526B97"/>
    <w:rsid w:val="005361DC"/>
    <w:rsid w:val="0053693B"/>
    <w:rsid w:val="00540BD4"/>
    <w:rsid w:val="005429A4"/>
    <w:rsid w:val="005442A4"/>
    <w:rsid w:val="005544AE"/>
    <w:rsid w:val="00565156"/>
    <w:rsid w:val="00567776"/>
    <w:rsid w:val="00576BC6"/>
    <w:rsid w:val="00580933"/>
    <w:rsid w:val="00580EC8"/>
    <w:rsid w:val="005A22CE"/>
    <w:rsid w:val="005A37FA"/>
    <w:rsid w:val="005A60E1"/>
    <w:rsid w:val="005C07DB"/>
    <w:rsid w:val="005C3C41"/>
    <w:rsid w:val="005D337D"/>
    <w:rsid w:val="005E048D"/>
    <w:rsid w:val="005E3BAC"/>
    <w:rsid w:val="005E5A8E"/>
    <w:rsid w:val="005F30DF"/>
    <w:rsid w:val="005F77A6"/>
    <w:rsid w:val="00606EC8"/>
    <w:rsid w:val="00631182"/>
    <w:rsid w:val="00634AF3"/>
    <w:rsid w:val="00640F28"/>
    <w:rsid w:val="0064220D"/>
    <w:rsid w:val="0064266A"/>
    <w:rsid w:val="00643D69"/>
    <w:rsid w:val="00644D0B"/>
    <w:rsid w:val="00647C88"/>
    <w:rsid w:val="00650068"/>
    <w:rsid w:val="00652E88"/>
    <w:rsid w:val="00655A8C"/>
    <w:rsid w:val="0065786C"/>
    <w:rsid w:val="00670BA4"/>
    <w:rsid w:val="00671CD4"/>
    <w:rsid w:val="00675611"/>
    <w:rsid w:val="00681D82"/>
    <w:rsid w:val="00684CB6"/>
    <w:rsid w:val="00684E82"/>
    <w:rsid w:val="00685F0A"/>
    <w:rsid w:val="00686700"/>
    <w:rsid w:val="00686BA9"/>
    <w:rsid w:val="0069625B"/>
    <w:rsid w:val="0069659E"/>
    <w:rsid w:val="006A34DF"/>
    <w:rsid w:val="006A567A"/>
    <w:rsid w:val="006A7B6C"/>
    <w:rsid w:val="006B7933"/>
    <w:rsid w:val="006B7B44"/>
    <w:rsid w:val="006C1456"/>
    <w:rsid w:val="006D0C9A"/>
    <w:rsid w:val="006D5CAB"/>
    <w:rsid w:val="006E1AB2"/>
    <w:rsid w:val="006E4CC6"/>
    <w:rsid w:val="006E5134"/>
    <w:rsid w:val="006E5F44"/>
    <w:rsid w:val="006F4E56"/>
    <w:rsid w:val="007029D8"/>
    <w:rsid w:val="00704073"/>
    <w:rsid w:val="00704B29"/>
    <w:rsid w:val="0070665D"/>
    <w:rsid w:val="00710C42"/>
    <w:rsid w:val="00710CF8"/>
    <w:rsid w:val="00716E66"/>
    <w:rsid w:val="00726ABB"/>
    <w:rsid w:val="00730D07"/>
    <w:rsid w:val="00747EEC"/>
    <w:rsid w:val="0075038B"/>
    <w:rsid w:val="00750EF4"/>
    <w:rsid w:val="00752E73"/>
    <w:rsid w:val="0076112D"/>
    <w:rsid w:val="007617CB"/>
    <w:rsid w:val="007658F6"/>
    <w:rsid w:val="00771904"/>
    <w:rsid w:val="00775218"/>
    <w:rsid w:val="00776739"/>
    <w:rsid w:val="007864A5"/>
    <w:rsid w:val="00787FA4"/>
    <w:rsid w:val="00791B84"/>
    <w:rsid w:val="007940C4"/>
    <w:rsid w:val="00795588"/>
    <w:rsid w:val="00795AB0"/>
    <w:rsid w:val="007A1BFF"/>
    <w:rsid w:val="007B5CC3"/>
    <w:rsid w:val="007B6C7A"/>
    <w:rsid w:val="007B7FA4"/>
    <w:rsid w:val="007C2E75"/>
    <w:rsid w:val="007C3F82"/>
    <w:rsid w:val="007C5F3F"/>
    <w:rsid w:val="007C7079"/>
    <w:rsid w:val="007D6448"/>
    <w:rsid w:val="007E0DB0"/>
    <w:rsid w:val="007E635E"/>
    <w:rsid w:val="007E6B9A"/>
    <w:rsid w:val="007E6E0C"/>
    <w:rsid w:val="007F38A6"/>
    <w:rsid w:val="007F4136"/>
    <w:rsid w:val="00804677"/>
    <w:rsid w:val="00813814"/>
    <w:rsid w:val="0081764A"/>
    <w:rsid w:val="00823FAD"/>
    <w:rsid w:val="00831C83"/>
    <w:rsid w:val="00831CE4"/>
    <w:rsid w:val="00834EF0"/>
    <w:rsid w:val="0084284E"/>
    <w:rsid w:val="00854066"/>
    <w:rsid w:val="008555F8"/>
    <w:rsid w:val="008573E5"/>
    <w:rsid w:val="00863EBC"/>
    <w:rsid w:val="008646C0"/>
    <w:rsid w:val="00867BD6"/>
    <w:rsid w:val="00874A35"/>
    <w:rsid w:val="008754DF"/>
    <w:rsid w:val="0087578C"/>
    <w:rsid w:val="00886F32"/>
    <w:rsid w:val="0089462D"/>
    <w:rsid w:val="00895EEB"/>
    <w:rsid w:val="008A3F8B"/>
    <w:rsid w:val="008A4C85"/>
    <w:rsid w:val="008A68C8"/>
    <w:rsid w:val="008A7641"/>
    <w:rsid w:val="008B1124"/>
    <w:rsid w:val="008B6E92"/>
    <w:rsid w:val="008B6F80"/>
    <w:rsid w:val="008C1E61"/>
    <w:rsid w:val="008C3542"/>
    <w:rsid w:val="008C76A1"/>
    <w:rsid w:val="008D0AAE"/>
    <w:rsid w:val="008D2085"/>
    <w:rsid w:val="008D3C88"/>
    <w:rsid w:val="008D3F6F"/>
    <w:rsid w:val="008E09EF"/>
    <w:rsid w:val="008E165B"/>
    <w:rsid w:val="008E21CA"/>
    <w:rsid w:val="008E26D1"/>
    <w:rsid w:val="008E42EB"/>
    <w:rsid w:val="008E6361"/>
    <w:rsid w:val="008E6F4F"/>
    <w:rsid w:val="008F0E32"/>
    <w:rsid w:val="008F35EE"/>
    <w:rsid w:val="008F4CB2"/>
    <w:rsid w:val="008F657D"/>
    <w:rsid w:val="00901F52"/>
    <w:rsid w:val="0090359F"/>
    <w:rsid w:val="00904260"/>
    <w:rsid w:val="00906E4C"/>
    <w:rsid w:val="009177CE"/>
    <w:rsid w:val="00935568"/>
    <w:rsid w:val="00945783"/>
    <w:rsid w:val="00946C76"/>
    <w:rsid w:val="009532FB"/>
    <w:rsid w:val="009551A3"/>
    <w:rsid w:val="00955246"/>
    <w:rsid w:val="009555E6"/>
    <w:rsid w:val="00960996"/>
    <w:rsid w:val="0096130B"/>
    <w:rsid w:val="00963DAA"/>
    <w:rsid w:val="0097267A"/>
    <w:rsid w:val="00975352"/>
    <w:rsid w:val="00980265"/>
    <w:rsid w:val="00983C82"/>
    <w:rsid w:val="00985639"/>
    <w:rsid w:val="00992740"/>
    <w:rsid w:val="00995336"/>
    <w:rsid w:val="009A3DEE"/>
    <w:rsid w:val="009A5FC7"/>
    <w:rsid w:val="009B3758"/>
    <w:rsid w:val="009B568B"/>
    <w:rsid w:val="009C4281"/>
    <w:rsid w:val="009C720D"/>
    <w:rsid w:val="009D1A12"/>
    <w:rsid w:val="009D45ED"/>
    <w:rsid w:val="009E4A55"/>
    <w:rsid w:val="009E7F0E"/>
    <w:rsid w:val="009F6C16"/>
    <w:rsid w:val="00A10F88"/>
    <w:rsid w:val="00A11A01"/>
    <w:rsid w:val="00A12712"/>
    <w:rsid w:val="00A2049C"/>
    <w:rsid w:val="00A241BB"/>
    <w:rsid w:val="00A33F23"/>
    <w:rsid w:val="00A527E6"/>
    <w:rsid w:val="00A604E8"/>
    <w:rsid w:val="00A60C5A"/>
    <w:rsid w:val="00A61D9D"/>
    <w:rsid w:val="00A630A9"/>
    <w:rsid w:val="00A64032"/>
    <w:rsid w:val="00A80EB3"/>
    <w:rsid w:val="00A932C0"/>
    <w:rsid w:val="00A94CC4"/>
    <w:rsid w:val="00AB5DB8"/>
    <w:rsid w:val="00AB6C87"/>
    <w:rsid w:val="00AB6E34"/>
    <w:rsid w:val="00AB77A8"/>
    <w:rsid w:val="00AC105E"/>
    <w:rsid w:val="00AC16FB"/>
    <w:rsid w:val="00AC2432"/>
    <w:rsid w:val="00AC5C72"/>
    <w:rsid w:val="00AC66E7"/>
    <w:rsid w:val="00AD0EDA"/>
    <w:rsid w:val="00AD29D1"/>
    <w:rsid w:val="00AD3E03"/>
    <w:rsid w:val="00AD79CE"/>
    <w:rsid w:val="00AE000B"/>
    <w:rsid w:val="00AE0610"/>
    <w:rsid w:val="00AE65F8"/>
    <w:rsid w:val="00AF2D09"/>
    <w:rsid w:val="00AF3901"/>
    <w:rsid w:val="00AF51D0"/>
    <w:rsid w:val="00B00BF4"/>
    <w:rsid w:val="00B01256"/>
    <w:rsid w:val="00B01E07"/>
    <w:rsid w:val="00B10407"/>
    <w:rsid w:val="00B16326"/>
    <w:rsid w:val="00B24478"/>
    <w:rsid w:val="00B25684"/>
    <w:rsid w:val="00B27DCC"/>
    <w:rsid w:val="00B43C0D"/>
    <w:rsid w:val="00B43FF8"/>
    <w:rsid w:val="00B557F7"/>
    <w:rsid w:val="00B60A09"/>
    <w:rsid w:val="00B60AAB"/>
    <w:rsid w:val="00B62185"/>
    <w:rsid w:val="00B63474"/>
    <w:rsid w:val="00B71BC8"/>
    <w:rsid w:val="00B74809"/>
    <w:rsid w:val="00B82506"/>
    <w:rsid w:val="00B83A63"/>
    <w:rsid w:val="00B84E30"/>
    <w:rsid w:val="00B854DF"/>
    <w:rsid w:val="00B90537"/>
    <w:rsid w:val="00B91E47"/>
    <w:rsid w:val="00B955F4"/>
    <w:rsid w:val="00BA0405"/>
    <w:rsid w:val="00BA3818"/>
    <w:rsid w:val="00BA5637"/>
    <w:rsid w:val="00BA5BBD"/>
    <w:rsid w:val="00BA7038"/>
    <w:rsid w:val="00BB3CA0"/>
    <w:rsid w:val="00BC2476"/>
    <w:rsid w:val="00BD1211"/>
    <w:rsid w:val="00BD3E6F"/>
    <w:rsid w:val="00BD3FEF"/>
    <w:rsid w:val="00BE53EB"/>
    <w:rsid w:val="00BF5F14"/>
    <w:rsid w:val="00BF5F7E"/>
    <w:rsid w:val="00C02B1A"/>
    <w:rsid w:val="00C064D7"/>
    <w:rsid w:val="00C149D3"/>
    <w:rsid w:val="00C15BCF"/>
    <w:rsid w:val="00C240B2"/>
    <w:rsid w:val="00C30387"/>
    <w:rsid w:val="00C31F50"/>
    <w:rsid w:val="00C427F2"/>
    <w:rsid w:val="00C50DBB"/>
    <w:rsid w:val="00C56BBD"/>
    <w:rsid w:val="00C6200D"/>
    <w:rsid w:val="00C647F8"/>
    <w:rsid w:val="00C64FD5"/>
    <w:rsid w:val="00C66721"/>
    <w:rsid w:val="00C7088F"/>
    <w:rsid w:val="00C71753"/>
    <w:rsid w:val="00C766D3"/>
    <w:rsid w:val="00C7684F"/>
    <w:rsid w:val="00C8788E"/>
    <w:rsid w:val="00C9242C"/>
    <w:rsid w:val="00C95EF2"/>
    <w:rsid w:val="00C96804"/>
    <w:rsid w:val="00C970C1"/>
    <w:rsid w:val="00CA1943"/>
    <w:rsid w:val="00CA36E1"/>
    <w:rsid w:val="00CA6CA1"/>
    <w:rsid w:val="00CB3E61"/>
    <w:rsid w:val="00CB4F5B"/>
    <w:rsid w:val="00CC0FA7"/>
    <w:rsid w:val="00CC3C08"/>
    <w:rsid w:val="00CD00C3"/>
    <w:rsid w:val="00CD0E09"/>
    <w:rsid w:val="00CD4CC1"/>
    <w:rsid w:val="00CD77E3"/>
    <w:rsid w:val="00CE1E42"/>
    <w:rsid w:val="00CE6318"/>
    <w:rsid w:val="00CE6638"/>
    <w:rsid w:val="00CF6FF8"/>
    <w:rsid w:val="00CF7E43"/>
    <w:rsid w:val="00D043AF"/>
    <w:rsid w:val="00D044B1"/>
    <w:rsid w:val="00D04764"/>
    <w:rsid w:val="00D060ED"/>
    <w:rsid w:val="00D12DF5"/>
    <w:rsid w:val="00D13F5D"/>
    <w:rsid w:val="00D20C52"/>
    <w:rsid w:val="00D238F2"/>
    <w:rsid w:val="00D24B65"/>
    <w:rsid w:val="00D4029E"/>
    <w:rsid w:val="00D43C82"/>
    <w:rsid w:val="00D44EF4"/>
    <w:rsid w:val="00D460A7"/>
    <w:rsid w:val="00D52915"/>
    <w:rsid w:val="00D530A2"/>
    <w:rsid w:val="00D5510C"/>
    <w:rsid w:val="00D55AD2"/>
    <w:rsid w:val="00D55B68"/>
    <w:rsid w:val="00D6176E"/>
    <w:rsid w:val="00D64AFA"/>
    <w:rsid w:val="00D653BC"/>
    <w:rsid w:val="00D671C2"/>
    <w:rsid w:val="00D74100"/>
    <w:rsid w:val="00D82126"/>
    <w:rsid w:val="00D86058"/>
    <w:rsid w:val="00D95A64"/>
    <w:rsid w:val="00DA3EE8"/>
    <w:rsid w:val="00DA553A"/>
    <w:rsid w:val="00DA7841"/>
    <w:rsid w:val="00DB1BFB"/>
    <w:rsid w:val="00DB5E28"/>
    <w:rsid w:val="00DB62C1"/>
    <w:rsid w:val="00DC48B7"/>
    <w:rsid w:val="00DC61BD"/>
    <w:rsid w:val="00DD4977"/>
    <w:rsid w:val="00DD50FC"/>
    <w:rsid w:val="00DE023C"/>
    <w:rsid w:val="00DE4118"/>
    <w:rsid w:val="00DE6A16"/>
    <w:rsid w:val="00DE7AC1"/>
    <w:rsid w:val="00DF20DE"/>
    <w:rsid w:val="00DF2987"/>
    <w:rsid w:val="00DF2AAE"/>
    <w:rsid w:val="00E04C91"/>
    <w:rsid w:val="00E061DB"/>
    <w:rsid w:val="00E071AB"/>
    <w:rsid w:val="00E12F03"/>
    <w:rsid w:val="00E16E21"/>
    <w:rsid w:val="00E2142F"/>
    <w:rsid w:val="00E262C6"/>
    <w:rsid w:val="00E26633"/>
    <w:rsid w:val="00E267DF"/>
    <w:rsid w:val="00E33C3E"/>
    <w:rsid w:val="00E341AD"/>
    <w:rsid w:val="00E35E0F"/>
    <w:rsid w:val="00E40D0F"/>
    <w:rsid w:val="00E479B7"/>
    <w:rsid w:val="00E47B7B"/>
    <w:rsid w:val="00E527D3"/>
    <w:rsid w:val="00E56D55"/>
    <w:rsid w:val="00E60DB6"/>
    <w:rsid w:val="00E62FA7"/>
    <w:rsid w:val="00E654FD"/>
    <w:rsid w:val="00E6784B"/>
    <w:rsid w:val="00E80A16"/>
    <w:rsid w:val="00E80AD3"/>
    <w:rsid w:val="00E835E2"/>
    <w:rsid w:val="00E837A6"/>
    <w:rsid w:val="00E83C1A"/>
    <w:rsid w:val="00E860D8"/>
    <w:rsid w:val="00E92805"/>
    <w:rsid w:val="00EA076E"/>
    <w:rsid w:val="00EB27F5"/>
    <w:rsid w:val="00EB502C"/>
    <w:rsid w:val="00EB589F"/>
    <w:rsid w:val="00EC1AEE"/>
    <w:rsid w:val="00ED368C"/>
    <w:rsid w:val="00EE157C"/>
    <w:rsid w:val="00EE4549"/>
    <w:rsid w:val="00EE5389"/>
    <w:rsid w:val="00EE6A90"/>
    <w:rsid w:val="00EE6AA3"/>
    <w:rsid w:val="00EF025D"/>
    <w:rsid w:val="00EF1EA2"/>
    <w:rsid w:val="00EF1F2E"/>
    <w:rsid w:val="00EF2CBF"/>
    <w:rsid w:val="00EF4686"/>
    <w:rsid w:val="00EF4E96"/>
    <w:rsid w:val="00EF78D4"/>
    <w:rsid w:val="00F01130"/>
    <w:rsid w:val="00F04FB2"/>
    <w:rsid w:val="00F05A18"/>
    <w:rsid w:val="00F128D1"/>
    <w:rsid w:val="00F1317E"/>
    <w:rsid w:val="00F34496"/>
    <w:rsid w:val="00F35411"/>
    <w:rsid w:val="00F43F3B"/>
    <w:rsid w:val="00F5189F"/>
    <w:rsid w:val="00F53F5D"/>
    <w:rsid w:val="00F57E9E"/>
    <w:rsid w:val="00F63E34"/>
    <w:rsid w:val="00F63E5C"/>
    <w:rsid w:val="00F66BBE"/>
    <w:rsid w:val="00F67286"/>
    <w:rsid w:val="00F707DA"/>
    <w:rsid w:val="00F70D74"/>
    <w:rsid w:val="00F76F7F"/>
    <w:rsid w:val="00F80566"/>
    <w:rsid w:val="00F84CB7"/>
    <w:rsid w:val="00F854AB"/>
    <w:rsid w:val="00F9201D"/>
    <w:rsid w:val="00F93025"/>
    <w:rsid w:val="00FA1879"/>
    <w:rsid w:val="00FB06B4"/>
    <w:rsid w:val="00FC0230"/>
    <w:rsid w:val="00FE1A76"/>
    <w:rsid w:val="00FE5150"/>
    <w:rsid w:val="00FE59D4"/>
    <w:rsid w:val="00FF1C28"/>
    <w:rsid w:val="00FF6041"/>
    <w:rsid w:val="00FF63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1A44C"/>
  <w15:docId w15:val="{84ADC0E5-B12D-4B3E-8D80-7FC8CD4D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65D"/>
    <w:pPr>
      <w:spacing w:after="200" w:line="276"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65D"/>
    <w:pPr>
      <w:ind w:left="720"/>
      <w:contextualSpacing/>
    </w:pPr>
  </w:style>
  <w:style w:type="paragraph" w:styleId="Header">
    <w:name w:val="header"/>
    <w:basedOn w:val="Normal"/>
    <w:link w:val="HeaderChar"/>
    <w:uiPriority w:val="99"/>
    <w:unhideWhenUsed/>
    <w:rsid w:val="0070665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665D"/>
    <w:rPr>
      <w:rFonts w:eastAsiaTheme="minorEastAsia"/>
      <w:lang w:eastAsia="ja-JP"/>
    </w:rPr>
  </w:style>
  <w:style w:type="paragraph" w:styleId="Footer">
    <w:name w:val="footer"/>
    <w:basedOn w:val="Normal"/>
    <w:link w:val="FooterChar"/>
    <w:uiPriority w:val="99"/>
    <w:unhideWhenUsed/>
    <w:rsid w:val="0070665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665D"/>
    <w:rPr>
      <w:rFonts w:eastAsiaTheme="minorEastAsia"/>
      <w:lang w:eastAsia="ja-JP"/>
    </w:rPr>
  </w:style>
  <w:style w:type="paragraph" w:customStyle="1" w:styleId="naislab">
    <w:name w:val="naislab"/>
    <w:basedOn w:val="Normal"/>
    <w:rsid w:val="0070665D"/>
    <w:pPr>
      <w:spacing w:before="84" w:after="84" w:line="240" w:lineRule="auto"/>
      <w:jc w:val="right"/>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70665D"/>
    <w:rPr>
      <w:strike w:val="0"/>
      <w:dstrike w:val="0"/>
      <w:color w:val="40407C"/>
      <w:u w:val="none"/>
      <w:effect w:val="none"/>
    </w:rPr>
  </w:style>
  <w:style w:type="character" w:customStyle="1" w:styleId="apple-converted-space">
    <w:name w:val="apple-converted-space"/>
    <w:basedOn w:val="DefaultParagraphFont"/>
    <w:rsid w:val="0070665D"/>
  </w:style>
  <w:style w:type="paragraph" w:styleId="BalloonText">
    <w:name w:val="Balloon Text"/>
    <w:basedOn w:val="Normal"/>
    <w:link w:val="BalloonTextChar"/>
    <w:uiPriority w:val="99"/>
    <w:semiHidden/>
    <w:unhideWhenUsed/>
    <w:rsid w:val="00315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C8A"/>
    <w:rPr>
      <w:rFonts w:ascii="Segoe UI" w:eastAsiaTheme="minorEastAsia" w:hAnsi="Segoe UI" w:cs="Segoe UI"/>
      <w:sz w:val="18"/>
      <w:szCs w:val="18"/>
      <w:lang w:eastAsia="ja-JP"/>
    </w:rPr>
  </w:style>
  <w:style w:type="paragraph" w:styleId="Revision">
    <w:name w:val="Revision"/>
    <w:hidden/>
    <w:uiPriority w:val="99"/>
    <w:semiHidden/>
    <w:rsid w:val="00080691"/>
    <w:pPr>
      <w:spacing w:after="0" w:line="240" w:lineRule="auto"/>
    </w:pPr>
    <w:rPr>
      <w:rFonts w:eastAsiaTheme="minorEastAsia"/>
      <w:lang w:eastAsia="ja-JP"/>
    </w:rPr>
  </w:style>
  <w:style w:type="character" w:styleId="CommentReference">
    <w:name w:val="annotation reference"/>
    <w:basedOn w:val="DefaultParagraphFont"/>
    <w:uiPriority w:val="99"/>
    <w:semiHidden/>
    <w:unhideWhenUsed/>
    <w:rsid w:val="00B90537"/>
    <w:rPr>
      <w:sz w:val="16"/>
      <w:szCs w:val="16"/>
    </w:rPr>
  </w:style>
  <w:style w:type="paragraph" w:styleId="CommentText">
    <w:name w:val="annotation text"/>
    <w:basedOn w:val="Normal"/>
    <w:link w:val="CommentTextChar"/>
    <w:uiPriority w:val="99"/>
    <w:unhideWhenUsed/>
    <w:rsid w:val="00B90537"/>
    <w:pPr>
      <w:spacing w:line="240" w:lineRule="auto"/>
    </w:pPr>
    <w:rPr>
      <w:sz w:val="20"/>
      <w:szCs w:val="20"/>
    </w:rPr>
  </w:style>
  <w:style w:type="character" w:customStyle="1" w:styleId="CommentTextChar">
    <w:name w:val="Comment Text Char"/>
    <w:basedOn w:val="DefaultParagraphFont"/>
    <w:link w:val="CommentText"/>
    <w:uiPriority w:val="99"/>
    <w:rsid w:val="00B9053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90537"/>
    <w:rPr>
      <w:b/>
      <w:bCs/>
    </w:rPr>
  </w:style>
  <w:style w:type="character" w:customStyle="1" w:styleId="CommentSubjectChar">
    <w:name w:val="Comment Subject Char"/>
    <w:basedOn w:val="CommentTextChar"/>
    <w:link w:val="CommentSubject"/>
    <w:uiPriority w:val="99"/>
    <w:semiHidden/>
    <w:rsid w:val="00B90537"/>
    <w:rPr>
      <w:rFonts w:eastAsiaTheme="minorEastAsia"/>
      <w:b/>
      <w:bCs/>
      <w:sz w:val="20"/>
      <w:szCs w:val="20"/>
      <w:lang w:eastAsia="ja-JP"/>
    </w:rPr>
  </w:style>
  <w:style w:type="character" w:customStyle="1" w:styleId="Mention1">
    <w:name w:val="Mention1"/>
    <w:basedOn w:val="DefaultParagraphFont"/>
    <w:uiPriority w:val="99"/>
    <w:semiHidden/>
    <w:unhideWhenUsed/>
    <w:rsid w:val="00D060ED"/>
    <w:rPr>
      <w:color w:val="2B579A"/>
      <w:shd w:val="clear" w:color="auto" w:fill="E6E6E6"/>
    </w:rPr>
  </w:style>
  <w:style w:type="paragraph" w:customStyle="1" w:styleId="tv213">
    <w:name w:val="tv213"/>
    <w:basedOn w:val="Normal"/>
    <w:rsid w:val="00AB6E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DE02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023C"/>
    <w:rPr>
      <w:rFonts w:eastAsiaTheme="minorEastAsia"/>
      <w:sz w:val="20"/>
      <w:szCs w:val="20"/>
      <w:lang w:eastAsia="ja-JP"/>
    </w:rPr>
  </w:style>
  <w:style w:type="character" w:styleId="FootnoteReference">
    <w:name w:val="footnote reference"/>
    <w:basedOn w:val="DefaultParagraphFont"/>
    <w:uiPriority w:val="99"/>
    <w:semiHidden/>
    <w:unhideWhenUsed/>
    <w:rsid w:val="00DE023C"/>
    <w:rPr>
      <w:vertAlign w:val="superscript"/>
    </w:rPr>
  </w:style>
  <w:style w:type="character" w:customStyle="1" w:styleId="Mention2">
    <w:name w:val="Mention2"/>
    <w:basedOn w:val="DefaultParagraphFont"/>
    <w:uiPriority w:val="99"/>
    <w:semiHidden/>
    <w:unhideWhenUsed/>
    <w:rsid w:val="00095C5C"/>
    <w:rPr>
      <w:color w:val="2B579A"/>
      <w:shd w:val="clear" w:color="auto" w:fill="E6E6E6"/>
    </w:rPr>
  </w:style>
  <w:style w:type="paragraph" w:customStyle="1" w:styleId="Normal1">
    <w:name w:val="Normal1"/>
    <w:basedOn w:val="Normal"/>
    <w:rsid w:val="00684C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684C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684C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684CB6"/>
  </w:style>
  <w:style w:type="character" w:styleId="Strong">
    <w:name w:val="Strong"/>
    <w:basedOn w:val="DefaultParagraphFont"/>
    <w:uiPriority w:val="22"/>
    <w:qFormat/>
    <w:rsid w:val="008B6E92"/>
    <w:rPr>
      <w:b/>
      <w:bCs/>
    </w:rPr>
  </w:style>
  <w:style w:type="paragraph" w:customStyle="1" w:styleId="Body">
    <w:name w:val="Body"/>
    <w:rsid w:val="00AD29D1"/>
    <w:pPr>
      <w:spacing w:after="200" w:line="276" w:lineRule="auto"/>
    </w:pPr>
    <w:rPr>
      <w:rFonts w:ascii="Calibri" w:eastAsia="Arial Unicode MS" w:hAnsi="Calibri" w:cs="Arial Unicode MS"/>
      <w:color w:val="000000"/>
      <w:u w:color="000000"/>
      <w:lang w:eastAsia="lv-LV"/>
    </w:rPr>
  </w:style>
  <w:style w:type="paragraph" w:customStyle="1" w:styleId="tvhtml">
    <w:name w:val="tv_html"/>
    <w:basedOn w:val="Normal"/>
    <w:rsid w:val="00A932C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42482">
      <w:bodyDiv w:val="1"/>
      <w:marLeft w:val="0"/>
      <w:marRight w:val="0"/>
      <w:marTop w:val="0"/>
      <w:marBottom w:val="0"/>
      <w:divBdr>
        <w:top w:val="none" w:sz="0" w:space="0" w:color="auto"/>
        <w:left w:val="none" w:sz="0" w:space="0" w:color="auto"/>
        <w:bottom w:val="none" w:sz="0" w:space="0" w:color="auto"/>
        <w:right w:val="none" w:sz="0" w:space="0" w:color="auto"/>
      </w:divBdr>
    </w:div>
    <w:div w:id="117264043">
      <w:bodyDiv w:val="1"/>
      <w:marLeft w:val="0"/>
      <w:marRight w:val="0"/>
      <w:marTop w:val="0"/>
      <w:marBottom w:val="0"/>
      <w:divBdr>
        <w:top w:val="none" w:sz="0" w:space="0" w:color="auto"/>
        <w:left w:val="none" w:sz="0" w:space="0" w:color="auto"/>
        <w:bottom w:val="none" w:sz="0" w:space="0" w:color="auto"/>
        <w:right w:val="none" w:sz="0" w:space="0" w:color="auto"/>
      </w:divBdr>
    </w:div>
    <w:div w:id="130247507">
      <w:bodyDiv w:val="1"/>
      <w:marLeft w:val="0"/>
      <w:marRight w:val="0"/>
      <w:marTop w:val="0"/>
      <w:marBottom w:val="0"/>
      <w:divBdr>
        <w:top w:val="none" w:sz="0" w:space="0" w:color="auto"/>
        <w:left w:val="none" w:sz="0" w:space="0" w:color="auto"/>
        <w:bottom w:val="none" w:sz="0" w:space="0" w:color="auto"/>
        <w:right w:val="none" w:sz="0" w:space="0" w:color="auto"/>
      </w:divBdr>
      <w:divsChild>
        <w:div w:id="390691811">
          <w:marLeft w:val="150"/>
          <w:marRight w:val="150"/>
          <w:marTop w:val="480"/>
          <w:marBottom w:val="0"/>
          <w:divBdr>
            <w:top w:val="none" w:sz="0" w:space="0" w:color="auto"/>
            <w:left w:val="none" w:sz="0" w:space="0" w:color="auto"/>
            <w:bottom w:val="none" w:sz="0" w:space="0" w:color="auto"/>
            <w:right w:val="none" w:sz="0" w:space="0" w:color="auto"/>
          </w:divBdr>
        </w:div>
        <w:div w:id="1893955581">
          <w:marLeft w:val="0"/>
          <w:marRight w:val="0"/>
          <w:marTop w:val="240"/>
          <w:marBottom w:val="0"/>
          <w:divBdr>
            <w:top w:val="none" w:sz="0" w:space="0" w:color="auto"/>
            <w:left w:val="none" w:sz="0" w:space="0" w:color="auto"/>
            <w:bottom w:val="none" w:sz="0" w:space="0" w:color="auto"/>
            <w:right w:val="none" w:sz="0" w:space="0" w:color="auto"/>
          </w:divBdr>
        </w:div>
        <w:div w:id="1337228260">
          <w:marLeft w:val="0"/>
          <w:marRight w:val="0"/>
          <w:marTop w:val="240"/>
          <w:marBottom w:val="0"/>
          <w:divBdr>
            <w:top w:val="none" w:sz="0" w:space="0" w:color="auto"/>
            <w:left w:val="none" w:sz="0" w:space="0" w:color="auto"/>
            <w:bottom w:val="none" w:sz="0" w:space="0" w:color="auto"/>
            <w:right w:val="none" w:sz="0" w:space="0" w:color="auto"/>
          </w:divBdr>
        </w:div>
      </w:divsChild>
    </w:div>
    <w:div w:id="330451450">
      <w:bodyDiv w:val="1"/>
      <w:marLeft w:val="0"/>
      <w:marRight w:val="0"/>
      <w:marTop w:val="0"/>
      <w:marBottom w:val="0"/>
      <w:divBdr>
        <w:top w:val="none" w:sz="0" w:space="0" w:color="auto"/>
        <w:left w:val="none" w:sz="0" w:space="0" w:color="auto"/>
        <w:bottom w:val="none" w:sz="0" w:space="0" w:color="auto"/>
        <w:right w:val="none" w:sz="0" w:space="0" w:color="auto"/>
      </w:divBdr>
    </w:div>
    <w:div w:id="482548965">
      <w:bodyDiv w:val="1"/>
      <w:marLeft w:val="0"/>
      <w:marRight w:val="0"/>
      <w:marTop w:val="0"/>
      <w:marBottom w:val="0"/>
      <w:divBdr>
        <w:top w:val="none" w:sz="0" w:space="0" w:color="auto"/>
        <w:left w:val="none" w:sz="0" w:space="0" w:color="auto"/>
        <w:bottom w:val="none" w:sz="0" w:space="0" w:color="auto"/>
        <w:right w:val="none" w:sz="0" w:space="0" w:color="auto"/>
      </w:divBdr>
    </w:div>
    <w:div w:id="519658519">
      <w:bodyDiv w:val="1"/>
      <w:marLeft w:val="0"/>
      <w:marRight w:val="0"/>
      <w:marTop w:val="0"/>
      <w:marBottom w:val="0"/>
      <w:divBdr>
        <w:top w:val="none" w:sz="0" w:space="0" w:color="auto"/>
        <w:left w:val="none" w:sz="0" w:space="0" w:color="auto"/>
        <w:bottom w:val="none" w:sz="0" w:space="0" w:color="auto"/>
        <w:right w:val="none" w:sz="0" w:space="0" w:color="auto"/>
      </w:divBdr>
    </w:div>
    <w:div w:id="539830196">
      <w:bodyDiv w:val="1"/>
      <w:marLeft w:val="0"/>
      <w:marRight w:val="0"/>
      <w:marTop w:val="0"/>
      <w:marBottom w:val="0"/>
      <w:divBdr>
        <w:top w:val="none" w:sz="0" w:space="0" w:color="auto"/>
        <w:left w:val="none" w:sz="0" w:space="0" w:color="auto"/>
        <w:bottom w:val="none" w:sz="0" w:space="0" w:color="auto"/>
        <w:right w:val="none" w:sz="0" w:space="0" w:color="auto"/>
      </w:divBdr>
    </w:div>
    <w:div w:id="542984893">
      <w:bodyDiv w:val="1"/>
      <w:marLeft w:val="0"/>
      <w:marRight w:val="0"/>
      <w:marTop w:val="0"/>
      <w:marBottom w:val="0"/>
      <w:divBdr>
        <w:top w:val="none" w:sz="0" w:space="0" w:color="auto"/>
        <w:left w:val="none" w:sz="0" w:space="0" w:color="auto"/>
        <w:bottom w:val="none" w:sz="0" w:space="0" w:color="auto"/>
        <w:right w:val="none" w:sz="0" w:space="0" w:color="auto"/>
      </w:divBdr>
    </w:div>
    <w:div w:id="766845338">
      <w:bodyDiv w:val="1"/>
      <w:marLeft w:val="0"/>
      <w:marRight w:val="0"/>
      <w:marTop w:val="0"/>
      <w:marBottom w:val="0"/>
      <w:divBdr>
        <w:top w:val="none" w:sz="0" w:space="0" w:color="auto"/>
        <w:left w:val="none" w:sz="0" w:space="0" w:color="auto"/>
        <w:bottom w:val="none" w:sz="0" w:space="0" w:color="auto"/>
        <w:right w:val="none" w:sz="0" w:space="0" w:color="auto"/>
      </w:divBdr>
    </w:div>
    <w:div w:id="834732320">
      <w:bodyDiv w:val="1"/>
      <w:marLeft w:val="0"/>
      <w:marRight w:val="0"/>
      <w:marTop w:val="0"/>
      <w:marBottom w:val="0"/>
      <w:divBdr>
        <w:top w:val="none" w:sz="0" w:space="0" w:color="auto"/>
        <w:left w:val="none" w:sz="0" w:space="0" w:color="auto"/>
        <w:bottom w:val="none" w:sz="0" w:space="0" w:color="auto"/>
        <w:right w:val="none" w:sz="0" w:space="0" w:color="auto"/>
      </w:divBdr>
      <w:divsChild>
        <w:div w:id="1153453740">
          <w:marLeft w:val="0"/>
          <w:marRight w:val="0"/>
          <w:marTop w:val="0"/>
          <w:marBottom w:val="0"/>
          <w:divBdr>
            <w:top w:val="none" w:sz="0" w:space="0" w:color="auto"/>
            <w:left w:val="none" w:sz="0" w:space="0" w:color="auto"/>
            <w:bottom w:val="none" w:sz="0" w:space="0" w:color="auto"/>
            <w:right w:val="none" w:sz="0" w:space="0" w:color="auto"/>
          </w:divBdr>
        </w:div>
      </w:divsChild>
    </w:div>
    <w:div w:id="1070083776">
      <w:bodyDiv w:val="1"/>
      <w:marLeft w:val="0"/>
      <w:marRight w:val="0"/>
      <w:marTop w:val="0"/>
      <w:marBottom w:val="0"/>
      <w:divBdr>
        <w:top w:val="none" w:sz="0" w:space="0" w:color="auto"/>
        <w:left w:val="none" w:sz="0" w:space="0" w:color="auto"/>
        <w:bottom w:val="none" w:sz="0" w:space="0" w:color="auto"/>
        <w:right w:val="none" w:sz="0" w:space="0" w:color="auto"/>
      </w:divBdr>
    </w:div>
    <w:div w:id="1174028614">
      <w:bodyDiv w:val="1"/>
      <w:marLeft w:val="0"/>
      <w:marRight w:val="0"/>
      <w:marTop w:val="0"/>
      <w:marBottom w:val="0"/>
      <w:divBdr>
        <w:top w:val="none" w:sz="0" w:space="0" w:color="auto"/>
        <w:left w:val="none" w:sz="0" w:space="0" w:color="auto"/>
        <w:bottom w:val="none" w:sz="0" w:space="0" w:color="auto"/>
        <w:right w:val="none" w:sz="0" w:space="0" w:color="auto"/>
      </w:divBdr>
      <w:divsChild>
        <w:div w:id="28074825">
          <w:marLeft w:val="150"/>
          <w:marRight w:val="150"/>
          <w:marTop w:val="480"/>
          <w:marBottom w:val="0"/>
          <w:divBdr>
            <w:top w:val="none" w:sz="0" w:space="0" w:color="auto"/>
            <w:left w:val="none" w:sz="0" w:space="0" w:color="auto"/>
            <w:bottom w:val="none" w:sz="0" w:space="0" w:color="auto"/>
            <w:right w:val="none" w:sz="0" w:space="0" w:color="auto"/>
          </w:divBdr>
        </w:div>
        <w:div w:id="343216602">
          <w:marLeft w:val="0"/>
          <w:marRight w:val="0"/>
          <w:marTop w:val="240"/>
          <w:marBottom w:val="0"/>
          <w:divBdr>
            <w:top w:val="none" w:sz="0" w:space="0" w:color="auto"/>
            <w:left w:val="none" w:sz="0" w:space="0" w:color="auto"/>
            <w:bottom w:val="none" w:sz="0" w:space="0" w:color="auto"/>
            <w:right w:val="none" w:sz="0" w:space="0" w:color="auto"/>
          </w:divBdr>
        </w:div>
        <w:div w:id="1972055111">
          <w:marLeft w:val="0"/>
          <w:marRight w:val="0"/>
          <w:marTop w:val="240"/>
          <w:marBottom w:val="0"/>
          <w:divBdr>
            <w:top w:val="none" w:sz="0" w:space="0" w:color="auto"/>
            <w:left w:val="none" w:sz="0" w:space="0" w:color="auto"/>
            <w:bottom w:val="none" w:sz="0" w:space="0" w:color="auto"/>
            <w:right w:val="none" w:sz="0" w:space="0" w:color="auto"/>
          </w:divBdr>
        </w:div>
      </w:divsChild>
    </w:div>
    <w:div w:id="1286280277">
      <w:bodyDiv w:val="1"/>
      <w:marLeft w:val="0"/>
      <w:marRight w:val="0"/>
      <w:marTop w:val="0"/>
      <w:marBottom w:val="0"/>
      <w:divBdr>
        <w:top w:val="none" w:sz="0" w:space="0" w:color="auto"/>
        <w:left w:val="none" w:sz="0" w:space="0" w:color="auto"/>
        <w:bottom w:val="none" w:sz="0" w:space="0" w:color="auto"/>
        <w:right w:val="none" w:sz="0" w:space="0" w:color="auto"/>
      </w:divBdr>
    </w:div>
    <w:div w:id="1360937715">
      <w:bodyDiv w:val="1"/>
      <w:marLeft w:val="0"/>
      <w:marRight w:val="0"/>
      <w:marTop w:val="0"/>
      <w:marBottom w:val="0"/>
      <w:divBdr>
        <w:top w:val="none" w:sz="0" w:space="0" w:color="auto"/>
        <w:left w:val="none" w:sz="0" w:space="0" w:color="auto"/>
        <w:bottom w:val="none" w:sz="0" w:space="0" w:color="auto"/>
        <w:right w:val="none" w:sz="0" w:space="0" w:color="auto"/>
      </w:divBdr>
    </w:div>
    <w:div w:id="1527981748">
      <w:bodyDiv w:val="1"/>
      <w:marLeft w:val="0"/>
      <w:marRight w:val="0"/>
      <w:marTop w:val="0"/>
      <w:marBottom w:val="0"/>
      <w:divBdr>
        <w:top w:val="none" w:sz="0" w:space="0" w:color="auto"/>
        <w:left w:val="none" w:sz="0" w:space="0" w:color="auto"/>
        <w:bottom w:val="none" w:sz="0" w:space="0" w:color="auto"/>
        <w:right w:val="none" w:sz="0" w:space="0" w:color="auto"/>
      </w:divBdr>
    </w:div>
    <w:div w:id="1542590350">
      <w:bodyDiv w:val="1"/>
      <w:marLeft w:val="0"/>
      <w:marRight w:val="0"/>
      <w:marTop w:val="0"/>
      <w:marBottom w:val="0"/>
      <w:divBdr>
        <w:top w:val="none" w:sz="0" w:space="0" w:color="auto"/>
        <w:left w:val="none" w:sz="0" w:space="0" w:color="auto"/>
        <w:bottom w:val="none" w:sz="0" w:space="0" w:color="auto"/>
        <w:right w:val="none" w:sz="0" w:space="0" w:color="auto"/>
      </w:divBdr>
    </w:div>
    <w:div w:id="1709917592">
      <w:bodyDiv w:val="1"/>
      <w:marLeft w:val="0"/>
      <w:marRight w:val="0"/>
      <w:marTop w:val="0"/>
      <w:marBottom w:val="0"/>
      <w:divBdr>
        <w:top w:val="none" w:sz="0" w:space="0" w:color="auto"/>
        <w:left w:val="none" w:sz="0" w:space="0" w:color="auto"/>
        <w:bottom w:val="none" w:sz="0" w:space="0" w:color="auto"/>
        <w:right w:val="none" w:sz="0" w:space="0" w:color="auto"/>
      </w:divBdr>
    </w:div>
    <w:div w:id="1786727658">
      <w:bodyDiv w:val="1"/>
      <w:marLeft w:val="0"/>
      <w:marRight w:val="0"/>
      <w:marTop w:val="0"/>
      <w:marBottom w:val="0"/>
      <w:divBdr>
        <w:top w:val="none" w:sz="0" w:space="0" w:color="auto"/>
        <w:left w:val="none" w:sz="0" w:space="0" w:color="auto"/>
        <w:bottom w:val="none" w:sz="0" w:space="0" w:color="auto"/>
        <w:right w:val="none" w:sz="0" w:space="0" w:color="auto"/>
      </w:divBdr>
      <w:divsChild>
        <w:div w:id="2027436479">
          <w:marLeft w:val="0"/>
          <w:marRight w:val="0"/>
          <w:marTop w:val="0"/>
          <w:marBottom w:val="0"/>
          <w:divBdr>
            <w:top w:val="none" w:sz="0" w:space="0" w:color="auto"/>
            <w:left w:val="none" w:sz="0" w:space="0" w:color="auto"/>
            <w:bottom w:val="none" w:sz="0" w:space="0" w:color="auto"/>
            <w:right w:val="none" w:sz="0" w:space="0" w:color="auto"/>
          </w:divBdr>
          <w:divsChild>
            <w:div w:id="1481271199">
              <w:marLeft w:val="0"/>
              <w:marRight w:val="0"/>
              <w:marTop w:val="0"/>
              <w:marBottom w:val="0"/>
              <w:divBdr>
                <w:top w:val="none" w:sz="0" w:space="0" w:color="auto"/>
                <w:left w:val="none" w:sz="0" w:space="0" w:color="auto"/>
                <w:bottom w:val="none" w:sz="0" w:space="0" w:color="auto"/>
                <w:right w:val="none" w:sz="0" w:space="0" w:color="auto"/>
              </w:divBdr>
              <w:divsChild>
                <w:div w:id="894270168">
                  <w:marLeft w:val="0"/>
                  <w:marRight w:val="0"/>
                  <w:marTop w:val="0"/>
                  <w:marBottom w:val="0"/>
                  <w:divBdr>
                    <w:top w:val="none" w:sz="0" w:space="0" w:color="auto"/>
                    <w:left w:val="none" w:sz="0" w:space="0" w:color="auto"/>
                    <w:bottom w:val="none" w:sz="0" w:space="0" w:color="auto"/>
                    <w:right w:val="none" w:sz="0" w:space="0" w:color="auto"/>
                  </w:divBdr>
                  <w:divsChild>
                    <w:div w:id="1861502825">
                      <w:marLeft w:val="0"/>
                      <w:marRight w:val="0"/>
                      <w:marTop w:val="0"/>
                      <w:marBottom w:val="0"/>
                      <w:divBdr>
                        <w:top w:val="none" w:sz="0" w:space="0" w:color="auto"/>
                        <w:left w:val="none" w:sz="0" w:space="0" w:color="auto"/>
                        <w:bottom w:val="none" w:sz="0" w:space="0" w:color="auto"/>
                        <w:right w:val="none" w:sz="0" w:space="0" w:color="auto"/>
                      </w:divBdr>
                      <w:divsChild>
                        <w:div w:id="581722093">
                          <w:marLeft w:val="0"/>
                          <w:marRight w:val="0"/>
                          <w:marTop w:val="0"/>
                          <w:marBottom w:val="0"/>
                          <w:divBdr>
                            <w:top w:val="none" w:sz="0" w:space="0" w:color="auto"/>
                            <w:left w:val="none" w:sz="0" w:space="0" w:color="auto"/>
                            <w:bottom w:val="none" w:sz="0" w:space="0" w:color="auto"/>
                            <w:right w:val="none" w:sz="0" w:space="0" w:color="auto"/>
                          </w:divBdr>
                          <w:divsChild>
                            <w:div w:id="136564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52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0323-attistibas-finansu-institucijas-likum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313371-noteikumi-par-garantijam-saimnieciskas-darbibas-veicejiem-kuru-darbibu-ietekmejusi-covid-19-izplatiba" TargetMode="External"/><Relationship Id="rId4" Type="http://schemas.openxmlformats.org/officeDocument/2006/relationships/settings" Target="settings.xml"/><Relationship Id="rId9" Type="http://schemas.openxmlformats.org/officeDocument/2006/relationships/hyperlink" Target="https://likumi.lv/ta/id/270323-attistibas-finansu-institucijas-likum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5043F-F5CB-4891-B5EB-2D9401B40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4640</Words>
  <Characters>2646</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“Grozījumi Ministru kabineta 2016.gada 31.maija noteikumos Nr.328 „Noteikumi par mikroaizdevumiem un starta aizdevumiem””</vt:lpstr>
      <vt:lpstr>Ministru kabineta noteikumu projekts “Grozījumi Ministru kabineta 2016.gada 31.maija noteikumos Nr.328 „Noteikumi par mikroaizdevumiem un starta aizdevumiem””</vt:lpstr>
    </vt:vector>
  </TitlesOfParts>
  <Company>LHZB</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2016.gada 31.maija noteikumos Nr.328 „Noteikumi par mikroaizdevumiem un starta aizdevumiem””</dc:title>
  <dc:subject/>
  <dc:creator>Signe Tuklere</dc:creator>
  <cp:keywords/>
  <dc:description/>
  <cp:lastModifiedBy>Karīna Kampāne</cp:lastModifiedBy>
  <cp:revision>4</cp:revision>
  <cp:lastPrinted>2018-10-24T12:19:00Z</cp:lastPrinted>
  <dcterms:created xsi:type="dcterms:W3CDTF">2021-09-15T12:34:00Z</dcterms:created>
  <dcterms:modified xsi:type="dcterms:W3CDTF">2021-09-17T09:50:00Z</dcterms:modified>
</cp:coreProperties>
</file>