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26-TA-2115: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(02.07.2026.)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01.09.2026. 10:08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2026. gada 27. jūnija ārkārtas sēdes protokola Nr. 34 8. § "Noteikumu projekts "Grozījumi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6. punktā lemtais attiecībā uz turpmāko atlikumu no 4.2.1.7. pasākuma "Pirmsskolas izglītības iestāžu infrastruktūras attīstība" (turpmāk – 4.2.1.7.pasākums) novirzīšanu uzņēmējdarbības atbalstam 5.1.1.1.pasākumam “Infrastruktūra uzņēmējdarbības atbalstam” (turpmāk – 5.1.1.1.pasākums), neatceļ nosacījumu, ka šādas finansējuma pārdales būtu virzāmas izskatīšanai nākamajā Eiropas Savienības fondu tematiskās komitejas sēdē (turpmāk – komiteja), atbilstoši komitejas 2026. gada 6. augusta sēdē pielemtajam – ministrijām sniegt papildu informāciju un argumentus par pārdalēm Eiropas Savienības Kohēzijas politikas programmā 2021. – 2017. gadam, un priekšlikumus vērtēt nākamajā komitejas sēdē. Attiecīgi ar konkrēto finansējuma pārdales priekšlikumu saistīto noteikumu projektu virzība apstiprināšanai Ministru kabinetā ir atbalstāma tikai pēc tam, kad par to ir saņemts politisks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izstrādāts pamatojoties uz Ministru kabineta 2026. gada 27. jūnija ārkārtas sēdes protokola Nr. 34 8. § </w:t>
            </w:r>
            <w:r w:rsidR="00000000" w:rsidRPr="00000000" w:rsidDel="00000000">
              <w:rPr>
                <w:rtl w:val="0"/>
              </w:rPr>
              <w:t xml:space="preserve">"Noteikumu projekts "Grozījumi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w:t>
            </w:r>
            <w:r w:rsidR="00000000" w:rsidRPr="00000000" w:rsidDel="00000000">
              <w:rPr>
                <w:b w:val="1"/>
                <w:rtl w:val="0"/>
              </w:rPr>
              <w:t xml:space="preserve">6. punktu, kas uzdod Viedās administrācijas un reģionālās attīstības ministrijai sagatavot un viedās administrācijas un reģionālās attīstības ministram noteiktā kārtībā iesniegt izskatīšanai Ministru kabinetā grozījumus Ministru kabineta 2024. gada 16. janvāra noteikumos Nr. 55 </w:t>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(turpmāk – MK noteikumi Nr. 55),</w:t>
            </w:r>
            <w:r w:rsidR="00000000" w:rsidRPr="00000000" w:rsidDel="00000000">
              <w:rPr>
                <w:b w:val="1"/>
                <w:rtl w:val="0"/>
              </w:rPr>
              <w:t xml:space="preserve"> novirzot uz 5.1.1.1. pasākuma </w:t>
            </w:r>
            <w:r w:rsidR="00000000" w:rsidRPr="00000000" w:rsidDel="00000000">
              <w:rPr>
                <w:rtl w:val="0"/>
              </w:rPr>
              <w:t xml:space="preserve">“Infrastruktūra uzņēmējdarbības atbalstam” (turpmāk – 5.1.1.1. pasākums) </w:t>
            </w:r>
            <w:r w:rsidR="00000000" w:rsidRPr="00000000" w:rsidDel="00000000">
              <w:rPr>
                <w:b w:val="1"/>
                <w:rtl w:val="0"/>
              </w:rPr>
              <w:t xml:space="preserve">trešo atlases kārtu</w:t>
            </w:r>
            <w:r w:rsidR="00000000" w:rsidRPr="00000000" w:rsidDel="00000000">
              <w:rPr>
                <w:rtl w:val="0"/>
              </w:rPr>
              <w:t xml:space="preserve">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w:t>
            </w:r>
            <w:r w:rsidR="00000000" w:rsidRPr="00000000" w:rsidDel="00000000">
              <w:rPr>
                <w:b w:val="1"/>
                <w:rtl w:val="0"/>
              </w:rPr>
              <w:t xml:space="preserve">4.2.1.7. pasākuma</w:t>
            </w:r>
            <w:r w:rsidR="00000000" w:rsidRPr="00000000" w:rsidDel="00000000">
              <w:rPr>
                <w:rtl w:val="0"/>
              </w:rPr>
              <w:t xml:space="preserve"> “Pirmsskolas izglītības iestāžu infrastruktūras attīstība” un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w:t>
            </w:r>
            <w:r w:rsidR="00000000" w:rsidRPr="00000000" w:rsidDel="00000000">
              <w:rPr>
                <w:b w:val="1"/>
                <w:rtl w:val="0"/>
              </w:rPr>
              <w:t xml:space="preserve">projektu īstenošanas rezultātā atbrīvojušos Eiropas Reģionālās attīstības fonda finansējumu, ja tāds rodas</w:t>
            </w:r>
            <w:r w:rsidR="00000000" w:rsidRPr="00000000" w:rsidDel="00000000">
              <w:rPr>
                <w:rtl w:val="0"/>
              </w:rPr>
              <w:t xml:space="preserve">, un vienlaikus iesniegt Finanšu ministrijai arī attiecīgus priekšlikumus grozījumiem Eiropas Savienības kohēzijas politikas programmā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virzībā ir būtiski ņemt vērā, ka izmaiņas pastarpināti veicinās ieguldījumu straujāku ienākšanu tautsaimniecībā un n+3 principa izpildi kopumā, jo finansējums paredzēts projektiem ar augstu gatavību.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2025. gada 16. decembrī Eiropas Komisija ir pieņēmusi jaunu komercdarbības atbalsta regulējumu -  Komisijas lēmumu Nr.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jaunais VTNP lēmums), kas stājās spēkā 2026. gada 8. janvārī, lūdzam izvērtēt grozījumu veikšanas nepieciešamību šajos noteikumos attiecībā uz piemērojamiem nosacījumiem pakalpojumiem ar vispārēju tautsaimniecisku nozīmi un rīcību, gadījumos, ja sabiedrisko pakalpojumu sniedzējam noslēgts pilnvarojuma akts ar jauno VTNP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priekšlikumā norādīto, ir izvērtēta iespēja precizēt MK noteikumus Nr. 55 attiecībā uz piemērojamiem nosacījumiem pakalpojumiem ar vispārēju tautsaimniecisku nozīmi.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plānotā finansējuma pārdale uz 5.1.1.1. pasākumu, neparedz jaunu projektu iesniegumu iesniegšanu. Finansējumu ir plānots novirzīt jau iesniegtajiem augstas gatavības projektiem, kuri netika atbalstīti nepietiekama finansējuma dēļ. Projektu atlase noslēdzās 2026. gada 15. maijā un lēmumu pieņemšana par projektu apstiprināšanu netiek plānota pēc 2028. gada 7.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2026. gada 7. marta vēstulē Nr. 7-4/18/1832 “Par Komisijas lēmuma Nr.2025/2630 piemērošanu – skaidrojums atbalsta sniedzējiem” norādītajam, ja esošā atbalsta programmā un arī pilnvarojuma aktā ir ietverta atsauce uz Komisijas lēmumu Nr.2012/21/ES, esošās atbalsta programmas ietvaros komercdarbības atbalstu var piešķirt saskaņā ar Komisijas lēmumu Nr.2012/21/ES vēl turpmākos divus gadus. Kā arī, ja esošā atbalsta programmā ir ietverta atsauce uz Komisijas lēmumu Nr.2012/21/ES, bet pilnvarojuma akts ir izdots saskaņā ar Komisijas lēmumu Nr.2025/2630, atbalsta programmas ietvaros komercdarbības atbalstu līdz pārejas perioda beigām, tas ir, līdz 2028.gada 7.janvārim, var piešķirt saskaņā ar Komisijas lēmumu Nr.2012/21/ES, ievērojot Komisijas lēmuma Nr.2012/21/ES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Vēstulē norādīts, ka anotācijas papildināšana ar skaidrojumu nav obligāts nosacījumus, bet tā būtu vēlama. Tā kā noteikumu projekts neparedz grozījumus nosacījumos attiecībā uz pakalpojumiem ar vispārēju tautsaimniecisku nozīmi, tad, ievērojot juridiskās tehnikas principus, anotācijā skaidrojums netiek iekļauts, tomēr, lai mazinātu riskus, ka netiek ievēroti pārejas perioda termiņi, projektu iesniegumu atlases nolikumam pievienotajā kritēriju piemērošanas metodikā ir norādīta informācija, ka piešķirot atbalstu, jāņem vērā Komisijas Lēmumā Nr. 2025/2630 ietvertais.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“Pašreizējā situācija, problēmas un risinājumi”, sniedzot informāciju par izmaiņām Eiropas Savienības kohēzijas politikas programmas 2021.–2027. gadam  4.2.1.7. pasākuma  īstenošanas noteikumi programmas iznākuma un rezultāta rādītājos.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"Tiesību akta projekta ietekmējamās sabiedrības grupas, ietekme uz tautsaimniecības attīstību un administratīvo slogu" ar noteikumu projekta ietekmi uz tautsaimniecību. Aicinām norādīt pēc iespējas izmērāmus rādītājus, kā arī novērtējot konkrētus aspektus par plānoto ieguldījumu sagaidāmo ietekmi un efektivitāti, t.sk. faktiski sagaidāmos rezultātus/uzlabojumus.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plānā noteiktajiem mērķiem,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ir par 5.1.1.1. pasākuma īstenošanu, kuram tiek palielināts īstenošanai pieejamais finansējums, lūdzam aizpildīt arī anotācijas 3.sadaļas “Tiesību akta projekta ietekme uz valsts budžetu un pašvaldību budžetiem” 1.-5.punktus, ailēs “saskaņā ar valsts budžetu kārtējam gadam” un “saskaņā ar vidēja termiņa budžeta ietvaru”, norādot šobrīd budžetā plānoto finansējumu pasākuma īstenošanai, un ailēs “izmaiņas kārtējā gadā, salīdzinot ar valsts budžetu kārtējam gadam” un “izmaiņas, salīdzinot ar vidēja termiņa budžeta ietvaru”, norādot izmaiņas no pasākumam palielinātā finansējuma, attiecīgi punktā “Cita informācija” saglabājot norādīto, ka finansējuma palielinājums veidojas no pārdales no cita pasākuma, kā arī pārskatīt un precizēt otrajā rindkopā norādīto informāciju par ietekmi uz pašvaldību budžetu, precizējot kāda tieši ietekme veidojas, ievērojot, ka arī 5.1.1.1. pasākumā, uz kuru tiek veikta finansējuma pārdale, nacionālais līdzfinansējums daļēji ir pašvaldību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finansējuma pārdale tiek veikta no 4.2.1.7. pasākuma uz 5.1.1.1. pasākumu, kuros nacionālais līdzfinansējums ir plānots kā pašvaldību finansējums. Gan 4.2.1.7. pasākumā, gan 5.1.1.1. pasākumā finansējuma saņēmējas ir pašvaldības. Noteikumu projektam nav ietekme uz valsts budžetu. Kā arī šī ir esoša finansējuma pārdale, kuras rezultātā netiek piesaistīts jauns papildu finansējums, kas paaugstinātu abos pasākumos kopumā pieejamo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pārdalāmo finansējumu no 4.2.1.7. pasākuma projektiem, aicinām papildināt anotācijas 4.sadaļu “Tiesību akta projekta ietekme uz spēkā esošo tiesību normu sistēmu’ ar skaidrojumu, norādot, vai noslēgtajos līgumos un vienošanās par projektu īstenošanu paredzēts veikt grozījumus, kā arī sniegt informāciju, vai pārtraukto projektu ietvaros neizriet saistības attiecībā uz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4.2.1.7. pasākumā atbrīvotā ERAF finansējuma pārdali un neietekmē pārējo projektu īstenošanas nosacījumus, tādēļ grozījumi spēkā esošajās vienošanās par projektu īstenošanu nav nepieciešami. Pārtraucot vienošanos par konkrēta projekta īstenošanu, pušu savstarpējo saistību izpilde un finanšu norēķini tiek nodrošināti attiecīgajā vienošanās noteiktajā kārtībā. Ja finansējuma saņēmējam ir izmaksāts avanss, tā atmaksājamā daļa tiek noteikta un atgūta atbilstoši vienošanās nosacījumiem. Pārdalīts tiek tikai tāds ERAF finansējums, kas pēc visu saistību un finanšu norēķinu izpildes ir faktiski atbrīvots.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Centrālajai finanšu un līgumu aģentūrai, pirms pozitīva Eiropas Komisijas lēmuma saņemšanas par grozījumiem Eiropas Savienības kohēzijas politikas programmā 2021.–2027. gadam, veikt 5.1.1. specifiskā atbalsta mērķa "Vietējās teritorijas integrētās sociālās, ekonomiskās un vides attīstības un kultūras mantojuma, tūrisma un drošības veicināšana pilsētu funkcionālajās teritorijās" 5.1.1.1. pasākuma "Infrastruktūra uzņēmējdarbības atbalstam" (turpmāk – 5.1.1.1. pasākums "Infrastruktūra uzņēmējdarbības atbalstam") trešās atlases kārtas ietvaros iesniegto projektu iesniegumu vērtēšanu un apstiprināšanu par papildus piešķirto Eiropas Reģionālās attīstības fonda finansējumu 5 003 360 </w:t>
            </w:r>
            <w:r w:rsidR="00000000" w:rsidRPr="00000000" w:rsidDel="00000000">
              <w:rPr>
                <w:i w:val="1"/>
                <w:rtl w:val="0"/>
              </w:rPr>
              <w:t xml:space="preserve">euro</w:t>
            </w:r>
            <w:r w:rsidR="00000000" w:rsidRPr="00000000" w:rsidDel="00000000">
              <w:rPr>
                <w:rtl w:val="0"/>
              </w:rPr>
              <w:t xml:space="preserve">, un pēc pozitīva Eiropas Komisijas lēmuma saņemšanas par grozījumiem Eiropas Savienības kohēzijas politikas programmā 2021.–2027. gadam, slēgt ar finansējuma saņēmējiem vienošanās vai līgumus par projektu īstenošanu.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projekta 3. punktā tiek paredzēts atļaut Centrālajai finanšu un līgumu aģentūrai veikt 5.1.1. specifiskā atbalsta mērķa 5.1.1.1. pasākuma trešās atlases kārtas ietvaros iesniegto projektu iesniegumu vērtēšanu un apstiprināšanu par papildus piešķirto Eiropas Reģionālās attīstības fonda finansējumu pirms tiek saņemts pozitīvs Eiropas Komisijas lēmums par grozījumiem Eiropas Savienības kohēzijas politikas programmā 2021.–2027. gadam, tomēr tajā netiek paredzēta rīcība gadījumam, ja Eiropas Komisijas lēmums nav pozitīvs.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projekta 3. punktu un noteikt rīcību iespējamai situācijai, ja Eiropas Komisija iebilst grozījumu veikšanai Eiropas Savienības kohēzijas politikas programmā 2021.–2027. gadam, kā arī aicinām anotācijā skaidrot šādas situācijas iespējamos finansiālo un citu saistību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ierosināto Eiropas Savienības kohēzijas politikas programmas 2021.–2027. gadam grozījumu (turpmāk – Programmas grozījumi) saskaņošana ar Eiropas Komisiju notiks paralēli projektu iesniegumu vērtēšanas procesam.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projekta </w:t>
            </w:r>
            <w:r w:rsidR="00000000" w:rsidRPr="00000000" w:rsidDel="00000000">
              <w:rPr>
                <w:b w:val="1"/>
                <w:rtl w:val="0"/>
              </w:rPr>
              <w:t xml:space="preserve">3. punkts paredz iespēju Centrālajai finanšu un līgumu aģentūrai veikt projektu iesniegumu vērtēšanu un pieņemt lēmumus</w:t>
            </w:r>
            <w:r w:rsidR="00000000" w:rsidRPr="00000000" w:rsidDel="00000000">
              <w:rPr>
                <w:rtl w:val="0"/>
              </w:rPr>
              <w:t xml:space="preserve"> par projektu iesniegumu apstiprināšanu par papildus plānoto finansējumu, </w:t>
            </w:r>
            <w:r w:rsidR="00000000" w:rsidRPr="00000000" w:rsidDel="00000000">
              <w:rPr>
                <w:b w:val="1"/>
                <w:rtl w:val="0"/>
              </w:rPr>
              <w:t xml:space="preserve">taču vienošanās par projektu īstenošanu par šo finansējumu tiks slēgtas tikai pēc pozitīva Eiropas Komisijas lēmuma par Programmas grozījumiem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w:t>
            </w:r>
            <w:r w:rsidR="00000000" w:rsidRPr="00000000" w:rsidDel="00000000">
              <w:rPr>
                <w:b w:val="1"/>
                <w:rtl w:val="0"/>
              </w:rPr>
              <w:t xml:space="preserve"> ja Eiropas Komisija neatbalstīs ierosinātos Programmas grozījumus un finansējuma pārdali, vienošanās par projektu īstenošanu par papildus plānoto finansējumu netiks slēgtas. </w:t>
            </w:r>
            <w:r w:rsidR="00000000" w:rsidRPr="00000000" w:rsidDel="00000000">
              <w:rPr>
                <w:rtl w:val="0"/>
              </w:rPr>
              <w:t xml:space="preserve">Līdz ar to papildu finansiālās saistības valsts budžetam šādā situācijā netiks uzņemtas.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izdoto CFLA lēmumu par projekta iesnieguma apstiprināšanu ar nosacījumu, potenciālais finansējuma saņēmējs tiks informēts, ka vienošanās par projekta īstenošanu ar to tiks slēgta tikai gadījumā, ja  Eiropas Komisija atbalstīs ierosinātos Programmas grozījumus un finansējuma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MK sēdes protokollēmuma projekta un anotācijas papildināšana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Finanšu ministriju iespējami operatīvi virzīt Programmas grozījumus Nr. 6 saskaņošanai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Centrālajai finanšu un līgumu aģentūrai, pirms pozitīva Eiropas Komisijas lēmuma saņemšanas par grozījumiem Eiropas Savienības kohēzijas politikas programmā 2021.–2027. gadam, veikt 5.1.1. specifiskā atbalsta mērķa "Vietējās teritorijas integrētās sociālās, ekonomiskās un vides attīstības un kultūras mantojuma, tūrisma un drošības veicināšana pilsētu funkcionālajās teritorijās" 5.1.1.1. pasākuma "Infrastruktūra uzņēmējdarbības atbalstam" (turpmāk – 5.1.1.1. pasākums "Infrastruktūra uzņēmējdarbības atbalstam") trešās atlases kārtas ietvaros iesniegto projektu iesniegumu vērtēšanu un apstiprināšanu par papildus piešķirto Eiropas Reģionālās attīstības fonda finansējumu 8 160 656 </w:t>
            </w:r>
            <w:r w:rsidR="00000000" w:rsidRPr="00000000" w:rsidDel="00000000">
              <w:rPr>
                <w:i w:val="1"/>
                <w:rtl w:val="0"/>
              </w:rPr>
              <w:t xml:space="preserve">euro</w:t>
            </w:r>
            <w:r w:rsidR="00000000" w:rsidRPr="00000000" w:rsidDel="00000000">
              <w:rPr>
                <w:rtl w:val="0"/>
              </w:rPr>
              <w:t xml:space="preserve">, un pēc pozitīva Eiropas Komisijas lēmuma saņemšanas par grozījumiem Eiropas Savienības kohēzijas politikas programmā 2021.–2027. gadam, slēgt ar finansējuma saņēmējiem vienošanās vai līgumus par projektu īstenošanu.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36.9. projekta iesniegumu pamatojošās dokumentācijas sagatavošanas izmaksas (izņemot projekta iesnieguma veidlapas aizpildīšanas izmaksas) un uzraudzības izmaksas, kas kopā nepārsniedz 10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šis priekšlikums tika izteikts jau iepriekšējā MKN grozījumu reizē, bet grozījumu steidzamības dēļ netika ņemts vērā, ar norādi, ka tiks izvērtēts pie nākamajiem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MKN redakcijā izdevumu pozīcijās ar noteiktu procentuālo ierobežojumu (piemēram, 36.9. punktā) nav noteikts, vai procentuālais ierobežojums aprēķināms no projekta plānotajām vai faktiskajām attiecināmajām izmaksām, kas atbilst Vadošās iestādes Vadlīniju attiecināmo izmaksu noteikšanai Eiropas Savienības kohēzijas politikas programmas 2021.-2027.gada plānošanas periodā (turpmāk- vadlīnijas) 19.punktam, tomēr, ņemot vērā atsevišķus Revīzijas iestādes konstatējumus attiecībā uz situācijām, kad projekta īstenošanas gaitā rodas neatbilstoši veiktie izdevumi vai ietaupījums, kas var novest pie procentuālā ierobežojuma pārsnieguma konstatēšanas, pat ja izdevumi atbilst apstiprinātajam projekta budžetam, vadlīnijās paredzēts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un nepieciešamību precizēt procentuālā ierobežojuma piemērošanas nosacījumus, nodrošinot, lai tie būtu viennozīmīgi, saprotami un praksē vienādi piemērojami visām iesaistītajām pusēm, nosakot, ka procentuālais ierobežojums tiek aprēķināts attiecībā pret projekta plānotajām kopējām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procentuālie ierobežojumi noteikti vairākos citos MKN punktos (36.1.8., 36.2.3., 36.3.5., 36.3.6., 36.4.3., 36.6., 36.8., 36.9.), lūdzam izvērtēt nepieciešamību noteikt, ka procentuālais ierobežojums tiek aprēķināts pret projekta plānotajām kopējām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36.9. projekta iesniegumu pamatojošās dokumentācijas sagatavošanas izmaksas (izņemot projekta iesnieguma veidlapas aizpildīšanas izmaksas) un uzraudzības izmaksas, kas kopā nepārsniedz 10 procentus no projekta </w:t>
            </w:r>
            <w:r w:rsidR="00000000" w:rsidRPr="00000000" w:rsidDel="00000000">
              <w:rPr>
                <w:b w:val="1"/>
                <w:u w:val="single"/>
                <w:rtl w:val="0"/>
              </w:rPr>
              <w:t xml:space="preserve">plānotajām</w:t>
            </w:r>
            <w:r w:rsidR="00000000" w:rsidRPr="00000000" w:rsidDel="00000000">
              <w:rPr>
                <w:rtl w:val="0"/>
              </w:rPr>
              <w:t xml:space="preserve">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36.9. projekta iesniegumu pamatojošās dokumentācijas sagatavošanas izmaksas (izņemot projekta iesnieguma veidlapas aizpildīšanas izmaksas) un uzraudzības izmaksas, kas kopā nepārsniedz 10 procentus no projekta plānotajām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36.10. projekta vadības personāla izmaksas, kas radušās uz darba līguma vai uzņēmuma (pakalpojuma) līguma pamata, tai skaitā valsts sociālās apdrošināšanas obligātās iemaksas no apliekamajām attiecināmajām izmaksām, ņemot vērā,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šis priekšlikums tika izteikts jau iepriekšējā MKN grozījumu reizē, bet grozījumu steidzamības dēļ netika ņemts vērā, ar norādi, ka tiks izvērtēts pie nākamajiem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svītrot noteikumu 36.10.1., 36.10.2. apakšpunktus ņemot vērā, ka 09.06.2025. veikti grozījumi vadlīnijās, kurās vairs nav iekļauti nosacījumi tiešo projektu vadības personāla izmaksu maksimālajiem ierobežojumiem projektos līdz un virs 5 000 000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nepieciešamību svītrot noteikumu projekta 36.10.3.apakšpunktā nosacījumu par 30% noslodzi projektā, ņemot vērā, ka vadlīnijās vairs nav iekļauts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izteiktos priekšlikumus par MK noteikumu Nr. 55  36.10.1., 36.10.2., 36.10.3.apakšpunktiem skaidrojam, ka ņemot vērā, ka 5.1.1.1. pasākuma trešās atlases kārta (atklātā projektu iesniegumu atlase) tika izsludināta un iesniegtie projektu iesniegumi tika vērtēti atbilstoši MK noteikumu Nr.55 spēkā esošajam normatīvajam regulējumam un jauna uzsaukuma vai atlases kārta 5.1.1.1. pasākumā netiek plānota, nosacījumi attiecībā uz personāla izmaksām MK noteikumos Nr. 55 netiek mainīti.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36.10. projekta vadības personāla izmaksas, kas radušās uz darba līguma vai uzņēmuma (pakalpojuma) līguma pamata, tai skaitā valsts sociālās apdrošināšanas obligātās iemaksas no apliekamajām attiecināmajām izmaksām, ņemot vērā, 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w:t>
            </w:r>
            <w:r w:rsidR="00000000" w:rsidRPr="00000000" w:rsidDel="00000000">
              <w:rPr>
                <w:i w:val="1"/>
                <w:rtl w:val="0"/>
              </w:rPr>
              <w:t xml:space="preserve">De minimis</w:t>
            </w:r>
            <w:r w:rsidR="00000000" w:rsidRPr="00000000" w:rsidDel="00000000">
              <w:rPr>
                <w:rtl w:val="0"/>
              </w:rPr>
              <w:t xml:space="preserve"> atbalstu, ko projekta iesniedzējam un sadarbības partnerim (izņemot sadarbības partneri, kas ir sabiedrisko pakalpojumu sniedzējs) piešķir šo noteikumu </w:t>
            </w:r>
            <w:r w:rsidR="00000000" w:rsidRPr="00000000" w:rsidDel="00000000">
              <w:rPr>
                <w:rtl w:val="0"/>
              </w:rPr>
              <w:t xml:space="preserve">36.9.1.</w:t>
            </w:r>
            <w:r w:rsidR="00000000" w:rsidRPr="00000000" w:rsidDel="00000000">
              <w:rPr>
                <w:rtl w:val="0"/>
              </w:rPr>
              <w:t xml:space="preserve"> apakšpunktā minētajām projektu pamatojošās dokumentācijas sagatavošanas izmaksām, kas saistītas ar projekta darbībām, kurām piemērojami regulas Nr. </w:t>
            </w:r>
            <w:r w:rsidR="00000000" w:rsidRPr="00000000" w:rsidDel="00000000">
              <w:rPr>
                <w:rtl w:val="0"/>
              </w:rPr>
              <w:t xml:space="preserve">651/2014</w:t>
            </w:r>
            <w:r w:rsidR="00000000" w:rsidRPr="00000000" w:rsidDel="00000000">
              <w:rPr>
                <w:rtl w:val="0"/>
              </w:rPr>
              <w:t xml:space="preserve"> nosacījumi,  sniedz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w:t>
            </w:r>
            <w:r w:rsidR="00000000" w:rsidRPr="00000000" w:rsidDel="00000000">
              <w:rPr>
                <w:rtl w:val="0"/>
              </w:rPr>
              <w:t xml:space="preserve">​</w:t>
            </w:r>
            <w:r w:rsidR="00000000" w:rsidRPr="00000000" w:rsidDel="00000000">
              <w:rPr>
                <w:rtl w:val="0"/>
              </w:rPr>
              <w:t xml:space="preserve">2023/2831),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de minimis atbalsts šo noteikumu 36.9.1. apakšpunktā minētajām projektu pamatojošās dokumentācijas sagatavošanas izmaksām un atbalsts saskaņā ar regulu Nr. 651/2014 netiktu uzskatīts par atbalstu vienām un tām pašām attiecināmām izmaksām, kam jāpiemēro noteikumu 70.1. apakšpunkta nosacījumi par kumulāciju, lūdzam precizēt noteikumus tā, lai skaidrs, ka de minimis atbalsts 36.9.1. apakšpunktā minētajām izmaksām nav vienas un tās pašas ar ieguldījumu saistītās attiecināmās izmaksas tikai tādā gadījumā, ja tās neveido projekta ietvaros radīto pamatlīdzekļu - sākotnējo ieguldījumu vērtību. Ar attiecīgu skaidrojumu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MK noteikumu Nr. 55 iekļautais regulējums par kumulācijas nosacījumiem ir korekts attiecībā uz regulā Nr. 651/2014 noteikto, noteikumu projekts netiek papildināts ar papildu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priekšlikums saistīts ar “eState aid WIKI” sistēmā 2026. gada 29. maijā publicēto Eiropas Komisijas atbildi Igaunijai, aicinām CFLA šo skaidrojumu ņemt vērā tajos projektos, uz kuriem šie nosacījumi būtu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w:t>
            </w:r>
            <w:r w:rsidR="00000000" w:rsidRPr="00000000" w:rsidDel="00000000">
              <w:rPr>
                <w:i w:val="1"/>
                <w:rtl w:val="0"/>
              </w:rPr>
              <w:t xml:space="preserve">De minimis</w:t>
            </w:r>
            <w:r w:rsidR="00000000" w:rsidRPr="00000000" w:rsidDel="00000000">
              <w:rPr>
                <w:rtl w:val="0"/>
              </w:rPr>
              <w:t xml:space="preserve"> atbalstu, ko projekta iesniedzējam un sadarbības partnerim (izņemot sadarbības partneri, kas ir sabiedrisko pakalpojumu sniedzējs) piešķir šo noteikumu </w:t>
            </w:r>
            <w:r w:rsidR="00000000" w:rsidRPr="00000000" w:rsidDel="00000000">
              <w:rPr>
                <w:rtl w:val="0"/>
              </w:rPr>
              <w:t xml:space="preserve">36.9.1.</w:t>
            </w:r>
            <w:r w:rsidR="00000000" w:rsidRPr="00000000" w:rsidDel="00000000">
              <w:rPr>
                <w:rtl w:val="0"/>
              </w:rPr>
              <w:t xml:space="preserve"> apakšpunktā minētajām projektu pamatojošās dokumentācijas sagatavošanas izmaksām, kas saistītas ar projekta darbībām, kurām piemērojami regulas Nr. </w:t>
            </w:r>
            <w:r w:rsidR="00000000" w:rsidRPr="00000000" w:rsidDel="00000000">
              <w:rPr>
                <w:rtl w:val="0"/>
              </w:rPr>
              <w:t xml:space="preserve">651/2014</w:t>
            </w:r>
            <w:r w:rsidR="00000000" w:rsidRPr="00000000" w:rsidDel="00000000">
              <w:rPr>
                <w:rtl w:val="0"/>
              </w:rPr>
              <w:t xml:space="preserve"> nosacījumi,  sniedz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w:t>
            </w:r>
            <w:r w:rsidR="00000000" w:rsidRPr="00000000" w:rsidDel="00000000">
              <w:rPr>
                <w:rtl w:val="0"/>
              </w:rPr>
              <w:t xml:space="preserve">​</w:t>
            </w:r>
            <w:r w:rsidR="00000000" w:rsidRPr="00000000" w:rsidDel="00000000">
              <w:rPr>
                <w:rtl w:val="0"/>
              </w:rPr>
              <w:t xml:space="preserve">2023/2831), ievērojot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Finansējuma saņēmējs nodrošina, ka projektā tiek paredzēts "zaļais" publiskais iepirkums būvdarbu, preču vai pakalpojumu grupās, kurās ir izstrādāts regulējums nacionālajos normatīvajos aktos par prasībām "zaļajam" publiskajam iepirkumam un to piemērošanas kārtību. Atbalstāma ir vides piekļūstamības un izmantojamības nodrošināšana, veicot sociāli atbildīgu publisko iepirkumu, kur tas ir attiecināms un atbilstošs ieguldījumu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norādi uz zaļo publisko iepirkumu, ņemot vērā, ka ar 09.06.2026. nav spēkā MK 20.06.2017. noteikumi Nr. 353 “Prasības zaļajam publiskajam iepirkumam un to piemērošanas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priekšlikumu, noteikumu projekta 80. punktā ietvertā prasība par zaļā publiskā iepirkuma piemērošanu tiek saglabāta, ņemot vērā, ka 5.1.1.1. pasākuma atklātajās projektu iesniegumu atlasēs, t.i.,  otrajā un trešajā atlases kārtā, projektu iesniegumu vērtēšanas kritērijos ir paredzēts atsevišķs kvalitātes kritērijs par zaļā publiskā iepirkuma piemērošanu un projektu iesniedzējiem par tā piemērošanu tika piešķirti papildu punkti kvalitātes kritērijā.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Finansējuma saņēmējs nodrošina, ka projektā tiek paredzēts "zaļais" publiskais iepirkums būvdarbu, preču vai pakalpojumu grupās, kurās ir izstrādāts regulējums nacionālajos normatīvajos aktos par prasībām "zaļajam" publiskajam iepirkumam un to piemērošanas kārtību. Atbalstāma ir vides piekļūstamības un izmantojamības nodrošināšana, veicot sociāli atbildīgu publisko iepirkumu, kur tas ir attiecināms un atbilstošs ieguldījumu specifikai.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26-TA-2115</w:t>
    </w:r>
    <w:r>
      <w:br/>
    </w:r>
    <w:r w:rsidR="00000000" w:rsidRPr="00000000" w:rsidDel="00000000">
      <w:rPr>
        <w:rtl w:val="0"/>
      </w:rPr>
      <w:t xml:space="preserve">22.09.2026. 17.12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26-TA-2115</w:t>
    </w:r>
    <w:r>
      <w:br/>
    </w:r>
    <w:r w:rsidR="00000000" w:rsidRPr="00000000" w:rsidDel="00000000">
      <w:rPr>
        <w:rtl w:val="0"/>
      </w:rPr>
      <w:t xml:space="preserve">22.09.2026. 17.12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Izziņa_26-TA-2115.docx</dc:title>
</cp:coreProperties>
</file>

<file path=docProps/custom.xml><?xml version="1.0" encoding="utf-8"?>
<Properties xmlns="http://schemas.openxmlformats.org/officeDocument/2006/custom-properties" xmlns:vt="http://schemas.openxmlformats.org/officeDocument/2006/docPropsVTypes"/>
</file>