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27206A" w14:textId="2CE1827A" w:rsidR="00672C48" w:rsidRPr="00C47CAD" w:rsidRDefault="00672C48" w:rsidP="00C47CAD">
      <w:pPr>
        <w:jc w:val="both"/>
        <w:rPr>
          <w:rFonts w:eastAsia="Times New Roman"/>
          <w:lang w:eastAsia="lv-LV"/>
        </w:rPr>
      </w:pPr>
      <w:bookmarkStart w:id="0" w:name="_MailOriginal"/>
      <w:r w:rsidRPr="00672C48">
        <w:rPr>
          <w:rFonts w:eastAsia="Times New Roman"/>
          <w:b/>
          <w:bCs/>
          <w:lang w:eastAsia="lv-LV"/>
        </w:rPr>
        <w:t>From:</w:t>
      </w:r>
      <w:r w:rsidRPr="00672C48">
        <w:rPr>
          <w:rFonts w:eastAsia="Times New Roman"/>
          <w:lang w:eastAsia="lv-LV"/>
        </w:rPr>
        <w:t xml:space="preserve"> Inguna Dancīte &lt;inguna.dancite@fm.gov.lv&gt; </w:t>
      </w:r>
      <w:r w:rsidRPr="00672C48">
        <w:rPr>
          <w:rFonts w:eastAsia="Times New Roman"/>
          <w:b/>
          <w:bCs/>
          <w:lang w:eastAsia="lv-LV"/>
        </w:rPr>
        <w:t xml:space="preserve">On Behalf Of </w:t>
      </w:r>
      <w:r w:rsidRPr="00672C48">
        <w:rPr>
          <w:rFonts w:eastAsia="Times New Roman"/>
          <w:lang w:eastAsia="lv-LV"/>
        </w:rPr>
        <w:t>Pasts</w:t>
      </w:r>
      <w:r w:rsidRPr="00672C48">
        <w:rPr>
          <w:rFonts w:eastAsia="Times New Roman"/>
          <w:lang w:eastAsia="lv-LV"/>
        </w:rPr>
        <w:br/>
      </w:r>
      <w:r w:rsidRPr="00672C48">
        <w:rPr>
          <w:rFonts w:eastAsia="Times New Roman"/>
          <w:b/>
          <w:bCs/>
          <w:lang w:eastAsia="lv-LV"/>
        </w:rPr>
        <w:t>Sent:</w:t>
      </w:r>
      <w:r w:rsidRPr="00672C48">
        <w:rPr>
          <w:rFonts w:eastAsia="Times New Roman"/>
          <w:lang w:eastAsia="lv-LV"/>
        </w:rPr>
        <w:t xml:space="preserve"> Tuesday, June 28, 2022 11:46 AM</w:t>
      </w:r>
      <w:r w:rsidRPr="00672C48">
        <w:rPr>
          <w:rFonts w:eastAsia="Times New Roman"/>
          <w:lang w:eastAsia="lv-LV"/>
        </w:rPr>
        <w:br/>
      </w:r>
      <w:r w:rsidRPr="00672C48">
        <w:rPr>
          <w:rFonts w:eastAsia="Times New Roman"/>
          <w:b/>
          <w:bCs/>
          <w:lang w:eastAsia="lv-LV"/>
        </w:rPr>
        <w:t>To:</w:t>
      </w:r>
      <w:r w:rsidRPr="00672C48">
        <w:rPr>
          <w:rFonts w:eastAsia="Times New Roman"/>
          <w:lang w:eastAsia="lv-LV"/>
        </w:rPr>
        <w:t xml:space="preserve"> Pasts &lt;Pasts@em.gov.lv&gt;; Inese Biukšāne &lt;Inese.Biuksane@em.gov.lv&gt;; Gusts Sproģis &lt;Gusts.Sprogis@em.gov.lv&gt;</w:t>
      </w:r>
      <w:r w:rsidRPr="00672C48">
        <w:rPr>
          <w:rFonts w:eastAsia="Times New Roman"/>
          <w:lang w:eastAsia="lv-LV"/>
        </w:rPr>
        <w:br/>
      </w:r>
      <w:r w:rsidRPr="00672C48">
        <w:rPr>
          <w:rFonts w:eastAsia="Times New Roman"/>
          <w:b/>
          <w:bCs/>
          <w:lang w:eastAsia="lv-LV"/>
        </w:rPr>
        <w:t>Cc:</w:t>
      </w:r>
      <w:r w:rsidRPr="00672C48">
        <w:rPr>
          <w:rFonts w:eastAsia="Times New Roman"/>
          <w:lang w:eastAsia="lv-LV"/>
        </w:rPr>
        <w:t xml:space="preserve"> Inga Bērziņa &lt;inga.berzina@fm.gov.lv&gt;; Larijs Martinsons &lt;larijs.martinsons@fm.gov.lv&gt;; Elīna Kobzeva &lt;elina.kobzeva@fm.gov.lv&gt;; Anželika Osipova &lt;anzelika.osipova@fm.gov.lv&gt;; Anita Kalniņa &lt;anita.kalnina@fm.gov.lv&gt;; Jolanta Baldunčika &lt;jolanta.balduncika@fm.gov.lv&gt;; Diāna Rancāne &lt;diana.rancane@fm.gov.lv&gt;; Svetlana Ševčenko &lt;svetlana.sevcenko@fm.gov.lv&gt;; rita.lebedeva@ast.lv; Andris Kaņeps &lt;andris.kaneps@iub.gov.lv&gt;; Artūrs Pētersons &lt;arturs.petersons@fm.gov.lv&gt;; Indra.Deksna@vni.lv</w:t>
      </w:r>
      <w:r w:rsidRPr="00672C48">
        <w:rPr>
          <w:rFonts w:eastAsia="Times New Roman"/>
          <w:lang w:eastAsia="lv-LV"/>
        </w:rPr>
        <w:br/>
      </w:r>
      <w:r w:rsidRPr="00672C48">
        <w:rPr>
          <w:rFonts w:eastAsia="Times New Roman"/>
          <w:b/>
          <w:bCs/>
          <w:lang w:eastAsia="lv-LV"/>
        </w:rPr>
        <w:t>Subject:</w:t>
      </w:r>
      <w:r w:rsidRPr="00672C48">
        <w:rPr>
          <w:rFonts w:eastAsia="Times New Roman"/>
          <w:lang w:eastAsia="lv-LV"/>
        </w:rPr>
        <w:t xml:space="preserve"> Par TAP uzdevumu Nr. 22-UZ-602 par atbildes sagatavošanu uz Saeimas Tautsaimniecības, agrārās, vides un reģionālās politikas komisijas vēstuli “Par publisko būvdarbu iepirkumu sadārdzināšanos”</w:t>
      </w:r>
    </w:p>
    <w:p w14:paraId="2A135EBF" w14:textId="77777777" w:rsidR="00672C48" w:rsidRDefault="00672C48" w:rsidP="00672C48">
      <w:pPr>
        <w:pStyle w:val="NormalWeb"/>
        <w:shd w:val="clear" w:color="auto" w:fill="D5EAFF"/>
        <w:spacing w:line="200" w:lineRule="atLeast"/>
        <w:rPr>
          <w:color w:val="000000"/>
          <w:sz w:val="24"/>
          <w:szCs w:val="24"/>
        </w:rPr>
      </w:pPr>
      <w:r>
        <w:rPr>
          <w:color w:val="000000"/>
          <w:sz w:val="24"/>
          <w:szCs w:val="24"/>
        </w:rPr>
        <w:t>INFORMĀCIJAI: E-pasta vēstules sūtītājs ir ārējais adresāts.</w:t>
      </w:r>
    </w:p>
    <w:p w14:paraId="44268FDE" w14:textId="77777777" w:rsidR="00672C48" w:rsidRDefault="00672C48" w:rsidP="00672C48"/>
    <w:p w14:paraId="166A0042" w14:textId="77777777" w:rsidR="00672C48" w:rsidRDefault="00672C48" w:rsidP="00672C48">
      <w:r>
        <w:t>28.06.2022.  Nr. 11-2/7-2e/314</w:t>
      </w:r>
    </w:p>
    <w:p w14:paraId="7B9897D3" w14:textId="77777777" w:rsidR="00672C48" w:rsidRDefault="00672C48" w:rsidP="00672C48"/>
    <w:p w14:paraId="28056E2B" w14:textId="77777777" w:rsidR="00672C48" w:rsidRDefault="00672C48" w:rsidP="00672C48">
      <w:pPr>
        <w:jc w:val="both"/>
      </w:pPr>
      <w:r>
        <w:t xml:space="preserve">Labdien! </w:t>
      </w:r>
    </w:p>
    <w:p w14:paraId="73602C7A" w14:textId="77777777" w:rsidR="00672C48" w:rsidRDefault="00672C48" w:rsidP="00672C48">
      <w:pPr>
        <w:jc w:val="both"/>
      </w:pPr>
      <w:r>
        <w:t xml:space="preserve">              </w:t>
      </w:r>
    </w:p>
    <w:p w14:paraId="4B9741C0" w14:textId="77777777" w:rsidR="00672C48" w:rsidRDefault="00672C48" w:rsidP="00672C48">
      <w:pPr>
        <w:jc w:val="both"/>
      </w:pPr>
      <w:r>
        <w:t xml:space="preserve">              Finanšu ministrija (turpmāk – Ministrija) ir iepazinusies ar </w:t>
      </w:r>
      <w:bookmarkStart w:id="1" w:name="_Hlk106103262"/>
      <w:r>
        <w:t xml:space="preserve">Saeimas Tautsaimniecības, agrārās, vides un reģionālās komisijas (turpmāk – Komisija) 2022.gada 27.maija vēstuli Nr. 142.9/8-8-13/22 “Par publisko būvdarbu iepirkumu sadārdzināšanos” (turpmāk – Vēstule) </w:t>
      </w:r>
      <w:bookmarkEnd w:id="1"/>
      <w:r>
        <w:t>un savas kompetences ietvaros sniedz šādu viedokli.</w:t>
      </w:r>
    </w:p>
    <w:p w14:paraId="04C23F4A" w14:textId="77777777" w:rsidR="00672C48" w:rsidRDefault="00672C48" w:rsidP="00672C48">
      <w:pPr>
        <w:jc w:val="both"/>
      </w:pPr>
      <w:r>
        <w:t>              Attiecībā uz Komisijas norādīto problēmgadījumu - publiskais būvdarbu iepirkuma līgums ir noslēgts pirms šā gada 24. februāra, bet būvkomersants nespēj izpildīt uzņemtās saistības šajā līgumā noteiktajos termiņos par nolīgto līgumcenu, norādām, ka grozījumi jau noslēgtos publiskos būvdarbu līgumos ir veicami, ievērojot konkrētajā līgumā, Publisko iepirkumu likumā</w:t>
      </w:r>
      <w:r>
        <w:rPr>
          <w:vertAlign w:val="superscript"/>
        </w:rPr>
        <w:footnoteReference w:customMarkFollows="1" w:id="1"/>
        <w:t xml:space="preserve">[1] </w:t>
      </w:r>
      <w:r>
        <w:t xml:space="preserve">(turpmāk – PIL) un citos normatīvajos aktos noteikto kārtību. </w:t>
      </w:r>
    </w:p>
    <w:p w14:paraId="2B02B9E0" w14:textId="77777777" w:rsidR="00672C48" w:rsidRDefault="00672C48" w:rsidP="00672C48">
      <w:pPr>
        <w:jc w:val="both"/>
      </w:pPr>
      <w:r>
        <w:t>              Saskaņā ar PIL 61.pantu ir vairāki instrumenti, kādā veidā ir iespējams risināt grozījumu nepieciešamību noslēgtajā iepirkuma līgumā: 1) izmantojot iepirkuma līgumā atrunātās grozījumu iespējas (PIL 61.panta trešās daļas 1.punkts), 2) izmantojot PIL 61.panta trešās daļas 3.punkta regulējumu, kas pieļauj grozījumu veikšanu, ja tie ir nepieciešami tādu iemeslu dēļ, kurus pasūtītājs iepriekš nevarēja paredzēt (piemēram, attiecībā uz līgumcenas pārskatīšanu, termiņu pagarināšanas nepieciešamību, risinājuma maiņu), vienlaikus ievērojot arī šī panta ceturtās un sestās daļas regulējumu, 3) izmantojot PIL 61.panta piektās daļas regulējumu (piemēram, attiecībā uz līgumcenas pārskatīšanu), vienlaikus ievērojot arī šī panta sestās daļas regulējumu. Turklāt, ja ir konstatējams objektīvs pamats, iepirkuma līguma grozījumu veikšanai var tikt izmantots viss minēto risinājumu kopums. Lai palīdzētu pasūtītājiem izvērtēt, kā pareizāk rīkoties katrā konkrētā situācijā, Iepirkumu uzraudzības birojs (turpmāk – IUB) ir izstrādājis vairākus metodiskos materiālus ar padomiem līgumu vadībā, kas var arī piegādātājiem palīdzēt saprast iespējamos problēmu risinājumus jau noslēgtajos līgumos. Attiecībā uz grozījumu veikšanas iespējām jau noslēgtajos līgumos IUB tīmekļvietne ir pieejams skaidrojums “Līgumu vadība krīzes apstākļos”</w:t>
      </w:r>
      <w:r>
        <w:rPr>
          <w:rStyle w:val="FootnoteReference"/>
        </w:rPr>
        <w:footnoteReference w:customMarkFollows="1" w:id="2"/>
        <w:t>[2]</w:t>
      </w:r>
      <w:r>
        <w:t>.</w:t>
      </w:r>
    </w:p>
    <w:p w14:paraId="22A17E80" w14:textId="77777777" w:rsidR="00672C48" w:rsidRDefault="00672C48" w:rsidP="00672C48">
      <w:pPr>
        <w:jc w:val="both"/>
      </w:pPr>
      <w:r>
        <w:t xml:space="preserve">              Attiecībā uz Komisijas norādīto problēmgadījumu - būvkomersantu piedāvājumi publiskajos būvdarbu iepirkumos iesniegti pirms šā gada 24.februāra, publiskais būvdarbu </w:t>
      </w:r>
      <w:r>
        <w:lastRenderedPageBreak/>
        <w:t>iepirkuma līgums vēl nav noslēgts, bet būvkomersants informē, ka tas nevar uzņemties objekta būvniecību par piedāvāto cenu, norādām, ka pēc analoģijas šādos gadījumos būtu piemērojams PIL 61.panta regulējums. Arī attiecībā uz grozījumu veikšanu vēl nenoslēgtos līgumos informācija ir pieejama iepriekš minētajā IUB tīmekļvietnē pieejamajā skaidrojumā “Līgumu vadība krīzes apstākļos”</w:t>
      </w:r>
      <w:r>
        <w:rPr>
          <w:rStyle w:val="FootnoteReference"/>
        </w:rPr>
        <w:footnoteReference w:customMarkFollows="1" w:id="3"/>
        <w:t>[3]</w:t>
      </w:r>
      <w:r>
        <w:t xml:space="preserve">. Vienlaikus norādām, ka ņemot vērā, ka kopš šā gada 24. februāra ir pagājis jau ievērojams laika periods, šobrīd nebūtu vairs pamats vērtēt piedāvājumus, kas iesniegti pirms šī datuma vai īsi pēc šī datuma, un sekojoši slēgt iepirkuma līgumus, kuros tiek paredzēti grozījumi, pamatojoties uz šiem ģeopolitiskajiem apstākļiem. Pasūtītājam šādos gadījumos būtu jālemj pārtraukt attiecīgos iepirkumus un rīkot jaunus. </w:t>
      </w:r>
    </w:p>
    <w:p w14:paraId="287EA9DA" w14:textId="77777777" w:rsidR="00672C48" w:rsidRDefault="00672C48" w:rsidP="00672C48">
      <w:pPr>
        <w:jc w:val="both"/>
      </w:pPr>
      <w:r>
        <w:t xml:space="preserve">              Vienlaikus vēršam uzmanību, ka atbilstoši Ekonomikas ministrijas informatīvā ziņojuma “Par situāciju būvniecības nozarē saistībā ar Krievijas agresiju Ukrainā un nepieciešamajiem risinājumiem publisko investīciju projektos” secinājumu sadaļas 6.punktam, līguma grozījumos paredzot līgumcenas pārskatīšanu, pasūtītājam būs jānodrošina būvdarbu īstenošanai nepieciešamais papildu finansējums, pārskatot citus projektus, to uzsākšanas un īstenošanas termiņus, kā arī citus izdevumus un finanšu resursus, pilnībā nodrošinot  finansiālo segumu saistību izpildei. </w:t>
      </w:r>
    </w:p>
    <w:p w14:paraId="1E46D043" w14:textId="77777777" w:rsidR="00672C48" w:rsidRDefault="00672C48" w:rsidP="00672C48">
      <w:pPr>
        <w:jc w:val="both"/>
      </w:pPr>
      <w:r>
        <w:t>              Attiecībā uz izmaksu sadārdzinājumu Eiropas Savienības fondu kontekstā, galvenokārt, ir ņemams vērā Eiropas Savienības fondu vadošās iestādes sagatavotais 2018.gada skaidrojums par izmaksu sadārdzinājumu Eiropas Savienības struktūrfondu un Kohēzijas fonda līdzfinansētajos projektos 2014.-2020.gada plānošanas periodā</w:t>
      </w:r>
      <w:r>
        <w:rPr>
          <w:rStyle w:val="FootnoteReference"/>
        </w:rPr>
        <w:footnoteReference w:customMarkFollows="1" w:id="4"/>
        <w:t>[4]</w:t>
      </w:r>
      <w:r>
        <w:t>. Skaidrojumā ir detalizēti aprakstītas veicamās darbības, kas izriet no PIL, kā arī labas finanšu pārvaldības principiem. Vienlaikus vēršam uzmanību, ka izmaksu sadārdzinājuma jautājumus Centrālā finanšu un līgumu aģentūra katra projekta gadījumā vērtē individuāli. Tāpat Eiropas Savienības fondu vadošās iestādes vadlīniju Nr.2.1. “Vadlīnijas attiecināmo un neattiecināmo izmaksu noteikšanai 2014.-2020.gada plānošanas periodā”</w:t>
      </w:r>
      <w:r>
        <w:rPr>
          <w:rStyle w:val="FootnoteReference"/>
        </w:rPr>
        <w:footnoteReference w:customMarkFollows="1" w:id="5"/>
        <w:t>[5]</w:t>
      </w:r>
      <w:r>
        <w:t xml:space="preserve"> 20.punkts paredz iespēju projektā plānot neparedzētos izdevumus, ja Ministru Kabineta noteikumos par specifiskā atbalsta mērķa īstenošanu ir norādīts, ka neparedzētās izmaksas var izmantot ar projekta īstenošanu saistīto attiecināmo izmaksu segšanai.</w:t>
      </w:r>
    </w:p>
    <w:p w14:paraId="1DB0596F" w14:textId="77777777" w:rsidR="00672C48" w:rsidRDefault="00672C48" w:rsidP="00672C48">
      <w:pPr>
        <w:jc w:val="both"/>
      </w:pPr>
      <w:r>
        <w:t>              Papildus norādām, ka Ekonomikas ministrija šobrīd strādā pie vadlīnijām būvniecības sadārdzinājuma novēršanai, kā arī jau ir izstrādājusi noteikumu projektu “Noteikumi par publisko būvdarbu līgumos obligāti iekļaujamiem noteikumiem un to saturu” (21-TA-110) un publicējusi vadlīnijas būvdarbu līguma cenas indeksācijai</w:t>
      </w:r>
      <w:r>
        <w:rPr>
          <w:rStyle w:val="FootnoteReference"/>
        </w:rPr>
        <w:footnoteReference w:customMarkFollows="1" w:id="6"/>
        <w:t>[6]</w:t>
      </w:r>
      <w:r>
        <w:t>. Attiecīgi Ekonomikas ministrija šobrīd strādā pie risinājumiem, lai būvniecības nozarē rastu efektīvu pieeju, kas palīdzētu gan privātajam, gan arī publiskajam sektoram šīs krīzes pārvarēšanai un būs lietderīgi nozarei arī turpmāk.</w:t>
      </w:r>
    </w:p>
    <w:p w14:paraId="1163A88E" w14:textId="77777777" w:rsidR="00672C48" w:rsidRDefault="00672C48" w:rsidP="00672C48">
      <w:pPr>
        <w:rPr>
          <w:color w:val="1F497D"/>
        </w:rPr>
      </w:pPr>
    </w:p>
    <w:p w14:paraId="0D788AD8" w14:textId="03DA1BC5" w:rsidR="00EB266B" w:rsidRPr="00C47CAD" w:rsidRDefault="00672C48" w:rsidP="00C47CAD">
      <w:pPr>
        <w:spacing w:after="240"/>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Oskars Virsis</w:t>
      </w:r>
      <w:r>
        <w:rPr>
          <w:rFonts w:ascii="Franklin Gothic Book" w:hAnsi="Franklin Gothic Book"/>
          <w:color w:val="767573"/>
          <w:sz w:val="16"/>
          <w:szCs w:val="16"/>
        </w:rPr>
        <w:br/>
        <w:t xml:space="preserve">Juridiskā departamenta </w:t>
      </w:r>
      <w:r>
        <w:rPr>
          <w:rFonts w:ascii="Franklin Gothic Book" w:hAnsi="Franklin Gothic Book"/>
          <w:color w:val="767573"/>
          <w:sz w:val="16"/>
          <w:szCs w:val="16"/>
        </w:rPr>
        <w:br/>
        <w:t>Iepirkumu politikas un valsts nekustamo īpašumu pārvaldīšanas politikas nodaļas vecākais eksperts</w:t>
      </w:r>
      <w:r w:rsidRPr="00672C48">
        <w:rPr>
          <w:rFonts w:ascii="Franklin Gothic Book" w:hAnsi="Franklin Gothic Book"/>
          <w:color w:val="767573"/>
          <w:sz w:val="16"/>
          <w:szCs w:val="16"/>
        </w:rPr>
        <w:br/>
        <w:t xml:space="preserve">Tālr.: (+371) </w:t>
      </w:r>
      <w:r>
        <w:rPr>
          <w:rFonts w:ascii="Franklin Gothic Book" w:hAnsi="Franklin Gothic Book"/>
          <w:color w:val="767573"/>
          <w:sz w:val="16"/>
          <w:szCs w:val="16"/>
        </w:rPr>
        <w:t>25613386</w:t>
      </w:r>
      <w:r w:rsidRPr="00672C48">
        <w:rPr>
          <w:rFonts w:ascii="Franklin Gothic Book" w:hAnsi="Franklin Gothic Book"/>
          <w:color w:val="767573"/>
          <w:sz w:val="16"/>
          <w:szCs w:val="16"/>
        </w:rPr>
        <w:br/>
        <w:t xml:space="preserve">E-pasts: </w:t>
      </w:r>
      <w:hyperlink r:id="rId6" w:history="1">
        <w:r>
          <w:rPr>
            <w:rStyle w:val="Hyperlink"/>
            <w:rFonts w:ascii="Franklin Gothic Book" w:hAnsi="Franklin Gothic Book"/>
            <w:color w:val="1F497D"/>
            <w:sz w:val="16"/>
            <w:szCs w:val="16"/>
          </w:rPr>
          <w:t>oskars.virsis@fm.gov.lv</w:t>
        </w:r>
      </w:hyperlink>
      <w:r w:rsidRPr="00672C48">
        <w:rPr>
          <w:rFonts w:ascii="Franklin Gothic Book" w:hAnsi="Franklin Gothic Book"/>
          <w:color w:val="1F497D"/>
          <w:sz w:val="16"/>
          <w:szCs w:val="16"/>
        </w:rPr>
        <w:br/>
      </w:r>
      <w:r w:rsidRPr="00672C48">
        <w:rPr>
          <w:rFonts w:ascii="Franklin Gothic Book" w:hAnsi="Franklin Gothic Book"/>
          <w:color w:val="767573"/>
          <w:sz w:val="16"/>
          <w:szCs w:val="16"/>
        </w:rPr>
        <w:br/>
        <w:t>Latvijas Republikas Finanšu ministrija</w:t>
      </w:r>
      <w:r w:rsidRPr="00672C48">
        <w:rPr>
          <w:rFonts w:ascii="Franklin Gothic Book" w:hAnsi="Franklin Gothic Book"/>
          <w:color w:val="767573"/>
          <w:sz w:val="16"/>
          <w:szCs w:val="16"/>
        </w:rPr>
        <w:br/>
        <w:t>Smilšu iela 1, Riga, LV-1919, Latvija</w:t>
      </w:r>
      <w:r w:rsidRPr="00672C48">
        <w:rPr>
          <w:rFonts w:ascii="Franklin Gothic Book" w:hAnsi="Franklin Gothic Book"/>
          <w:color w:val="767573"/>
          <w:sz w:val="16"/>
          <w:szCs w:val="16"/>
        </w:rPr>
        <w:br/>
        <w:t xml:space="preserve">Mājaslapa: </w:t>
      </w:r>
      <w:hyperlink r:id="rId7" w:history="1">
        <w:r w:rsidRPr="00672C48">
          <w:rPr>
            <w:rStyle w:val="Hyperlink"/>
            <w:rFonts w:ascii="Franklin Gothic Book" w:hAnsi="Franklin Gothic Book"/>
            <w:color w:val="1F497D"/>
            <w:sz w:val="16"/>
            <w:szCs w:val="16"/>
          </w:rPr>
          <w:t>www.fm.gov.lv</w:t>
        </w:r>
      </w:hyperlink>
      <w:r w:rsidRPr="00672C48">
        <w:rPr>
          <w:rFonts w:ascii="Franklin Gothic Book" w:hAnsi="Franklin Gothic Book"/>
          <w:color w:val="1F497D"/>
          <w:sz w:val="16"/>
          <w:szCs w:val="16"/>
        </w:rPr>
        <w:br/>
      </w:r>
      <w:r w:rsidRPr="00672C48">
        <w:rPr>
          <w:rFonts w:ascii="Franklin Gothic Book" w:hAnsi="Franklin Gothic Book"/>
          <w:color w:val="767573"/>
          <w:sz w:val="16"/>
          <w:szCs w:val="16"/>
        </w:rPr>
        <w:lastRenderedPageBreak/>
        <w:t xml:space="preserve">E-pasts: </w:t>
      </w:r>
      <w:hyperlink r:id="rId8" w:history="1">
        <w:r w:rsidRPr="00672C48">
          <w:rPr>
            <w:rStyle w:val="Hyperlink"/>
            <w:rFonts w:ascii="Franklin Gothic Book" w:hAnsi="Franklin Gothic Book"/>
            <w:color w:val="1F497D"/>
            <w:sz w:val="16"/>
            <w:szCs w:val="16"/>
          </w:rPr>
          <w:t>pasts@fm.gov.lv</w:t>
        </w:r>
      </w:hyperlink>
      <w:r w:rsidRPr="00672C48">
        <w:rPr>
          <w:rFonts w:ascii="Franklin Gothic Book" w:hAnsi="Franklin Gothic Book"/>
          <w:color w:val="1F497D"/>
          <w:sz w:val="16"/>
          <w:szCs w:val="16"/>
        </w:rPr>
        <w:br/>
      </w:r>
      <w:r>
        <w:rPr>
          <w:rFonts w:ascii="Franklin Gothic Book" w:hAnsi="Franklin Gothic Book"/>
          <w:noProof/>
          <w:color w:val="767573"/>
          <w:sz w:val="16"/>
          <w:szCs w:val="16"/>
          <w:lang w:val="en-US"/>
        </w:rPr>
        <w:drawing>
          <wp:inline distT="0" distB="0" distL="0" distR="0" wp14:anchorId="5863A08D" wp14:editId="5E6A5913">
            <wp:extent cx="714375" cy="723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4375" cy="723900"/>
                    </a:xfrm>
                    <a:prstGeom prst="rect">
                      <a:avLst/>
                    </a:prstGeom>
                    <a:noFill/>
                    <a:ln>
                      <a:noFill/>
                    </a:ln>
                  </pic:spPr>
                </pic:pic>
              </a:graphicData>
            </a:graphic>
          </wp:inline>
        </w:drawing>
      </w:r>
      <w:r>
        <w:rPr>
          <w:rFonts w:ascii="Franklin Gothic Book" w:hAnsi="Franklin Gothic Book"/>
          <w:noProof/>
          <w:color w:val="767573"/>
          <w:sz w:val="16"/>
          <w:szCs w:val="16"/>
          <w:lang w:val="en-US"/>
        </w:rPr>
        <w:drawing>
          <wp:inline distT="0" distB="0" distL="0" distR="0" wp14:anchorId="011327CE" wp14:editId="742F1A8A">
            <wp:extent cx="752475" cy="438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2475" cy="438150"/>
                    </a:xfrm>
                    <a:prstGeom prst="rect">
                      <a:avLst/>
                    </a:prstGeom>
                    <a:noFill/>
                    <a:ln>
                      <a:noFill/>
                    </a:ln>
                  </pic:spPr>
                </pic:pic>
              </a:graphicData>
            </a:graphic>
          </wp:inline>
        </w:drawing>
      </w:r>
      <w:bookmarkEnd w:id="0"/>
    </w:p>
    <w:sectPr w:rsidR="00EB266B" w:rsidRPr="00C47CA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2AA4A" w14:textId="77777777" w:rsidR="000A7CFE" w:rsidRDefault="000A7CFE" w:rsidP="00672C48">
      <w:r>
        <w:separator/>
      </w:r>
    </w:p>
  </w:endnote>
  <w:endnote w:type="continuationSeparator" w:id="0">
    <w:p w14:paraId="3DA2CA25" w14:textId="77777777" w:rsidR="000A7CFE" w:rsidRDefault="000A7CFE" w:rsidP="00672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D1A77" w14:textId="77777777" w:rsidR="000A7CFE" w:rsidRDefault="000A7CFE" w:rsidP="00672C48">
      <w:r>
        <w:separator/>
      </w:r>
    </w:p>
  </w:footnote>
  <w:footnote w:type="continuationSeparator" w:id="0">
    <w:p w14:paraId="6CDB2305" w14:textId="77777777" w:rsidR="000A7CFE" w:rsidRDefault="000A7CFE" w:rsidP="00672C48">
      <w:r>
        <w:continuationSeparator/>
      </w:r>
    </w:p>
  </w:footnote>
  <w:footnote w:id="1">
    <w:p w14:paraId="787C2F87" w14:textId="77777777" w:rsidR="00672C48" w:rsidRDefault="00672C48" w:rsidP="00672C48">
      <w:pPr>
        <w:pStyle w:val="FootnoteText"/>
      </w:pPr>
      <w:r>
        <w:rPr>
          <w:rStyle w:val="FootnoteReference"/>
        </w:rPr>
        <w:t>[1]</w:t>
      </w:r>
      <w:r>
        <w:t xml:space="preserve"> Ja attiecināms, atsauces uz Publisko iepirkumu likumu ir pēc analoģijas saprotamas arī kā atsauces uz Sabiedrisko pakalpojumu sniedzēju iepirkumu likumu un Publiskās un privātās partnerības likumu. </w:t>
      </w:r>
    </w:p>
  </w:footnote>
  <w:footnote w:id="2">
    <w:p w14:paraId="4F38396A" w14:textId="77777777" w:rsidR="00672C48" w:rsidRDefault="00672C48" w:rsidP="00672C48">
      <w:pPr>
        <w:pStyle w:val="FootnoteText"/>
      </w:pPr>
      <w:r>
        <w:rPr>
          <w:rStyle w:val="FootnoteReference"/>
        </w:rPr>
        <w:t>[2]</w:t>
      </w:r>
      <w:r>
        <w:t xml:space="preserve"> </w:t>
      </w:r>
      <w:hyperlink r:id="rId1" w:history="1">
        <w:r>
          <w:rPr>
            <w:rStyle w:val="Hyperlink"/>
          </w:rPr>
          <w:t>https://www.iub.gov.lv/lv/jaunums/ligumu-vadiba-krizes-apstaklos-papildinata-20062022</w:t>
        </w:r>
      </w:hyperlink>
    </w:p>
  </w:footnote>
  <w:footnote w:id="3">
    <w:p w14:paraId="3AFF7C96" w14:textId="77777777" w:rsidR="00672C48" w:rsidRDefault="00672C48" w:rsidP="00672C48">
      <w:pPr>
        <w:pStyle w:val="FootnoteText"/>
      </w:pPr>
      <w:r>
        <w:rPr>
          <w:rStyle w:val="FootnoteReference"/>
        </w:rPr>
        <w:t>[3]</w:t>
      </w:r>
      <w:r>
        <w:t xml:space="preserve"> Turpat</w:t>
      </w:r>
    </w:p>
  </w:footnote>
  <w:footnote w:id="4">
    <w:p w14:paraId="765B619A" w14:textId="77777777" w:rsidR="00672C48" w:rsidRDefault="00672C48" w:rsidP="00672C48">
      <w:pPr>
        <w:pStyle w:val="FootnoteText"/>
      </w:pPr>
      <w:r>
        <w:rPr>
          <w:rStyle w:val="FootnoteReference"/>
        </w:rPr>
        <w:t>[4]</w:t>
      </w:r>
      <w:r>
        <w:t xml:space="preserve"> </w:t>
      </w:r>
      <w:hyperlink r:id="rId2" w:history="1">
        <w:r>
          <w:rPr>
            <w:rStyle w:val="Hyperlink"/>
            <w:u w:val="none"/>
          </w:rPr>
          <w:t>https://www.esfondi.lv/upload/Vadlinijas/izmaksu-sadardzinajums_vi-skaidrojums_10.12.18.pdf</w:t>
        </w:r>
      </w:hyperlink>
      <w:r>
        <w:t>.</w:t>
      </w:r>
    </w:p>
  </w:footnote>
  <w:footnote w:id="5">
    <w:p w14:paraId="2ABC4C5B" w14:textId="77777777" w:rsidR="00672C48" w:rsidRDefault="00672C48" w:rsidP="00672C48">
      <w:pPr>
        <w:pStyle w:val="FootnoteText"/>
      </w:pPr>
      <w:r>
        <w:rPr>
          <w:rStyle w:val="FootnoteReference"/>
        </w:rPr>
        <w:t>[5]</w:t>
      </w:r>
      <w:hyperlink r:id="rId3" w:history="1">
        <w:r>
          <w:rPr>
            <w:rStyle w:val="Hyperlink"/>
          </w:rPr>
          <w:t>https://www.esfondi.lv/upload/Vadlinijas/0_2_1_attiecinamibas_vadlinijas_2014-2020.pdf</w:t>
        </w:r>
      </w:hyperlink>
      <w:r>
        <w:t xml:space="preserve"> (1.1.punkts). </w:t>
      </w:r>
    </w:p>
  </w:footnote>
  <w:footnote w:id="6">
    <w:p w14:paraId="14C9F8D5" w14:textId="77777777" w:rsidR="00672C48" w:rsidRDefault="00672C48" w:rsidP="00672C48">
      <w:pPr>
        <w:pStyle w:val="FootnoteText"/>
      </w:pPr>
      <w:r>
        <w:rPr>
          <w:rStyle w:val="FootnoteReference"/>
        </w:rPr>
        <w:t>[6]</w:t>
      </w:r>
      <w:r>
        <w:t xml:space="preserve"> </w:t>
      </w:r>
      <w:hyperlink r:id="rId4" w:history="1">
        <w:r>
          <w:rPr>
            <w:rStyle w:val="Hyperlink"/>
          </w:rPr>
          <w:t>https://www.em.gov.lv/lv/vadlinijas-2</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1EC"/>
    <w:rsid w:val="000A0F1F"/>
    <w:rsid w:val="000A7CFE"/>
    <w:rsid w:val="00672C48"/>
    <w:rsid w:val="007231EC"/>
    <w:rsid w:val="0078128F"/>
    <w:rsid w:val="00862E99"/>
    <w:rsid w:val="00992281"/>
    <w:rsid w:val="00AF32D7"/>
    <w:rsid w:val="00C47CA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EED15"/>
  <w15:chartTrackingRefBased/>
  <w15:docId w15:val="{3E085E47-6C91-49EF-822D-01F7C7E6D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C48"/>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2C48"/>
    <w:rPr>
      <w:color w:val="0563C1"/>
      <w:u w:val="single"/>
    </w:rPr>
  </w:style>
  <w:style w:type="paragraph" w:styleId="NormalWeb">
    <w:name w:val="Normal (Web)"/>
    <w:basedOn w:val="Normal"/>
    <w:uiPriority w:val="99"/>
    <w:semiHidden/>
    <w:unhideWhenUsed/>
    <w:rsid w:val="00672C48"/>
    <w:pPr>
      <w:spacing w:before="100" w:beforeAutospacing="1" w:after="100" w:afterAutospacing="1"/>
    </w:pPr>
    <w:rPr>
      <w:lang w:eastAsia="lv-LV"/>
    </w:rPr>
  </w:style>
  <w:style w:type="paragraph" w:styleId="FootnoteText">
    <w:name w:val="footnote text"/>
    <w:basedOn w:val="Normal"/>
    <w:link w:val="FootnoteTextChar"/>
    <w:uiPriority w:val="99"/>
    <w:semiHidden/>
    <w:unhideWhenUsed/>
    <w:rsid w:val="00672C48"/>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672C48"/>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672C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450692">
      <w:bodyDiv w:val="1"/>
      <w:marLeft w:val="0"/>
      <w:marRight w:val="0"/>
      <w:marTop w:val="0"/>
      <w:marBottom w:val="0"/>
      <w:divBdr>
        <w:top w:val="none" w:sz="0" w:space="0" w:color="auto"/>
        <w:left w:val="none" w:sz="0" w:space="0" w:color="auto"/>
        <w:bottom w:val="none" w:sz="0" w:space="0" w:color="auto"/>
        <w:right w:val="none" w:sz="0" w:space="0" w:color="auto"/>
      </w:divBdr>
      <w:divsChild>
        <w:div w:id="125315087">
          <w:marLeft w:val="0"/>
          <w:marRight w:val="0"/>
          <w:marTop w:val="0"/>
          <w:marBottom w:val="0"/>
          <w:divBdr>
            <w:top w:val="none" w:sz="0" w:space="0" w:color="auto"/>
            <w:left w:val="none" w:sz="0" w:space="0" w:color="auto"/>
            <w:bottom w:val="none" w:sz="0" w:space="0" w:color="auto"/>
            <w:right w:val="none" w:sz="0" w:space="0" w:color="auto"/>
          </w:divBdr>
        </w:div>
        <w:div w:id="1336570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pasts@fm.gov.lv" TargetMode="External"/><Relationship Id="rId3" Type="http://schemas.openxmlformats.org/officeDocument/2006/relationships/webSettings" Target="webSettings.xml"/><Relationship Id="rId7" Type="http://schemas.openxmlformats.org/officeDocument/2006/relationships/hyperlink" Target="www.fm.gov.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20oskars.virsis@fm.gov.lv"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upload/Vadlinijas/0_2_1_attiecinamibas_vadlinijas_2014-2020.pdf" TargetMode="External"/><Relationship Id="rId2" Type="http://schemas.openxmlformats.org/officeDocument/2006/relationships/hyperlink" Target="https://www.esfondi.lv/upload/Vadlinijas/izmaksu-sadardzinajums_vi-skaidrojums_10.12.18.pdf" TargetMode="External"/><Relationship Id="rId1" Type="http://schemas.openxmlformats.org/officeDocument/2006/relationships/hyperlink" Target="https://www.iub.gov.lv/lv/jaunums/ligumu-vadiba-krizes-apstaklos-papildinata-20062022" TargetMode="External"/><Relationship Id="rId4" Type="http://schemas.openxmlformats.org/officeDocument/2006/relationships/hyperlink" Target="https://www.em.gov.lv/lv/vadlinija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4289</Words>
  <Characters>2446</Characters>
  <Application>Microsoft Office Word</Application>
  <DocSecurity>0</DocSecurity>
  <Lines>20</Lines>
  <Paragraphs>13</Paragraphs>
  <ScaleCrop>false</ScaleCrop>
  <Company/>
  <LinksUpToDate>false</LinksUpToDate>
  <CharactersWithSpaces>6722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Biukšāne</dc:creator>
  <cp:keywords/>
  <dc:description/>
  <cp:lastModifiedBy>Inese Biukšāne</cp:lastModifiedBy>
  <cp:revision>5</cp:revision>
  <dcterms:created xsi:type="dcterms:W3CDTF">2022-06-30T13:24:00Z</dcterms:created>
  <dcterms:modified xsi:type="dcterms:W3CDTF">2022-06-30T13:27:00Z</dcterms:modified>
</cp:coreProperties>
</file>