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26-TA-1474: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“Jaunas infrastruktūras izveide kontroles dienestu funkciju īstenošanai Kundziņsalā” īstenošanas progresu un turpmāko rīcību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16:54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zemes vienības Uriekstes ielā 42B kadastra apzīmējumu, jo pēc zemes vienības sadales attiecīgajai zemes vienībai piešķirts kadastra apzīmējums 0100 096 0262.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informatīvais ziņojums precizēts, norādot, ka, Investīcija paredz jaunas infrastruktūras izveidi uz valsts nekustamā īpašuma (nekustamā īpašuma kadastra Nr. 01000960264) sastāvā esošās zemes vienības ar kadastra apzīmējumu 01000960262 (vēsturiskais zemes vienības kadastra apzīmējums 0100 068 0097)  5,8951 ha platībā -  Uriekstes ielā 42B,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un Ministru kabineta sēdes protokollēmuma projekta 7.punktā paredzēto, ka "Finanšu ministrija likumprojekta "Par valsts budžetu 2027.gadam un budžeta ietvaru 2027., 2028. un 2029.gada" sagatavošanas procesā virzīs fiskāli neitrālu priekšlikumu, lai nodrošinātu nepieciešamo finansējumu aprīkojuma un mēbeļu, pārcelšanās izdevumu, nomas un papildu maksājumu, komunālo maksājumu segšanai", lūdzam papildināt informatīvā ziņojuma projektu ar skaidrojumu par fiskāli neitrālā priekšlikuma būtību – vai plānota finansējuma pārdale starp institūcijām bāzes izdevumu ietvaros, vai finansēšanas avots būs papildu ieņēmumi valsts budžetā, konkretizējot.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protokollēmuma projekta 7. punkts jau paredz, ka Finanšu ministrija likumprojekta “Par valsts budžetu 2027. gadam un budžeta ietvaru 2027., 2028.,  2029. un 2030. gadam” sagatavošanas procesā sagatavos un virzīs konkrētu fiskāli neitrālu priekšlikumu nepieciešamā finansējuma nodrošināšanai. Attiecīgi šī procesa ietvaros arī tiks sniegta detalizēta informācija par finansējuma avotu, par to attiecīgi informējot iesaistītās nozares ministrijas, t.sk. Iekšlietu ministriju. Ņemot vērā minēto, papildu skaidrojuma iekļaušana šajā informatīvajā ziņojumā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5.3.sadaļā "Finansējums aprīkojumam un mēbelēm" norādīts, ka ir nepieciešama finansējuma pārdale no valsts budžeta apakšprogrammas 41.13.00 "Finansējums VAS "Valsts nekustamie īpašumi" īstenojamiem projektiem un pasākumiem 859 909 EUR apmērā (iesk. PVN), līdzekļus novirzot katra atsevišķā Lietotāja rīcībā atbilstošajās valsts budžeta apakšprogrammās 2026.gadā. Ņemot vērā, ka mēbeļu un aprīkojuma iegāde veicama publiskās iepirkuma procedūras ietvaros, turklāt plānots, ka tas būs apvienotais iepirkums, kā arī, ņemot vērā, ka saskaņā ar Valsts kontroles norādījumiem atklāta konkursa procedūrai jāparedz vismaz 5-6 mēneši, būtu vērtējams, vai iestādēm izdosies 2026.gadā apgūt tām piešķirto finansējumu, ņemot vērā, ka darbs pie attiecīgā iepirkuma nemaz nav sākts.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skaidro, ka darbs pie iepirkuma jau ir uzsākts, iepirkums ir iekļauts VNĪ iepirkumu plānā, iepirkuma tehniskās specifikācijas jau ir izstrādātas sadarbībā ar Investīccijas lietotājiem (VID, PVD, VRS) un plānots iepirkumu izsludināt jūlijā. Plānotie piegādes termiņi ir 2026. gada decembris, kas ir atbilstošs termiņš šāda līguma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"Sadarbība ar LVRTC transporta rindu vadības sistēmas izveidei un uzturēšanai" norādīts, ka, ņemot vērā šī projekta specifiku un LVRTC kompetenci līdzīgu tehnoloģisko risinājumu izstrādē, VNĪ kā par Investīciju atbildīgā puse piedāvā iesaistīt LVRTC Investīcijai nepieciešamās TRVS realizēšanā, uzticot TRVS digitālo risinājumu izstrādi un uzturēšanu, nodrošinot sasaisti ar īstenošanas procesā RKPEPS projektu. Šādi tiktu nodrošināta vienota informācijas sistēmas izstrāde un ieviešana, kā arī samazināts nepieciešamais finansējums sistēmas uzturēšanai nākotnē. </w:t>
            </w:r>
            <w:r w:rsidR="00000000" w:rsidRPr="00000000" w:rsidDel="00000000">
              <w:rPr>
                <w:u w:val="single"/>
                <w:rtl w:val="0"/>
              </w:rPr>
              <w:t xml:space="preserve">Vienlaikus, ņemot vērā Latvijas Republikas valsts robežas likumā noteiktos pienākumus un atbildības attiecībā tieši uz autoceļu robežšķērsošanas vietām, nepieciešams paralēli šo projektu sasaistes ar Investīciju laikā izvērtēt arī normatīvo regulējumu un to attiecīgi precizēt. </w:t>
            </w:r>
            <w:r w:rsidR="00000000" w:rsidRPr="00000000" w:rsidDel="00000000">
              <w:rPr>
                <w:rtl w:val="0"/>
              </w:rPr>
              <w:t xml:space="preserve">Ņemot vērā minēto, izvērtēt nepieciešamību ietvert konkrēto uzdevumu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valsts robežas likuma Pārejas noteikumu (19.06.2025. likuma redakcijā, kas stājas spēkā 16.07.2025.) 16. punktā jau ir noteikts, ka: "Ministru kabinets līdz 2028. gada 1. jūlijam izdod šā likuma 10.1 panta devītajā daļā minētos noteikumus." Pieminētie noteikumi ir par Robežšķērsošanas un kontroles procesa elektroniskas pārvaldības sistēmu (jeb RKPEPS). Šie ir tie paši noteikumi, kuri ir precizējami un par ko jau likumā ir spēkā esošs uzdevums, tos izstrādāt. Attiecīgi, nav nepieciešams dublēt uzdevumu šajā informatīvajā ziņojumā, ņemot vērā, ka likumdevējs jau ir noteicis uzdevumu.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 likumprojekta "Par valsts budžetu 2027.gadam un budžeta ietvaru 2027., 2028., 2029. un 2030.gadam" nosaukumu, ievērojot Ministru kabineta 2026.gada 15.maija rīkojumu Nr.275 "Par likumprojekta "Par valsts budžetu 2027.gadam un budžeta ietvaru 2027., 2028., 2029. un 2030. gadam" sagatavošanas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nosaukums precizēts uz "Par valsts budžetu 2027.gadam un budžeta ietvaru 2027., 2028., 2029. un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(detalizētāk skatīt informatīvā ziņojuma projekta 8. un 9. lpp.) ir konstatējams, ka kontroles dienestu funkciju pilnvērtīgai nodrošināšanai tiek izveidota arī transporta rindu vadības sistēma. Ar protokollēmuma projekta 4. punktu ir iecerēts atbalstīt finansējuma pārdali 235 950 EUR apmērā transporta rindu vadības sistēmas programmatūras paplašinājuma moduļa iegādei no Latvijas Valsts radio un televīzijas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sabiedrības ar ierobežotu atbildību "Autotransporta direkcija" (turpmāk – Direkcija) kompetenci (detalizētāk skatīt Latvijas Republikas valsts robežas likuma 101. pantu) elektroniskās rindas rezervācijas sistēmā ārējās sauszemes robežas šķērsošanai, lūdzam papildināt informatīvā ziņojuma projektu ar skaidrojumu, kā iecerētais informatīvās sistēmas paplašinājums skars Direkcijas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 informatīvajā ziņojumā aprakstītajām iecerēm Direkcijas kompetence tiek skarta, lūdzam iesaistīt Satiksmes ministriju informatīvā ziņojuma projekta precizēšanā.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skaidro, ka informatīvajā ziņojumā iekļautie pasākumi attiecas tikai uz otrajā kārtā realizējamo Robežšķērsošanas un kontroles procesa elektroniskas pārvaldības sistēmu (RKPEPS), kur pārziņa pienākumus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risinājums nav saistošs  valsts sabiedrībai ar ierobežotu atbildību "Autotransporta direkcija" (turpmāk – Direkcija) un neuzliek Direkcijai  jaunus pienākumus vai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ir sagatavots sadarbībā ar Latvijas Valsts radio un televīzijas centru un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Finanšu ministrija likumprojekta “Par valsts budžetu 2027. gadam un budžeta ietvaru 2027., 2028. un 2029. gada” sagatavošanas procesā virzīs fiskāli neitrālu priekšlikumu, lai nodrošinātu nepieciešamo finansējumu aprīkojuma un mēbeļu, pārcelšanās izdevumu, nomas un papildu maksājumu, komunālo maksājumu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7.punktā precizēt likumprojekta "Par valsts budžetu 2027.gadam un budžeta ietvaru 2027., 2028., 2029. un 2030.gadam" nosaukumu, ievērojot Ministru kabineta 2026.gada 15.maija rīkojumu Nr.275 "Par likumprojekta "Par valsts budžetu 2027.gadam un budžeta ietvaru 2027., 2028., 2029. un 2030. gadam" sagatavošanas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nosaukums precizēts uz "Par valsts budžetu 2027.gadam un budžeta ietvaru 2027., 2028., 2029. un 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Finanšu ministrija likumprojekta "Par valsts budžetu 2027. gadam un budžeta ietvaru 2027., 2028., 2029. un 2030. gadam"  sagatavošanas procesā virzīs fiskāli neitrālu priekšlikumu, lai nodrošinātu nepieciešamo finansējumu aprīkojuma un mēbeļu, pārcelšanās izdevumu, nomas un papildu maksājumu, komunālo maksājumu segšanai.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26-TA-1474</w:t>
    </w:r>
    <w:r>
      <w:br/>
    </w:r>
    <w:r w:rsidR="00000000" w:rsidRPr="00000000" w:rsidDel="00000000">
      <w:rPr>
        <w:rtl w:val="0"/>
      </w:rPr>
      <w:t xml:space="preserve">29.06.2026. 22.45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26-TA-1474</w:t>
    </w:r>
    <w:r>
      <w:br/>
    </w:r>
    <w:r w:rsidR="00000000" w:rsidRPr="00000000" w:rsidDel="00000000">
      <w:rPr>
        <w:rtl w:val="0"/>
      </w:rPr>
      <w:t xml:space="preserve">29.06.2026. 22.45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Izziņa_26-TA-1474.docx</dc:title>
</cp:coreProperties>
</file>

<file path=docProps/custom.xml><?xml version="1.0" encoding="utf-8"?>
<Properties xmlns="http://schemas.openxmlformats.org/officeDocument/2006/custom-properties" xmlns:vt="http://schemas.openxmlformats.org/officeDocument/2006/docPropsVTypes"/>
</file>