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24-TA-2644: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Rundāles pils muzeja reorganizāciju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SVID analīzē norādīto,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Stiprā puses ir “</w:t>
            </w:r>
            <w:r w:rsidR="00000000" w:rsidRPr="00000000" w:rsidDel="00000000">
              <w:rPr>
                <w:i w:val="1"/>
                <w:rtl w:val="0"/>
              </w:rPr>
              <w:t xml:space="preserve">Iespēja elastīgāk noteikt darba samaksu atbilstoši darbinieku ieguldījumam un slodzei saskaņā ar darba samaksu tirgū un atbilstoši normatīvajos aktos noteiktajai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Iespējas ir</w:t>
            </w:r>
            <w:r w:rsidR="00000000" w:rsidRPr="00000000" w:rsidDel="00000000">
              <w:rPr>
                <w:i w:val="1"/>
                <w:rtl w:val="0"/>
              </w:rPr>
              <w:t xml:space="preserve"> “Jaunu un daudzsološu speciālistu pāriešana uz muzeju konkurētspējīgā atalgojuma un motivējošās sistēmas dēļ</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Valsts un pašvaldību institūciju amatpersonu un darbinieku atlīdzības likuma (turpmāk – Atlīdzības likums) 2. panta pirmās daļas 13. punktam Atlīdzības likums ir saistošs pastarpinātās pārvaldes iestādēm, tostarp atvasinātām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Atlīdzības likuma 3. panta trešo daļu valsts vai pašvaldības </w:t>
            </w:r>
            <w:r w:rsidR="00000000" w:rsidRPr="00000000" w:rsidDel="00000000">
              <w:rPr>
                <w:u w:val="single"/>
                <w:rtl w:val="0"/>
              </w:rPr>
              <w:t xml:space="preserve">institūcija neizmaksā un iekšējos normatīvajos aktos</w:t>
            </w:r>
            <w:r w:rsidR="00000000" w:rsidRPr="00000000" w:rsidDel="00000000">
              <w:rPr>
                <w:rtl w:val="0"/>
              </w:rPr>
              <w:t xml:space="preserve">, pašvaldības saistošajos noteikumos, </w:t>
            </w:r>
            <w:r w:rsidR="00000000" w:rsidRPr="00000000" w:rsidDel="00000000">
              <w:rPr>
                <w:u w:val="single"/>
                <w:rtl w:val="0"/>
              </w:rPr>
              <w:t xml:space="preserve">darba koplīgumos un darba līgumos</w:t>
            </w:r>
            <w:r w:rsidR="00000000" w:rsidRPr="00000000" w:rsidDel="00000000">
              <w:rPr>
                <w:rtl w:val="0"/>
              </w:rPr>
              <w:t xml:space="preserve"> amatpersonai </w:t>
            </w:r>
            <w:r w:rsidR="00000000" w:rsidRPr="00000000" w:rsidDel="00000000">
              <w:rPr>
                <w:u w:val="single"/>
                <w:rtl w:val="0"/>
              </w:rPr>
              <w:t xml:space="preserve">(darbiniekam) neparedz citādu atlīdzību kā tā, kas noteikta Atlīdzības likumā</w:t>
            </w:r>
            <w:r w:rsidR="00000000" w:rsidRPr="00000000" w:rsidDel="00000000">
              <w:rPr>
                <w:rtl w:val="0"/>
              </w:rPr>
              <w:t xml:space="preserve">, izņemot 3. pantā paredzētos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Atlīdzības likuma 11. panta pirmajā daļā ir noteikts, ka pastarpinātās pārvaldes iestāžu amatpersonām (darbiniekiem) </w:t>
            </w:r>
            <w:r w:rsidR="00000000" w:rsidRPr="00000000" w:rsidDel="00000000">
              <w:rPr>
                <w:u w:val="single"/>
                <w:rtl w:val="0"/>
              </w:rPr>
              <w:t xml:space="preserve">mēnešalgu nosaka, ņemot vērā</w:t>
            </w:r>
            <w:r w:rsidR="00000000" w:rsidRPr="00000000" w:rsidDel="00000000">
              <w:rPr>
                <w:rtl w:val="0"/>
              </w:rPr>
              <w:t xml:space="preserve"> amata vērtību (atbildības līmeni un sarežģītību) un konkrētās amatpersonas (darbinieka) individuālās kvalifikācijas, kompetenču un darba snieguma līmeni, kā arī </w:t>
            </w:r>
            <w:r w:rsidR="00000000" w:rsidRPr="00000000" w:rsidDel="00000000">
              <w:rPr>
                <w:u w:val="single"/>
                <w:rtl w:val="0"/>
              </w:rPr>
              <w:t xml:space="preserve">tiešās pārvaldes iestāžu amatpersonu (darbinieku) līdzīgas atbildības un sarežģītības amatiem noteiktās mēnešalgas</w:t>
            </w:r>
            <w:r w:rsidR="00000000" w:rsidRPr="00000000" w:rsidDel="00000000">
              <w:rPr>
                <w:rtl w:val="0"/>
              </w:rPr>
              <w:t xml:space="preserve">, nepārsniedzot attiecīgajam amatam šā likuma 3. pielikumā noteikto mēnešalgu grupas intervāla maksimumu. </w:t>
            </w:r>
            <w:r w:rsidR="00000000" w:rsidRPr="00000000" w:rsidDel="00000000">
              <w:rPr>
                <w:u w:val="single"/>
                <w:rtl w:val="0"/>
              </w:rPr>
              <w:t xml:space="preserve">Amatus klasificē atbilstoši Ministru kabineta noteiktajam valsts un pašvaldību institūciju amatu katalogam, amatu saimi un līmeni nosaka, kā arī klasificēšanas rezultātus apstiprina šo institūciju darbību regulējošos normatīvajos aktos noteiktās amatpersonas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Rundāles pils muzejam arī turpmāk, tāpat kā līdz šim būs jāievēro Atlīdzības likumā noteiktais un nevarēs noteikt nekādu papildu vai savādāku atlīdzību kā to paredz minētais likums, kā arī tāpat kā līdz šim būs jāklasificē amati atbilstoši Ministru kabineta 2022. gada 26. aprīļa noteikumiem Nr. 262 "Valsts un pašvaldību institūciju amatu katalogs, amatu klasifikācijas un amatu apraksta izstrādāšanas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jau šobrīd Rundāles pils muzejam, nosakot mēnešalgu saskaņā ar Ministru kabineta 2022. gada 21. jūnija noteikumu Nr. 361 "Noteikumi par valsts institūciju amatpersonu un darbinieku darba samaksu un tās noteikšanas kārtību, kā arī par profesijām un specifiskajām jomām, kurām piemērojams tirgus koeficients" 6.2. un 6.3. apakšpunktu ir jāņem vērā darbinieka darba snieguma līmenis un regulārais darba apjoms. Tādējādi jau šobrīd mēnešalga ir jānosaka atbilstoši darbinieku ieguldījumam un slodzei.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atlīdzības reformas rezultātā mēnešalgu skalā noteiktā viduspunkta mēnešalga ir noteikta kā mērķa alga valsts pārvaldē, kas ir noteikta 80 % ampērā no līdzīgas vērtības algas privātajā sektorā. Līdz ar to esošais regulējums ļauj noteikt konkurētspējīgu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informācija sniegta Projekta sākotnējās ietekmes (ex-ante) novērtējuma ziņojuma (anotācijas) 1.sadaļas “Tiesību akta projekta izstrādes nepieciešamība” 1.3.punkta “Pašreizējā situācija, problēmas un risinājumi” apakšsadaļā “Problēmas apraksts” (sk. izziņas 2.punktā norādīto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jauns Projekta sākotnējās ietekmes (ex-ante) novērtējuma ziņojuma (anotācijas) 1.pielikums “Rundāles pils muzeja kā atvasinātas publiskas personas cilvēkresursu SVID analīze”.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kā tiks īstenots anotācijā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i w:val="1"/>
                <w:rtl w:val="0"/>
              </w:rPr>
              <w:t xml:space="preserve">3) ņemot vērā valsts budžeta dotācijas apjomu, kā arī plānotos pašu ieņēmumus, objektīvi un elastīgi, atbilstoši reālai situācijai darba tirgū attiecīgajā nozarē, noteikt muzeja atalgojuma politiku, lai veiksmīgi nodrošinātu augstas kvalitātes speciālistu piesaisti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i w:val="1"/>
                <w:rtl w:val="0"/>
              </w:rPr>
              <w:t xml:space="preserve">Iespēja izstrādāt motivējošu atalgojuma noteikšanas kārtību, ievērojot Valsts un pašvaldību institūciju amatpersonu un darbinieku atlīdzības likuma un Ministru kabineta noteikumu prasības, kas attiecas uz atvasinātu publisku personu, tādējādi novērtējot esošo darbinieku profesionalitāti un piesaistot muzejam jaunus speciālistus.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Valsts un pašvaldību institūciju amatpersonu un darbinieku atlīdzības likuma (turpmāk – Atlīdzības likums) 2. panta pirmās daļas 13. punktam Atlīdzības likums ir saistošs pastarpinātās pārvaldes iestādēm, tostarp atvasinātām publiskām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Atlīdzības likuma 3. panta trešo daļu valsts vai pašvaldības </w:t>
            </w:r>
            <w:r w:rsidR="00000000" w:rsidRPr="00000000" w:rsidDel="00000000">
              <w:rPr>
                <w:u w:val="single"/>
                <w:rtl w:val="0"/>
              </w:rPr>
              <w:t xml:space="preserve">institūcija neizmaksā un iekšējos normatīvajos aktos,</w:t>
            </w:r>
            <w:r w:rsidR="00000000" w:rsidRPr="00000000" w:rsidDel="00000000">
              <w:rPr>
                <w:rtl w:val="0"/>
              </w:rPr>
              <w:t xml:space="preserve"> pašvaldības saistošajos noteikumos, </w:t>
            </w:r>
            <w:r w:rsidR="00000000" w:rsidRPr="00000000" w:rsidDel="00000000">
              <w:rPr>
                <w:u w:val="single"/>
                <w:rtl w:val="0"/>
              </w:rPr>
              <w:t xml:space="preserve">darba koplīgumos un darba līgumos</w:t>
            </w:r>
            <w:r w:rsidR="00000000" w:rsidRPr="00000000" w:rsidDel="00000000">
              <w:rPr>
                <w:rtl w:val="0"/>
              </w:rPr>
              <w:t xml:space="preserve"> amatpersonai </w:t>
            </w:r>
            <w:r w:rsidR="00000000" w:rsidRPr="00000000" w:rsidDel="00000000">
              <w:rPr>
                <w:u w:val="single"/>
                <w:rtl w:val="0"/>
              </w:rPr>
              <w:t xml:space="preserve">(darbiniekam) neparedz citādu atlīdzību kā tā, kas noteikta Atlīdzības likumā</w:t>
            </w:r>
            <w:r w:rsidR="00000000" w:rsidRPr="00000000" w:rsidDel="00000000">
              <w:rPr>
                <w:rtl w:val="0"/>
              </w:rPr>
              <w:t xml:space="preserve">, izņemot 3. pantā paredzētos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Atlīdzības likuma 11. panta pirmajā daļā ir noteikts, ka pastarpinātās pārvaldes iestāžu amatpersonām (darbiniekiem) </w:t>
            </w:r>
            <w:r w:rsidR="00000000" w:rsidRPr="00000000" w:rsidDel="00000000">
              <w:rPr>
                <w:u w:val="single"/>
                <w:rtl w:val="0"/>
              </w:rPr>
              <w:t xml:space="preserve">mēnešalgu nosaka, ņemot vērā</w:t>
            </w:r>
            <w:r w:rsidR="00000000" w:rsidRPr="00000000" w:rsidDel="00000000">
              <w:rPr>
                <w:rtl w:val="0"/>
              </w:rPr>
              <w:t xml:space="preserve"> amata vērtību (atbildības līmeni un sarežģītību) un konkrētās amatpersonas (darbinieka) individuālās kvalifikācijas, kompetenču un darba snieguma līmeni, kā arī </w:t>
            </w:r>
            <w:r w:rsidR="00000000" w:rsidRPr="00000000" w:rsidDel="00000000">
              <w:rPr>
                <w:u w:val="single"/>
                <w:rtl w:val="0"/>
              </w:rPr>
              <w:t xml:space="preserve">tiešās pārvaldes iestāžu amatpersonu (darbinieku) līdzīgas atbildības un sarežģītības amatiem noteiktās mēnešalgas</w:t>
            </w:r>
            <w:r w:rsidR="00000000" w:rsidRPr="00000000" w:rsidDel="00000000">
              <w:rPr>
                <w:rtl w:val="0"/>
              </w:rPr>
              <w:t xml:space="preserve">, nepārsniedzot attiecīgajam amatam šā likuma 3. pielikumā noteikto mēnešalgu grupas intervāla maksimumu. </w:t>
            </w:r>
            <w:r w:rsidR="00000000" w:rsidRPr="00000000" w:rsidDel="00000000">
              <w:rPr>
                <w:u w:val="single"/>
                <w:rtl w:val="0"/>
              </w:rPr>
              <w:t xml:space="preserve">Amatus klasificē atbilstoši Ministru kabineta noteiktajam valsts un pašvaldību institūciju amatu katalogam, amatu saimi un līmeni nosaka, kā arī klasificēšanas rezultātus apstiprina šo institūciju darbību regulējošos normatīvajos aktos noteiktās amatpersonas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Rundāles pils muzejam arī turpmāk, tāpat kā līdz šim būs jāievēro Atlīdzības likumā noteiktais un nevarēs noteikt nekādu papildu vai savādāku atlīdzību kā to paredz minētais likums, kā arī tāpat kā līdz šim būs jāklasificē amati atbilstoši Ministru kabineta 2022. gada 26. aprīļa noteikumiem Nr. 262 "Valsts un pašvaldību institūciju amatu katalogs, amatu klasifikācijas un amatu apraksta izstrādāšanas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apakšsadaļa “Problēmas apraksts”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“Muzejam ir grūtības piesaistīt kvalificētus un kompetentus darbiniekus, lai īstenotu muzeja funkcijas un uzdevumus augstā profesionālā līmenī. Muzejs kopš patēriņa cenu pieauguma (pārtikas cenas, transporta izmaksas, komunālie maksājumi), kā vienu no attīstību kavējošiem apstākļiem ir konstatējis kvalificētu darbinieku aiziešanu no darba un grūtības piesaistīt darbam muzejā jaunus darbiniekus. Jāņem vērā muzeja atrašanās vieta – tā ir lauku teritorija, attālums no lielākajām pilsētām – 80 km no Rīgas, 12 km no Bauskas un 43 km no Jelgavas, kas ir būtisks šķērslis, lai jaunais speciālists izvēlētos darbu muzejā, nevis kādā no minēto pilsētu muzejiem. Jānorāda, ka tā ir jau ļoti ilgstoša problēma – muzeja darbinieku vidējais vecums ir 50 gadi, pirmspensijas vecumā ir 29 darbinieki, līdz ar to jaunu darbinieku piesaiste visās muzeja darbības jomās ar katru gadu kļūst arvien aktuālāka. Pēdējo trīs gadu laikā darbu muzejā gan nekonkurētspējīgā atalgojuma, gan citu iemeslu dēļ (piemēram, prasība pēc obligātās vakcinēšanās pret Covid-19) ir pametuši 33 darbinieki, bet jauno darbinieku piesaiste un apmācība ir laika un cilvēkresursus patērējošs darbs. Muzejs sava budžeta iespēju robežās nosaka darbiniekiem mēnešalgu saskaņā ar Ministru kabineta 2022.gada 21.jūnija noteikumu Nr.361 “Noteikumi par valsts institūciju amatpersonu un darbinieku darba samaksu un tās noteikšanas kārtību, kā arī par profesijām un specifiskajām jomām, kurām piemērojams tirgus koeficients”, 6.2. un 6.3.apakšpunktu, ņemot vērā amata vērtību (atbildības līmeni un sarežģītību) un konkrētās amatpersonas (darbinieka) individuālās kvalifikācijas, kompetenču un darba snieguma līmeni, kā arī tiešās pārvaldes iestāžu amatpersonu (darbinieku) līdzīgas atbildības un sarežģītības amatiem noteiktās mēnešalgas un regulāro darba apjomu, mēnešalgu nosakot atbilstoši darbinieku ieguldījumam un slodzei. Diemžēl muzejs saskaras ar situāciju, ka, lai augsti kvalificēti darbinieki nepieņemtu lēmumu atstāt darbu muzejā, kā arī, lai varētu piesaistīt jaunus profesionālus darbiniekus, muzeja piedāvātai mēnešalgai būtu jāpārsniedz mēnešalgu grupas intervāla viduspunkts iepriekš minētā iemesla – patēriņa cenu pieauguma dēļ, jo daudzi darbinieki nedzīvo muzeja tuvumā, bet brauc no tālākām pilsētām, kas rada papildu izdevumus. Muzejam nav iespējams samazināt darbinieku skaitu, tādējādi palielinot atlīdzībām paredzēto finanšu līdzekļu apjomu, jo muzejisko pamatfunkciju nodrošināšanai, kā arī Rundāles pils ansambļa kā vienota 18.gadsimta arhitektūras, monumentāli dekoratīvās mākslas pieminekļa uzturēšanai, Baltijas lielākā vēsturiskā dārza ar rozāriju kopšanai un uzturēšanai, nepieciešamais cilvēkresursu skaits arī šobrīd ir nepietiekams. Šobrīd valsts budžeta dotācija sedz 74% no muzeja darbinieku atlīdzībām un 26% tiek segti no muzeja pašu ieņēmumiem. Atbalsta funkciju – uz noteiktu laiku nodarbināto darbinieku (eksponātu uzraugi, biļešu kontrolieri, dārzkopji, labiekārtošanas strādnieki u.c.) atlīdzība tiek nodrošināta no muzeja pašu ieņēmumiem, katru gadu plānojot pakāpenisku atlīdzības pieaugumu. Uz noteiktu laiku nodarbināto atlīdzībai gadā tiek tērēti 13% no muzeja atlīdzības budžeta. Mainot muzeja statusu, būtu iespējams elastīgāk izmantot pašu ieņēmumu daļu, tai skaitā novirzot to atlīdzības nodrošināšanai nepieciešamā apjomā. Muzejam šobrīd esošajā valsts iestādes statusā, lai veiktu šādas muzejam piešķirto valsts budžeta līdzekļu korekcijas, tās ir jāsaskaņo ar Kultūras ministriju un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Muzejs reorganizācijas rezultātā, kļūstot par valsts muzeju – atvasinātu publisku personu, varēs efektīvāk plānot savus ieņēmumus, ņemot vērā tirgus situāciju, kā arī elastīgāk rīkoties ar pašu ieņēmumiem tos novirzot aktuālāko un nepieciešamāko izdevumu pozīciju segšanai. Muzejs arī turpmāk (strādājot valsts muzeja – atvasinātas publiskas personas statusā) noteiks darbinieku atlīdzības atbilstoši Valsts un pašvaldību institūciju amatpersonu un darbinieku atlīdzības likuma 11.panta pirmajai daļai un klasificēs amatus atbilstoši Ministru kabineta 2022.gada 26.aprīļa noteikumiem Nr.262 “Valsts un pašvaldību institūciju amatu katalogs, amatu klasifikācijas un amatu apraksta izstrādāšanas kārtība”, nosakot mēnešalgu ņemot vērā amata atbildības līmeni un sarežģītību, konkrētā darbinieka individuālās kvalifikācijas, kompetenču un darba snieguma līmeni. Muzejs ir veicis muzeja cilvēkresursu stipro pušu, vājo pušu, iespēju un draudu analīzi, kā arī pašreizējās situācijas analīzi attiecībā uz amatu katalogu un personāla izmaksām, kas atspoguļota Projekta sākotnējās ietekmes (ex-ante) novērtējuma ziņojuma (anotācijas) 1.pielikumā “Rundāles pils muzeja kā atvasinātas publiskas personas cilvēkresursu SVID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sekojošu teikumu: "6) atbilstoši Ministru kabineta noteikumu amatu katalogam muzeju darbinieki ir ierindoti zemās mēnešalgu grupās, kas ierobežo īstenot elastīgu atalgojuma politiku attiecībā uz pieredzējušiem un augstas profesionalitātes speciālistiem", jo minētais neatbilst patiesībai. Vēršam uzmanību, ka amatu katalogs paredz amata klasificēšanu atbilstošā amatu saimē un līmenī pēc amata pienākumiem un, balstoties uz to, tiek noteikta mēnešalgu grupa. Savukārt mēnešalgas apmēru nosaka, izmantojot algu skalu katrai mēnešalgu grupai. Mēnešalgu skalā ir paredzēts intervāla minimums, viduspunkts un maksimums, kur viduspunkts ir konkurētspējīga mēnešalga ar līdzīgas vērtības darbu privātajā sektorā. Situācijās ja darbinieks ir īpaši kompetents vai šādu speciālistu ir grūti piesaistīt vai ir kādi citi pamatoti iemesli, iestādē var noteikt mēnešalgas apmēru, kas nepārsniedz skalas intervāla maksimumu. Arī šobrīd, veidojot darba samaksas sistēmu, iestādes vadītājam ir dota rīcības brīvība, balstoties uz iestādes izstrādātajiem kritērijiem, noteikt nodarbinātajam mēnešalgu atblstoši viņa darba sniegumam u.c kritērijiem. Mainoties bāzes algas apmēram arī mēnešalgu skala katru gadu mainās, piem. veidojot budžeta projektu 2023.gadam tika ieplānots, ka pieaugums 2024.gadam pret 2023.gadu ir 6% (nostiprināts 2023.gada budžeta likumā), analoģiski tika paredzēts arī 6% pieaugums 2025.gadam pret 2024.gadu, bet ņemot vērā ekonomiskās izaugsmes prognozes šobrīd veidojot budžeta projektu 2025.gadam tiek plānots, ka 2025.gada pieaugums būs 2,6% pret 2024.gadu (par ko lēma arī MK 27.08.2024. sēdē).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Vēršama uzmanība, ka saskaņā ar iestādes sniegtajiem datiem Atlīdzibas uzskaites sistēmā, kuru uztur Valsts kanceleja (dati uz 31.08.2024.), vidējais mēnešalgas apmērs nodarbinātajiem (veicot pamatfunkciju darbu, bet neietverot atbalsta funkcijas un iestādes vaditāju) ir 81,09% no skalas viduspunkta. Savukārt, vērtējot atbalsta funkciju veicējiem noteikto mēnešalgas apmēru pret skalas viduspunktu tā ir 79%.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norādītais teikums ir nepatiess, jo nekas neliedz iestādes vadītājam, balstoties uz iestādes darba samaksas sistēmu, noteikt lielākas mēnešalgas nodarbinātajiem.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vēlamies norādīt, ka lai ieviestu atlīdzības reformu un nodarbinātajiem nebūtu mēnešalga zem skalas intervāla minimuma Valsts kancelejas virzītajā horizontālajā prioritārajā pasākumā par virzību uz konkurētspējīgu atlīdzību  2023.gadam un turpmākajiem gadiem Rundāles pils muzejam tika piešķirts papildu finansējums atlīdzībai  44 339 euro (12 mēnešu finansējums), lai turpinātu atlīdzības reformas ieviešanas gaitu un nodrošinātu arī turpmāku virzību uz konkurētspējīgu atlīdzību (virzoties uz algu skalas viduspunktu) 2024.gadam papildu piešķirti 49 747euro un turpmāk ik gadu, 2025.gadam - 41 755 euro un turpmāk ik gadu, 2026.gadam 41 243  euro un turpmāk ik gadu.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apakšsadaļā “Problēmas apraksts” svītrots norādītais teikums.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viens no anotācijas 1.3. sadaļā minētajiem šķēršliem ir amatu katalogs un secīgi zems atalgojums ("6) atbilstoši Ministru kabineta noteikumu amatu katalogam muzeju darbinieki ir ierindoti zemās mēnešalgu grupās, kas ierobežo īstenot elastīgu atalgojuma politiku attiecībā uz pieredzējušiem un augstas profesionalitātes speciālistiem;"), lūdzam papildināt pielikumu ar analīzi attiecībā uz amatu katalogu un personāla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Sagatavots jauns Projekta sākotnējās ietekmes (ex-ante) novērtējuma ziņojuma (anotācijas) 1.pielikums “Rundāles pils muzeja kā atvasinātas publiskas personas cilvēkresursu SVID analīze”.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Rundāles pils muzeja reorganizāciju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rīkojumā iekļaut atsauci uz tiesību aktiem (likumi.lv), tas ir, atsauci uz tīmekļa vietnes likumi.lv publicēto tiesību aktu. Skat: https://vktap.mk.gov.lv/help/ka-pievienot-atsauci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Rundāles pils muzeja reorganizāciju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mēneša laikā pēc šā rīkojuma stāšanās spēkā izveidot muzeja reorganizācijas komisiju (turpmāk – komisija), iekļaujot tajā arī muzeja pārstāvjus. Komisijai līdz 2024. gada 28. decembrim nodrošināt muzeja materiālo un finanšu līdzekļu inventarizāciju, muzeja krājumā ietilpstošo priekšmetu esības pārbaudi, mantas vērtības un saistību apjoma noteikšanu, kā arī bilancē esošās mantas, saistību, slēguma finanšu pārskatu sagatavošanu un arhīva un lietvedības nodošanu muzejam – atvasinātai publiskai personai.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- 20.11.2024.)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nebūtu precizējams mēneša termiņš (</w:t>
            </w:r>
            <w:r w:rsidR="00000000" w:rsidRPr="00000000" w:rsidDel="00000000">
              <w:rPr>
                <w:i w:val="1"/>
                <w:rtl w:val="0"/>
              </w:rPr>
              <w:t xml:space="preserve">piemēram, aizstājot ar "piecu dienu laikā"</w:t>
            </w:r>
            <w:r w:rsidR="00000000" w:rsidRPr="00000000" w:rsidDel="00000000">
              <w:rPr>
                <w:rtl w:val="0"/>
              </w:rPr>
              <w:t xml:space="preserve">), ņemot vērā, ka rīkojuma projekts stāsies spēkā iespējams tikai decembra sākumā, bet izveidotajai Komisijai nepieciešams jau līdz 2024. gada 28. decembrim paveikt noteiktas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būtu precizējams arī rīkojuma projekta sākotnējās ietekmes novērtējuma ziņojums (anotācija).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2.punkts precizēts atbilstoši Valsts kancelejas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ministrijai piecu dienu laikā pēc šā rīkojuma stāšanās spēkā izveidot muzeja reorganizācijas komisiju (turpmāk – komisija), iekļaujot tajā arī muzeja pārstāvjus. Komisijai līdz 2024. gada 28. decembrim nodrošināt muzeja materiālo un finanšu līdzekļu inventarizāciju, muzeja krājumā ietilpstošo priekšmetu esības pārbaudi, mantas vērtības un saistību apjoma noteikšanu, kā arī bilancē esošās mantas, saistību, slēguma finanšu pārskatu sagatavošanu un arhīva un lietvedības nodošanu muzejam – atvasinātai publiskai personai.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Muzeja – atvasinātās publiskās personas – darbībai nepieciešamo finansējumu nodrošināt šā rīkojuma 4. punktā minētā deleģēšanas līguma ietvaros atbilstoši Kultūras ministrijas valsts budžeta līdzekļiem. Ar muzeja reorganizāciju saistītos izdevumus segt no muzejam 2024. gadam piešķirtajiem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informācijas dublēšanos, ir svītrojams rīkojuma projekta 5.punkta pirmais teikums, ņemot vērā, ka rīkojuma projekta 4.punktā, attiecībā uz valsts budžeta līdzekļu nodrošināšanu noteiktu valsts pārvaldes funkciju īstenošanai vai uzdevumu pildīšanai, jau ir iekļauta atsauce uz Muzeju likuma 14. panta 1.</w:t>
            </w:r>
            <w:r w:rsidR="00000000" w:rsidRPr="00000000" w:rsidDel="00000000">
              <w:rPr>
                <w:vertAlign w:val="superscript"/>
                <w:rtl w:val="0"/>
              </w:rPr>
              <w:t xml:space="preserve">1</w:t>
            </w:r>
            <w:r w:rsidR="00000000" w:rsidRPr="00000000" w:rsidDel="00000000">
              <w:rPr>
                <w:rtl w:val="0"/>
              </w:rPr>
              <w:t xml:space="preserve">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muzeja reorganizāciju saistītos izdevumus segt no muzejam 2024. gadam piešķirtajiem valsts budžeta līdzekļiem.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anotācijā ir norādīts, ka “Muzejs izvietots Rundāles pils apbūves ansamblī, kas sastāv no 19 ēkām un 85 ha lielas teritorijas. Nekustamais īpašums ierakstīts zemesgrāmatā uz valsts vārda Finanšu ministrijas personā. Muzeja pārziņā ir ekspozīcija “Kurzemes hercogu kapenes Jelgavas pilī”, kas atrodas Jelgavas pilī. Jelgavas pils ir ierakstīta zemesgrāmatā uz valsts vārda Zemkopības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Tiesiskai skaidrībai, lūdzam identificēt valsts nekustamos īpašumus, kuros atrodas valsts muzejs, papildinot anotāciju ar nekustamā īpašuma adresi, kadastra Nr., un zemesgrāmatas nodalījuma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Attiecībā uz Finanšu ministrijas valdījumā esošo nekustamo īpašumu, lūdzam anotācijā iekļaut informāciju šādā redakcijā:</w:t>
            </w:r>
            <w:r w:rsidR="00000000" w:rsidRPr="00000000" w:rsidDel="00000000">
              <w:rPr>
                <w:b w:val="1"/>
                <w:rtl w:val="0"/>
              </w:rPr>
              <w:t xml:space="preserve">“Nekustamais īpašums “Rundāles pils muzejs” (nekustamā īpašuma kadastra Nr. 4076 003 0354 )- Rundāles pagastā, Bauskas novadā, ierakstīts Rundāles pagasta zemesgrāmatas nodalījumā  Nr. 411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precizēta informācija Projekta sākotnējās ietekmes (ex-ante) novērtējuma ziņojuma (anotācijas) 1.sadaļas “Tiesību akta projekta izstrādes nepieciešamība” 1.3.punkta “Pašreizējā situācija, problēmas un risinājumi” apakšsadaļā “Pašreizējā situācija”.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Kultūras ministriju sadarbībā ar Rundāles pils muzeju sniegt informāciju par  Rundāles pils muzeja – kā  atvasinātas publiskas personas, redzējumu valsts akciju sabiedrības “Valsts nekustamie īpašumi” piederošo nekustamo īpašumu (nekustamā īpašuma kadastra Nr 4072 004 0063) “Mežotnes Pils”, Mežotnes pagastā, Bauskas novadā, un funkcionāli saistīto nekustamo īpašumu (nekustamā īpašuma kadastra Nr. 4072 004 0082 ) – Pils ielā 5, Mežotnes pagastā, Bauskas novadā,  iekļaut Rundāles pils muzeja struktūrā, ņemot vērā jau iepriekš izrādīto interesi un Mežotnes pils kompleksa nākotnes attīstības stratēģijas ideju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Lūdzam ar atbilstošu informāciju papildināt rīkojuma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1.sadaļas “Tiesību akta projekta izstrādes nepieciešamība” 1.3.punkta “Pašreizējā situācija, problēmas un risinājumi” apakšsadaļa “Pašreizējā situācija” papildināta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muzeja un sabiedrības pārstāvju izteikto iniciatīvu Kultūras ministrija ar 2024.gada 7.jūnija rīkojumu Nr.2.5-1-70 “Par darba grupas izveidi konceptuālā ziņojuma par Mežotnes pils tālākās izmantošanas scenārijiem izstrādei” izveidoja darba grupu priekšlikumu un risinājumu izstrādei Mežotnes pils izmantošanai, tai skaitā Mežotnes pils kā Rundāles pils muzeja filiāles attīstībai, kurā ir iekļauti Kultūras ministrijas, muzeja, Bauskas novada pašvaldības, valsts akciju sabiedrības “Valsts nekustamie īpašumi”, Nacionālās kultūras mantojuma pārvaldes un Finanšu ministrijas pārstāvji. Muzejs kā vienu no nākotnes attīstības virzieniem paredz Mežotnes pils kompleksa pārņemšanu, lai tur izveidotu muzeja filiāli, izvērtējot iespējas izmantot Mežotnes pils kompleksa infrastruktūru. Līdzīgi kā Rundāles pils apbūvei arī Mežotnes pils kompleksam piemīt augsta pievienotā kultūrvēsturiskā un arhitektoniskā vērtība un to ieskauj vēsturiski veidots parks un ainaviska dabas teritorija. Muzeja ieskatā Mežotnes pils kompleksam, sasaistē ar citām apskates un atpūtas vietām Bauskas novadā piemīt augsts tūrisma potenciāls.”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projekts skar arī muzeja apmeklētājus.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2.sadaļas “Tiesību akta projekta ietekmējamās sabiedrības grupas, ietekme uz tautsaimniecības attīstību un administratīvo slogu” 2.1.punktā “Sabiedrības grupas, kuras tiesiskais regulējums ietekmē, vai varētu ietekmēt” papildināta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precizējama informācija anotācijas III sadaļā “Tiesību akta projekta ietekme uz valsts budžetu un pašvaldību budžetiem”, 5., 7. un 8.kolonnas 1., 1.1., 2. un 2.1.apakšpunktā norādot plānoto finansējumu no ieņēmumiem no maksas pakalpojumiem un citiem pašu ieņēmumiem ar “-”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3.sadaļas "Tiesību akta projekta ietekme uz valsts budžetu un pašvaldību budžetiem" 5., 7. un 8.kolonnas 1., 1.1., 2. un 2.1.apakšpunktā ir precizēta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7.2. punkta administratīvo izmaksu monetārā novērtējuma aprēķinu skaidrojumā ir norādīts, ka administratīvās izmaksas pēc būtības nepalielinās un administratīvās procedūras tiek nodrošinātas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iekļauto skaidrojumu, lūdzam norādīt, uz kuru rīkojuma projekta punktu skaidrojums ir attiecināms, ņemot vērā to, ka saskaņā ar Ministru kabineta 2021. gada 7. septembra noteikumu Nr. 617 “Tiesību akta projekta sākotnējās ietekmes izvērtēšanas kārtība” (turpmāk - noteikumi Nr. 617)16. punktu administratīvās izmaksas ir izmaksas, ko rada informācijas sniegšanas pienākumi un to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rīkojuma projektā nav iekļauti informācijas sniegšanas pienākumi, līdz ar ko administratīvo izmaksu monetārs novērtējums nav aizpildāms.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7.sadaļā “Tiesību akta projekta izpildes nodrošināšana un tās ietekme uz institūcijām” precizēta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- 29.10.2024.)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7.3. punkta atbilstības izmaksu monetārā novērtējuma aprēķinu skaidrojumā ir norādīts, ka atbilstības izmaksas pēc būtības nepalielinās un administratīvās procedūras tiek nodrošinātas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iekļauto skaidrojumu, lūdzam norādīt, uz kuru rīkojuma projekta punktu skaidrojums ir attiecināms, ņemot vērā to, ka saskaņā ar Ministru kabineta 2021. gada 7. septembra noteikumu Nr. 617 “Tiesību akta projekta sākotnējās ietekmes izvērtēšanas kārtība” (turpmāk - noteikumi Nr. 617)18. punktu atbilstības izmaksas rodas, lai nodrošinātu projektā ietverto atbilstības prasību izpildi un tās ir prasības, kas ietvertas tiesiskajā regulējumā un kuru izpildes rezultātā mērķa grupām rodas izmaksas (atbilstības izmaksas neietver iemaksas valsts budžetā, nodokļus, nodevas vai maksas pakalpojumus).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rīkojuma projektā nav iekļautas atbilstības nodrošināšanas prasības, līdz ar ko atbilstības izmaksu monetārs novērtējums nav aizpildāms.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sākotnējās ietekmes (ex-ante) novērtējuma ziņojuma (anotācijas) 7.sadaļā “Tiesību akta projekta izpildes nodrošināšana un tās ietekme uz institūcijām” precizēta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Atbilstības izmaksu monetārs novērtējums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24-TA-2644</w:t>
    </w:r>
    <w:r>
      <w:br/>
    </w:r>
    <w:r w:rsidR="00000000" w:rsidRPr="00000000" w:rsidDel="00000000">
      <w:rPr>
        <w:rtl w:val="0"/>
      </w:rPr>
      <w:t xml:space="preserve">27.11.2024. 16.45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24-TA-2644</w:t>
    </w:r>
    <w:r>
      <w:br/>
    </w:r>
    <w:r w:rsidR="00000000" w:rsidRPr="00000000" w:rsidDel="00000000">
      <w:rPr>
        <w:rtl w:val="0"/>
      </w:rPr>
      <w:t xml:space="preserve">27.11.2024. 16.45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Izziņa_24-TA-2644.docx</dc:title>
</cp:coreProperties>
</file>

<file path=docProps/custom.xml><?xml version="1.0" encoding="utf-8"?>
<Properties xmlns="http://schemas.openxmlformats.org/officeDocument/2006/custom-properties" xmlns:vt="http://schemas.openxmlformats.org/officeDocument/2006/docPropsVTypes"/>
</file>