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(19.06.2026.)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07.07.2026. 10:08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 tam jābūt vērstam uz pozitīvām izmaiņām, ko paredzēts panākt un jāatspoguļo, kādus konkrētus uzlabojumus vai ieguvumus projekts radīs.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anotācijas 1.2.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apakšsadaļā “Problēmas apraksts” norādīts, ka vienā 3.1.2.1.i. investīcijas otrās kārtas projektā ir konstatēts gadījums, kad pēc projekta darbību pabeigšanas, mainoties dzīves apstākļiem, persona vairs nav spējusi viena to uzturēt un ir pārdevusi mājokli, kurā ir veikti pielāgojumi. Savukārt, tālāk tekstā tiek minēts, ka Labklājības ministrija 3.1.2.1.i. investīcijas otrajā kārtā nebija paredzējusi īpašus uzraudzības vai ilgtspējas nosacījumus, kā arī nav noteikts, cik ilgu laiku pēc mājokļa pielāgošanas mērķa grupai ir jāizmanto mājoklī veiktie vides pielāgojumi. Līdz ar to lūdzam papildināt anotāciju ar risinājumiem, kā Labklājības ministrija risinās šādus gadījumus un kādas darbības turpmāk tiks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Atveseļošanas un noturības mehānisma un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Ministru kabineta 2023. gada 5. septembra 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(turpmāk – MK noteikumi Nr. 512) neparedz īpašus ilgtspējas vai uzraudzības nosacījumus, tai skaitā nenosaka pienākumu mērķa grupas personai noteiktu laika periodu izmantot mājoklī veiktos vides pieejamības pielāgojumus. Tāpat ir jāņem vērā, ka projekta īstenošanas laikā, ņemot vērā mērķa grupas specifiku, var rasties objektīvi apstākļi, kurus nav iespējams iepriekš paredzēt, piemēram, personas dzīvesvietas maiņa, veselības stāvokļa izmaiņas vai citi sociālie apstākļi, kad mērķa grupas persona  nevar izmantot mājokli, kurā veikti vides pielāgojumi. Šie apstākļi arī faktiski pamato to, ka nav samērīgi noteikt pienākumu mērķa grupas personai izmantot pielāgoto mājokli noteiktu laika periodu pēc tā pielāgošanas.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anotācijā, konstatējot gadījumu, kad pēc projekta darbību pabeigšanas ir iestājušies apstākļi, kad persona vairs nevar izmantot projekta ietvaros tās mājoklī veiktos vides pielāgojumus un mājokli ir pārdevusi, Labklājības ministrija (turpmāk – LM) kopā ar Finanšu ministriju (turpmāk – FM) ir konsultējusies ar Eiropas Komisiju (turpmāk – EK) par šī konkrētā mājokļa iekļaušanu  115. atskaites punkta un 117. mērķrādītāja izpildē. No EK ir saņemta atbilde, saskaņojot pieeju, ka visi objektīvie gadījumi, kad persona vairs nevar izmantot vai neizmanto mājokli pēc darbu pabeigšanas (piemēram, personas nāve, ievietošana aprūpes iestādē, pacelšanās t.sk. mājokļa pārdošana pēc pielāgojumu veikšanas utt.) ir ieskaitāmi 115. atskaites punkta un 117. mērķrādītāja izpildē. Attiecīgi LM ar Centrālo finanšu un līgumu aģentūru (turpmāk – CFLA) ir vienojusies, ka, veicot 117. mērķrādītāja izpildes atbilstības pārbaudes, CFLA pārliecināsies par brīdi, kad attiecīgie apstākļi ir iestājušies. Sagatavojot Cover Note, balstoties uz EK norādēm, tiks iekļauta atzīme, ka attiecīgie gadījumi, kad persona vairs nevar izmantot projekta ietvaros tās mājoklī veiktos vides pielāgojumus, ir iestājušies jau pēc mājokļa pielāgošanas un visu liecību uzkrāšanas.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ieskatā papildu uzraudzības vai ilgtspējas nosacījumu noteikšana MK noteikumos Nr. 512 šajā brīdī, kad 3.1.2.1.i. investīcijas otrās kārtas īstenošana tuvojas noslēgumam, nav pamatota un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apakšsadaļas problēmas aprakstu, risinājuma aprakstu un projekta 4. punktu. Anotācijas 1.3. apakšsadaļas problēmas aprakstā norādīts, ka Eiropas Komisijas neoficiālais viedoklis ir: "</w:t>
            </w:r>
            <w:r w:rsidR="00000000" w:rsidRPr="00000000" w:rsidDel="00000000">
              <w:rPr>
                <w:i w:val="1"/>
                <w:rtl w:val="0"/>
              </w:rPr>
              <w:t xml:space="preserve">[..] visi objektīvie gadījumi, kad persona, [..], vairs nevar izmantot/neizmanto mājokli</w:t>
            </w:r>
            <w:r w:rsidR="00000000" w:rsidRPr="00000000" w:rsidDel="00000000">
              <w:rPr>
                <w:i w:val="1"/>
                <w:u w:val="single"/>
                <w:rtl w:val="0"/>
              </w:rPr>
              <w:t xml:space="preserve"> pēc darbu pabeigšanas</w:t>
            </w:r>
            <w:r w:rsidR="00000000" w:rsidRPr="00000000" w:rsidDel="00000000">
              <w:rPr>
                <w:i w:val="1"/>
                <w:rtl w:val="0"/>
              </w:rPr>
              <w:t xml:space="preserve"> [..] </w:t>
            </w:r>
            <w:r w:rsidR="00000000" w:rsidRPr="00000000" w:rsidDel="00000000">
              <w:rPr>
                <w:i w:val="1"/>
                <w:u w:val="single"/>
                <w:rtl w:val="0"/>
              </w:rPr>
              <w:t xml:space="preserve">ir attiecināmi un ieskaitāmi mērķrādītājā, ja nepieciešamie mājokļa vides pielāgojumi ir veikti pilnā apjomā</w:t>
            </w:r>
            <w:r w:rsidR="00000000" w:rsidRPr="00000000" w:rsidDel="00000000">
              <w:rPr>
                <w:i w:val="1"/>
                <w:rtl w:val="0"/>
              </w:rPr>
              <w:t xml:space="preserve"> [..]. Vienlaikus šie gadījumi fiksējami CoverNote par mērķrādītāja sasniegšanu, sniedzot informāciju, ka </w:t>
            </w:r>
            <w:r w:rsidR="00000000" w:rsidRPr="00000000" w:rsidDel="00000000">
              <w:rPr>
                <w:i w:val="1"/>
                <w:u w:val="single"/>
                <w:rtl w:val="0"/>
              </w:rPr>
              <w:t xml:space="preserve">attiecīgais fakts ir noticis pēc visu darbu pabeigšanas un liecību uzkrāšanas</w:t>
            </w:r>
            <w:r w:rsidR="00000000" w:rsidRPr="00000000" w:rsidDel="00000000">
              <w:rPr>
                <w:i w:val="1"/>
                <w:rtl w:val="0"/>
              </w:rPr>
              <w:t xml:space="preserve">. Mērķrādītājā </w:t>
            </w:r>
            <w:r w:rsidR="00000000" w:rsidRPr="00000000" w:rsidDel="00000000">
              <w:rPr>
                <w:i w:val="1"/>
                <w:u w:val="single"/>
                <w:rtl w:val="0"/>
              </w:rPr>
              <w:t xml:space="preserve">nav ieskaitāmi gadījumi, kad minētie apstākļi ir iestājušies pirms attiecīgo darbu pabeigšanas un nodošanas ekspluatācijā</w:t>
            </w:r>
            <w:r w:rsidR="00000000" w:rsidRPr="00000000" w:rsidDel="00000000">
              <w:rPr>
                <w:i w:val="1"/>
                <w:rtl w:val="0"/>
              </w:rPr>
              <w:t xml:space="preserve">, [..]</w:t>
            </w:r>
            <w:r w:rsidR="00000000" w:rsidRPr="00000000" w:rsidDel="00000000">
              <w:rPr>
                <w:rtl w:val="0"/>
              </w:rPr>
              <w:t xml:space="preserve">". Taču, skaidrojot plānoto risinājumu, nav uzsvērts objektīvo gadījumu iestāšanās brīža "</w:t>
            </w:r>
            <w:r w:rsidR="00000000" w:rsidRPr="00000000" w:rsidDel="00000000">
              <w:rPr>
                <w:i w:val="1"/>
                <w:rtl w:val="0"/>
              </w:rPr>
              <w:t xml:space="preserve">pēc darbu pabeigšanas pilnā apjomā un nodošanas ekspluatācijā</w:t>
            </w:r>
            <w:r w:rsidR="00000000" w:rsidRPr="00000000" w:rsidDel="00000000">
              <w:rPr>
                <w:rtl w:val="0"/>
              </w:rPr>
              <w:t xml:space="preserve">" nosacījums. Tāpat, arī projekta 4. punktā norādīts tikai uz to, ka pielāgojumiem vienkārši jābūt veiktiem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apakšsadaļas problēmu apraksta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turpmāko rīcību gadījumā, ja Eiropas Komisija neatbalsta Latvijas Atveseļošanas un noturības mehānisma plāna ceturtajā papildinājumā ietvertās 3.1.2.1.i. investīcijas "Publisko pakalpojumu un nodarbinātības pieejamības veicināšanas pasākumi cilvēkiem ar funkcionāliem traucējumiem" otrās kārtas "Atbalsta pasākumi cilvēkiem ar invaliditāti mājokļu vides pieejamības nodrošināšanai "117. mērķrādītāja" līdz 2026. gada 31. augustam nodrošināta pieejamība mājokļa videi 228 personām" vērtības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iespēju virzīt projektu apstiprināšanai Ministru kabinetā pēc tam, kad būs saņemts oficiāls saskaņojums no Eiropas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10. jūlijā Eirogrupas un Eiropas Savienības Ekonomisko un finanšu jautājumu padomes (ECOFIN) sanāksmē tika apstiprināti Latvijas virzītie grozījumi. Ņemot vērā iepriekš minēto, attiecīgas izmaiņas nepieciešams veikt arī MK noteikumos Nr. 512.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turpmāko rīcību gadījumā, ja Eiropas Komisija neatbalsta Latvijas Atveseļošanas un noturības mehānisma plāna ceturtajā papildinājumā ietvertās 3.1.2.1.i. investīcijas "Publisko pakalpojumu un nodarbinātības pieejamības veicināšanas pasākumi cilvēkiem ar funkcionāliem traucējumiem" otrās kārtas "Atbalsta pasākumi cilvēkiem ar invaliditāti mājokļu vides pieejamības nodrošināšanai "117. mērķrādītāja" līdz 2026. gada 31. augustam nodrošināta pieejamība mājokļa videi 228 personām" vērtības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ņemot vērā, ka no Eiropas Komisijas ir saņemts Padomes 2026.gada 7.jūlija Īstenošanas lēmums, ar ko groza Padomes 2021. gada 13. jūlija Īstenošanas lēmumu par Latvijas atveseļošanas un noturības plāna novērtējuma apstiprināšanu, kas paredz 117. mērķrādītāja “līdz 2026. gada 31. augustam nodrošināta pieejamība mājokļa videi 228 personām" vērtības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mērķa grupas personu skaits, kurām attiecīgajā pašvaldībā sniedzams atbalsts (pašvaldības kvota)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izsekojamības nolūkos aicinām papildināt anotāciju ar skaidrojumu, kādēļ netiek veikti grozījumi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1. pielikumā attiecībā uz tajā norādīto pašvaldībai apstiprināto mērķa grupas personu skaitu, kurām sniedzams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512 14. punktu šo noteikumu 1. pielikums tika izstrādāts, lai noteiktu mērķa grupas personu skaitu, par kuru finansējuma saņēmējs attiecīgajā pašvaldībā var iesniegt projekta iesniegumu. Attiecīgi, pamatojoties uz MK noteikumu Nr. 512 26.1. apakšpunktu, LM nosūtīja pašvaldībām uzaicinājumu iesniegt projektu iesniegumus atbilstoši noteikumu Nr. 512 1. pielikumā noteiktajam mērķa grupas personu skaitam. Līdz ar to MK noteikumu Nr. 512 1. pielikums kalpoja par pamata dokumentu 3.1.2.1.i. investīcijas otrās kārtas projektu iesniegumu atlases organizēšanai, un šis atlases process jau ir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iespējamās mērķa grupas personu izmaiņas 3.1.2.1.i. investīcijas otrās kārtas projektu īstenošanas laikā, jau sākotnēji MK noteikumu Nr. 512 19. punktā tika paredzēts Labklājības ministrijas organizēts mājokļu kvotu pārdales mehānisms starp pašvaldībām. Savukārt ar 2025. gada 28. janvārī apstiprinātajiem grozījumiem MK noteikumos Nr. 512 tika papildināts 19.1 punkts, paredzot iespēju piešķirt pašvaldībām papildu mājokļu kvotas virs sākotnēji noteiktajām minimāli nepieciešamajām 259 mājokļu kvotām. Vienlaikus MK noteikumu Nr. 512 35.5. apakšpunktā LM tika noteikts pienākums organizēt kvotu pārdali starp pašvaldībām un dokumentēt pieņemtos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spēkā esošie MK noteikumi Nr. 512 paredz mājokļu kvotu pārdales un dokumentēšanas kārtību, kuras rezultātā faktiskās pašvaldībām piešķirtās kvotas var atšķirties no MK noteikumu Nr. 512 1. pielikumā sākotnēji noteiktā sadalījuma.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512 19.1. punktu, Labklājības ministrija 2026. gada 25. martā nosūtīja 3.1.2.1.i. investīcijas otrās kārtas īstenošanā iesaistītajām pašvaldībām aicinājumu apzināt papildu mājokļus, kuros vēl nepieciešams nodrošināt vides pieejamību, ievērojot nosacījumu, ka 3.1.2.1.i. investīcijas otrās kārtas īstenošanas termiņš ir līdz 2026. gada 14. augustam (ieskaitot). Izvērtējot pašvaldību sniegto informāciju, LM 2026. gada 2. aprīlī nosūtīja vēstules septiņām pašvaldībām, piešķirot tām papildu mājokļu kvotas.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2026. gada aprīļa līdz šim brīdim vairākās pašvaldībās ir mainījusies faktiskā situācija saistībā ar mājokļu pielāgošanas iespējām un mērķa grupas personu vajadzībām. Tā rezultātā sākotnēji plānoto 12 papildu kvotu vietā iepirkumu procedūras un mājokļu pielāgošanas darbi faktiski tiek īstenoti tikai attiecībā uz 9 papildu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ir konstatēti gadījumi, kad objektīvu apstākļu dēļ sākotnēji plānotais mājoklis, kas bija iekļauts pamata kvotu sarakstā, tiek aizstāts ar mājokli no papildu kvotu saraksta. Līdz ar to faktiskais pielāgojamo mājokļu sadalījums (pamata kvotu un papildu kvotu) pašvaldību projekta īstenošanas gaitā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mājokļu kvotu sadalījums projekta īstenošanas laikā ir dinamisks un tiek precizēts atbilstoši faktiskajai situācijai pašvaldībās, izmantojot MK noteikumos Nr. 512 paredzētos kvotu pārdales un administrēšanas mehānismus. Līdz ar to nav pamata precizēt MK noteikumu Nr. 512 1. pielikumu, jo tas ir izpildījis savu sākotnējo funkciju projektu atlases posmā, savukārt turpmākās izmaiņas tiek nodrošinātas atbilstoši noteikumos paredzētajai kvotu pārdales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dinamiski mainās pamatkvotu un papildu piešķirto kvotu skaits (iepriekš minēto iemeslu dēļ), kā arī vairākas pašvaldības ir lūgušas pagarināt mājokļu pielāgošanu līdz 2026. gada 15. novembrim (ieskaitot), LM ir konstatējusi, ka ir nepieciešami precizējumi MK 512 19.2 punktā. LM ieskatā šobrīd MK 19.2 punktā noteiktais ierobežo LM iespējas pagarināt mājokļu pielāgošanu līdz 2026. gada 15. novembrim (ieskaitot) par visu starpību, ko veido pielāgojamo mājokļu un sasniedzamā mērķrādītāja skaits. Proti, šobrīd MK noteikumu Nr. 19.2 punkts nosaka, ka mērķa grupas personām pielāgoto mājokļu skaits no 2026. gada 15. augusta (ieskaitot) līdz 2026. gada 15. novembrim (ieskaitot) nepārsniedz MK noteikumu Nr. 512 19.2 punktā minēto papildu kvotu skaitu. Taču starpību, ko veido pielāgojamo mājokļu un sasniedzamā mērķrādītāja skaits, veido ne tikai mājokļi, kas tiek pielāgoti papildu kvotu ietvaros, bet arī pamata mājokļi. Tāpēc nepieciešams redakcionāli precizēt MK noteikumu 19.2 punktu un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mērķa grupas personu skaits, kurām attiecīgajā pašvaldībā sniedzams atbalsts (pašvaldības kvota)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(23.04.2026.)</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26-TA-1454</w:t>
    </w:r>
    <w:r>
      <w:br/>
    </w:r>
    <w:r w:rsidR="00000000" w:rsidRPr="00000000" w:rsidDel="00000000">
      <w:rPr>
        <w:rtl w:val="0"/>
      </w:rPr>
      <w:t xml:space="preserve">04.08.2026. 15.24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26-TA-1454</w:t>
    </w:r>
    <w:r>
      <w:br/>
    </w:r>
    <w:r w:rsidR="00000000" w:rsidRPr="00000000" w:rsidDel="00000000">
      <w:rPr>
        <w:rtl w:val="0"/>
      </w:rPr>
      <w:t xml:space="preserve">04.08.2026. 15.24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Izziņa_26-TA-1454.docx</dc:title>
</cp:coreProperties>
</file>

<file path=docProps/custom.xml><?xml version="1.0" encoding="utf-8"?>
<Properties xmlns="http://schemas.openxmlformats.org/officeDocument/2006/custom-properties" xmlns:vt="http://schemas.openxmlformats.org/officeDocument/2006/docPropsVTypes"/>
</file>