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23-TA-1895: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2.2.3.5.pasākuma “Gaisa piesārņojuma samazināšanas pasākumi pašvaldībās” projektu iesniegumu vērtēšanas kritēriju kopā ir iekļauts kritērijs, kas paredz vērtēt, vai projektam ir veikts projekta ietekmes uz tautsaimniecību novērtējums, nodrošinot projekta rezultātu ilgtspēju, vienlaikus paredzot novērtējuma pielikumā attiecībā uz aprēķiniem par projekta īstenošanas finanšu/ekonomiskajiem ieguvumiem pievienot izmaksu un ieguvumu analīzi.  Vēršam uzmanību uz Ministru kabineta 2023. gada 13. jūlija sēdes protokollēmumā (prot. Nr. 36 85. § 3. punkts) noteikto – proti, lai veicinātu Eiropas Savienības fondu projektu izvērtējuma par izmaksu un ieguvumu analīzi veikšanu ne tikai gadījumos, kad Eiropas Savienības fondu projekta ietvaros plānots gūt neto ieņēmumus, atbildīgā iestāde, izstrādājot Ministru kabineta noteikumu projektu par specifiskā atbalsta mērķa īstenošanu, paredz nepieciešamību finansējuma saņēmējam veikt izvērtējumu par izmaksu un ieguvumu analīzi Eiropas Savienības fondu projektiem, kuru atlase paredzēta ierobežotas projektu iesniegumu atlases veidā un projekta kopējās izmaksas (ieskaitot Pievienotās vērtības nodokli) pārsniedz 1 miljonu euro. Atbildīgā iestāde minēto risinājumu var nepiemērot, ja to objektīvi un izvērsti pamato Ministru kabineta noteikumu par specifisko atbalsta mērķa īstenošanu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analīze pēc būtības ir nepieciešama, lai noteiktu, vai plānotajā projektā gaidāmie ieguvumi (finanšu vai sociālekonomiskie) ir lielāki par projekta izmaksām visā projekta dzīves ciklā. Parasti publiskās pārvaldes projekti finansiāli rada zaudējumus, tādēļ vienīgais to attaisnojošais iemesls ir gaidāmie sociālekonomiskie ieguvumi no projekta jeb labums sabiedrībai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piemēri potenciālajiem ieguvumiem būtu meklējami valsts pārvaldes izmaksu, kas nepieciešami funkciju veikšanai, ietaupījumā (salīdzinot situāciju ar projektu un bez projekta),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uzlabojot atbalsta sistēmu, uzlabojot speciālistu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samazinot personu skaitu, kurām nepieciešama palīdzība vai papildus palīdzība, kā rezultātā rodas ietaupījumi valsts budžetā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nepieciešamību papildināt noteikumu projektu ar normu, kas paredz, ka finansējuma saņēmējs veic izmaksu un ieguvumu analīzi. Atbilstoši lūdzam papildināt arī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anotācijā 1.3.sadaļā un papildināts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tautsaimniecību novērtējums uzskatāms par izmaksu un ieguvumu analīzei līdzvērtīgu projekta ekonomiskā novērtējuma dokumentu, ievērojot projekta raksturu (pašvaldības funkciju nodrošināšanai nav peļņas aspekta u.c.), vienlaikus projekta iesniedzējs netiek ierobežots un var ietekmes uz tautsaimniecību novērtējuma pielikumā attiecībā uz aprēķiniem par projekta īstenošanas finanšu/ekonomiskajiem ieguvumiem pievienot izmaksu un ieguvumu analīzi. Savukārt, ja projektā paredzēta siltumapgādes un ūdenssaimniecības pieslēgumu ierīkošana, tad projekta iesniedzējs ietekmes uz tautsaimniecību novērtējuma pielikumā pievieno izmaksu un ieguvumu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projekts paredz nosacījumu veikt vispārīgu ietekmes uz tautsaimniecību novērtējumu aprakstošā formā, kas pamato primāri izvēlētos pasākumus, novērtējot to atdevi un ietekmi uz galvenajiem ietekmētajiem faktoriem, tai skaitā, mērķa grupas vajadzības un risināmās vides problēmas, norādot finansiāla rakstura ieguvumus, t.sk. ar kvantitatīviem rādītājiem, no izveidotās infrastruktūras vai pasākumiem, (piemēram, sociālekonomiskie ieguvumi publiskās teritorijas labiekārtošanas vai pilsētvides sakopšanas dēļ,  samazinātās izmaksas pašvaldībām un iedzīvotājiem, iegūtais darba laiks, ko veselības problēmu un ārstu apmeklējumu dēļ radītu nesamazinātais gaisa piesārņojums). Šajā novērtējumā ir ietverts arī projekta rezultātu apraksts un  kvantitatīva ietekme uz gaisa kvalitātes mērķrādītājiem vai pievienots apliecinājums par datu sagatavošanu projekta 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tiks izpildīts nosacījums par nepieciešamību finansējuma saņēmējam veikt izmaksu un ieguvumu analīzi Eiropas Savienības fondu projektiem, kuru atlase paredzēta ierobežotas projektu iesniegumu atlases veidā un projekta kopējās izmaksas (ieskaitot pievienotās vērtības nodokli) pārsniedz 1 miljonu euro, kā to nosaka 2023. gada 13. jūlija (prot. Nr. 36 85. §) MK sēdes protokollēmuma (22-TA-2143)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rezultāta rādītāja vērtību nosaka attiecīgās valstspilsētas iedzīvotāju blīvumu reizinot ar attiecīgās valstspilsētas projekta īstenošanas darbībām attiecināmo teritoriju. Vērtību uzskata par sasniegtu projekta pēcuzraudzības pirmā gada beigās ņemot vērā demogrāfisko izmaiņu ietekmi uz vērtības izmaiņām. Rezultāta rādītāja vērtība valstspilsētā nepārsniedz konkrētās valstspilsētas iedzīvotāju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Rezultatīvā rādītāja vērtības aprēķina apraksts nav atbilstošs MK noteikumu anotācijā norādītajam: iedzīvotāju blīvumu (iedzīvotāji/kvadrātkilometru) reizina ar kvadrātkilometriem un noteikto koeficientu (piemēram, teritorijas labiekārtošanas izmaksu gadījumā ar 6,25 un siltumapgādes pieslēgumu ierīkošanas un ar to saistītās jaudas palielināšanas gadījumā ar 0,13). Lūdzu precizēt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rezultāta rādītāja vērtību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ja pirmajai atlases kārtai pieejamais Eiropas Reģionālās attīstības fonda finansējums netiek izlietots vai otrā projektu iesniegumu atlase netiek izsludināta vai pieejamais finansējums netiek pilnībā izlietots, tad pieejamo finansējumu novirza pirmajā kārtā apstiprināto projektu papildus darbību finansēšanai, tai skaitā, lai sasniegtu vismaz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noteikto rādītāju;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norādīt rīcību noteikumu projekta 12.4.apakšpunktā noteikto papildu darbību iekļaušanai, t.sk., vai papildu darbības jau sākotnēji tiks ietvertas projektā, kādas darbības varēs uzskatīt par papildus darbībām. Vēršam uzmanību, ka noteikumu projekta 12.4.apakšpunktā ietvertajam nosacījumam par finansējuma novirzīšanu papildu darbību īstenošanai  nav viennozīmīgi skaidri izsekojama veicamā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ja pirmajai atlases kārtai pieejamais Eiropas Reģionālās attīstības fonda finansējums netiek izlietots, tad pieejamo finansējumu novirza vienlīdzīgi Rīgas valstspilsētai un Liepājas valstspilsētai (katrai 50 procentu apmērā) pirmajā kārtā apstiprināto projektu papildus darbību finansēšanai, tai skaitā, lai sasniegtu vismaz šo noteikumu </w:t>
            </w:r>
            <w:r w:rsidR="00000000" w:rsidRPr="00000000" w:rsidDel="00000000">
              <w:rPr>
                <w:rtl w:val="0"/>
              </w:rPr>
              <w:t xml:space="preserve">6.</w:t>
            </w:r>
            <w:r w:rsidR="00000000" w:rsidRPr="00000000" w:rsidDel="00000000">
              <w:rPr>
                <w:rtl w:val="0"/>
              </w:rPr>
              <w:t xml:space="preserve"> punktā noteikto rādītāju;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slēdzot rakstisku sadarbības līgumu, var piesaistīt šādus sadarbības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vai papildināt noteikumu projekta 18.punktu ar nosacījumu, ka projekta iesniedzējs ar sadarbības partneri slēdz rakstveida sadarbības līgumu par pušu pienākumiem, tiesībām un atbildību projekta mērķa un rādītāju sasniegšanā atbilstoši normatīvajiem aktiem par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noteikumu projekta 18. punkta secināms, ka sadarbības līgums tiks slēgts vēl pirms projekta iesnieguma iesniegšanas sadarbības iestādē. Ievērojot minēto, lūdzam papildināt noteikumu projekta II nodaļu ar regulējumu, kas paredz, ka tiks slēgts nodomu protokols. Norma par nodomu protokola slēgšanu būtu izsakāma, piemēram, šādā redakcijā (punktu numerāciju precizējot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Ja līdz projekta iesnieguma iesniegšanas dienai nav noslēgts sadarbības līgums, projekta iesniegumam pievieno finansējuma saņēmēja un sadarbības partnera noslēgtu nodomu protokolu. Nodomu protokolā iekļauj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x.1. apņemšanos sadarboties projekta īstenošanā, tai skaitā noslēgt sadarbības līgumu, ja projekta iesniegums tiks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x.2. norādi par sadarbības partnera veicamajiem pienākumiem šo noteikumu y. punktā minēto atbalstāmo darbību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x.3. kārtību, kādā veicami norēķini ar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x.4. kārtību, kādā sagatavo un iesniedz attiecināmās izmaksas pamatojošos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sadarbības līgums tiek slēgts pēc projekta iesnieguma apstiprināšanas, tad lūdzam aizstāt vārdus "projekta iesniedzējs" ar vārdiem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noteikumu projektā nav nepieciešams paredzēt nodoma protokolu, jo sadarbības līgumu var noslēgt arī ar nosacījumu, ka tas stājas spēkā, ja tiek apstiprināts konkrētais projekts. Papildus sadarbības līguma slēgšanā nav būtisku to laušanas risku, jo pasākumu īstenos ierobežotas atlases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slēdzot rakstisku sadarbības līgumu par pušu pienākumiem, tiesībām un atbildību projekta mērķa un rādītāju sasniegšanā atbilstoši normatīvajiem aktiem par kārtību, kādā Eiropas Savienības fondu vadībā iesaistītās institūcijas nodrošina šo fondu ieviešanu 2021.–2027. gada plānošanas periodā var piesaistīt šādus sadarbības partnerus: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valsts tiešās pārvaldes iestādi, kuras īpašumā, valdījumā vai turējumā ir zeme, kurā neveic saimniecisko darbību un kurā īstenos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20.2. apakšpunkts paredz, ka attiecīgo projektu cita starpā var īstenot sadarbībā ar valsts tiešās pārvaldes iestādi, kuras īpašumā, valdījumā vai turējumā ir zeme, kurā neveic saimniecisko darbību. Vēršam uzmanību, ka projekta 20.2. apakšpunktu un anotāciju nepieciešams precizēt atbilstoši Valsts pārvaldes iekārtas likuma 91. panta pirmajai daļai, kas noteic, ka publiskas personas manta atrodas iestādes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20.2. apakšpunkts precizēts, svītrojot atsauci uz zemes īpašumtiesībām. Savukārt, atsauce uz turējuma tiesībām ir saglabāta, lai ietvertu tos gadījumus, kad, piemēram, tiešās pārvaldes iestādes, kurām zeme ir nodota valdījumā, atbilstoši Publiskas personas finanšu līdzekļu un mantas izšķērdēšanas novēršanas likuma 6.2 panta noteikumiem  tālāk to ir nodevušās turējumā citai tiešās pārvaldes iestādei to funkciju izpildes nodrošināšanai attiecībā uz nekustamo īpašumu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valsts tiešās pārvaldes iestādi, kurai valstij piederošā zeme, kurā neveic saimniecisko darbību un kurā īstenos šo noteikumu </w:t>
            </w:r>
            <w:r w:rsidR="00000000" w:rsidRPr="00000000" w:rsidDel="00000000">
              <w:rPr>
                <w:rtl w:val="0"/>
              </w:rPr>
              <w:t xml:space="preserve">27.1.</w:t>
            </w:r>
            <w:r w:rsidR="00000000" w:rsidRPr="00000000" w:rsidDel="00000000">
              <w:rPr>
                <w:rtl w:val="0"/>
              </w:rPr>
              <w:t xml:space="preserve"> un </w:t>
            </w:r>
            <w:r w:rsidR="00000000" w:rsidRPr="00000000" w:rsidDel="00000000">
              <w:rPr>
                <w:rtl w:val="0"/>
              </w:rPr>
              <w:t xml:space="preserve">27.4.</w:t>
            </w:r>
            <w:r w:rsidR="00000000" w:rsidRPr="00000000" w:rsidDel="00000000">
              <w:rPr>
                <w:rtl w:val="0"/>
              </w:rPr>
              <w:t xml:space="preserve"> apakšpunktā minētās atbalstāmās darbības, nodota valdījumā vai turējumā.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Sadarbības partneris nodrošina izbūvētās infrastruktūras ekspluatāciju, rezultātu uzturēšanu un apsaimniekošanu pēc projekta īstenošanas (ja attiecināms) un var iesaistīties projekta īstenošanā ar tā īpašumā, valdījumā vai turējumā esošu nekustamo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nav ietverts pienākums finansējuma saņēmējam nodrošināt izbūvētās infrastruktūras ekspluatāciju, rezultātu uzturēšanu un apsaimniekošanu pēc projekta īstenošanas (ja attiecināms) un iespēja iesaistīties projekta īstenošanā ar tā īpašumā, valdījumā vai turējumā esošu nekustamo īpašumu. Lūdzam izvērtēt nepieciešamību papildināt noteikumu projektu ar iepriekš minēto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Sadarbības partneris var iesaistīties projekta īstenošanā: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Sadarbības partneris – siltumapgādes un (vai) ūdenssaimniecības sabiedrisko pakalpojumu sniedzējs – ar pašvaldību noslēdz pakalpojuma līgumu par siltumapgādes un (vai) ūdenssaimniecības sabiedrisko pakalpojumu sniegšanu. Pakalpojuma līgumā norāda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mērķi, lūdzam skaidrot, kāpēc pakalpojuma līgumā nav jānorāda veicamās darbības, kas tieši sekmētu projekta mērķi - gaisa kvalitātes uzlabošanu. Lūdzam izvērtēt nepieciešamību attiecīgi papildināt noteikumu projekta 20.punktu.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noteikumu projekta 22.punkta (bijušais 20.punkts) regulējums nav tieši saistāms ar projekta mērķi - gaisa kvalitātes uzlabošanu. 22.punkta regulējums ir prasības, kurām jābūt noteiktām sabiedrisko pakalpojumu sniegšanas līgumā. Šīs prasības sabiedrisko pakalpojumu sniedzējiem tiek noteiktas horizontāli arī citos investīciju MK noteikumos (skatīt: 23-TA-1822; 22-TA-3340) tāpēc, ka atbalsts ir iespējams arī projekta sadarbības partnerim - sabiedrisko pakalpojumu sniedzējam ar atbalstāmām izmaksām (ERAF atbalsta intensitāte 85%) – ārējo siltumapgādes un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ūdenssaimniecības  tīklu izbūvei. Siltumapgādes un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ūdenssaimniecības  ārējā infrastruktūra paliek sabiedrisko pakalpojumu sniedzēja īpašumā. Attiecīgi 20.punkta regulējums ir nepieciešams, lai noteiktu, vai piešķirtais atbalsts ir saderīgs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konkrētajā projektā veicamās darbības, kas sekmētu projekta mērķi - gaisa kvalitātes uzlabošanu tiks noteikts noteikumu projekta 19.punktā sadarbības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skaidrojumu par Komercdarbības atbalsta kontroles regulējumu vispārējas tautsaimnieciskas nozīmes pakalpojumu jomā lūdzam skatīt https://www.fm.gov.lv/lv/media/502/download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partneris – siltumapgādes un (vai) ūdenssaimniecības sabiedrisko pakalpojumu sniedzējs – ar pašvaldību ir noslēdzis pakalpojuma līgumu par siltumapgādes un (vai) ūdenssaimniecības sabiedrisko pakalpojumu sniegšanu. Pakalpojuma līgumā norāda vismaz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saskaņā ar projektu iesniegumu atlases nolikuma prasībām elektroniski sagatavo projekta iesniegumu un iesniedz to sadarbības iestādē, izmantojot Kohēzijas politikas fondu vadības informācijas sistēmu. Projekta iesniedzējs kopā ar projekta iesniegumu, līdzās citiem atlases nolikumā noteiktajiem dokumentiem, iesniedz projekta ietekmes uz tautsaimniecību novērtējumu, brīvā formā, kas satur vismaz primāri izvēlēto pasākumu atdevi un ietekmi uz galvenajiem ietekmētajiem faktoriem.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tiesību normai ir jābūt skaidrai, lai tās lietotājs un piemērotājs gūtu nepārprotamu priekšstatu par savām tiesībām un pienākumiem, tādēļ lūdzam papildināt noteikumu projekta 21. punktu vai noteikumu projekta anotāciju ar terminu "primārie pasākumi" un  "galvenie ietekmējošie faktori" skaidrojumu, piemēriem.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kāpēc minētais novērtējums nav iekļauts atlases nolikumā noteiktajos dokumentos, kā arī novērtējumā sniegtā informācija netiek vērtēta, iekļauta projekta atlases kritērijos.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 un papildinot noteikumu projektu un anotāciju. Skaidrojam, ka jēdziens "primārie pasākumi" un  "galvenie ietekmējošie faktori" pēc būtības, jau ir skaidroti anotācijā un projektu iesniegumu vērtēšanas kritērijos. Vienlaikus, lai radītu nepārprotamu priekštatu anotācijā ir papildināta informācija. Precizēts noteikumu projekts un anotācija, ka projekta ietekmes uz tautsaimniecību novērtējumu sagatavo, brīvā formā, kas satur projekta iesniedzēja vismaz primāri izvēlēto pasākumu atdevi atbilstoši šo noteikumu 27. punktā noteiktajām atbalstāmajām darbībām un to ieguvumus gaisa piesārņojuma samazināšanai. Savukārt projektu iesniegumu atlases nolikumu sagatavos CFLA pēc noteikuma projekta apstiprināšanas un atlases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2.2.3.5. pasākumu īsteno ierobežotas projektu iesniegumu atlases veidā un 2.2.3.5. pasākuma mērķis ir samazināt gaisa piesārņojuma radīto negatīvo ietekmi uz vidi un cilvēku veselību, īstenojot gaisa piesārņojumu mazinošas darbības saskaņā ar Rīgas valstspilsētas, Liepājas valstspilsētas un Rēzeknes valstspilsētas gaisa kvalitātes uzlabošanas rīcības programmām. Vienlaikus minētajās gaisa kvalitātes uzlabošanas rīcības programmās ir daudz dažādu veidu pasākumu un ierobežota finansējuma apstākļos 2.2.3.5. pasākuma ietvarā var īstenot tikai nelielu daļu no   tajās izvirzītajiem veicamajiem pasākumiem. Attiecīgi anotācijā un Eiropas Savienības fondu 2021. – 2027. gada plānošanas perioda Uzraudzības komitejas Apakškomitejai, tika sniegta informācija, ka Rīgas valstspilsētas, Liepājas valstspilsētas un Rēzeknes valstspilsētas ir sniegušas VARAM apliecinājumu  par piedalīšanos 2.2.3.5. pasākuma īstenošanā, t. sk. Rīgas valstspilsētas un Liepājas valstspilsētas izvēlētos primāri īstenojamos pasākumus. Skaidrojam, ka VARAM nav veikusi detalizētu projektu ideju priekšatlasi, tai skaitā tāpēc, ka Rēzeknes valstspilsētas gaisa kvalitātes uzlabošanas rīcības programma ir tikai izstrādes stadijā, un VARAM nav administratīvi racionāli/iespējams noteikt sīku detalizāciju, piemēram uzlikt par pienākumu pašvaldībai izvēlēties konkrētu to valstspilsētas gaisa kvalitātes uzlabošanas rīcības programmā  prioritāri veicamos pasākumus, t. sk., ņemot vērā, ka šī programma tiek realizēta par pašvaldības un citu finanšu līdzekļiem atbilstoši attiecīgās pašvaldības nolemtajām prioritātēm un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projekta ietekmes uz tautsaimniecību novērtējuma izvērtēšana un skaidrojums par to, kā vērtē pašvaldību primāri izvēlēto pasākumu atdevi un ietekmi uz galvenajiem ietekmētajiem faktoriem ir paredzēta projektu iesniegumu vērtēšanas kritērijā Nr. 2.3. “Projektam ir veikts projekta ietekmes uz tautsaimniecību novērtējums, nodrošinot projekta rezultātu ilgtspēju”,[DP2]  kas apstiprināta  2023.gada 6.oktobrī Eiropas Savienības fondu 2021. – 2027. gada plānošanas perioda Uzraudzības komitejā https://www.esfondi.lv/profesionaliem/uzraudzibas-komiteja/uk-e-portfelis-2021-2027/2023-09-12-uk-rakstiska-procedura-varam_2235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Metodikā tiek skaidrots, ka projekta pielikumā ir pievienots vispārīgs plānotā projekta ietekmes uz tautsaimniecību novērtējums, kas pamato primāri izvēlētos pasākumus, novērtējot to atdevi un ietekmi uz galvenajiem ietekmētajiem faktoriem, tai skaitā, mērķa grupas vajadzības un risināmās vides problēmas, norādīti finansiāla rakstura ieguvumi, t.sk. ar kvantitatīviem rādītājiem, no izveidotās infrastruktūras vai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var ietekmes uz tautsaimniecību novērtējuma pielikumā attiecībā uz aprēķiniem par projekta īstenošanas finanšu/ekonomiskajiem ieguvumiem pievienot izmaksu un ieguvumu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netiek ierobežota projekta ietekmes uz tautsaimniecību novērtējuma forma. Respektīvi 2.2.3.5. pasākuma ietvarā netiek aizliegts iesniegt tautsaimniecības novērtējumu, kurā tiek sinerģiski ar projekta pasākumiem analizēta/pamatota arī citi attiecīgās pašvaldības pasākumi, tai skaitā plānotie.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tiek papildināts ar 26.16.apakšpunktu kurā ir norādīts, ka prioritāri atbalstīti tiek teritorijas labiekārtošana un ar to saistītie pasākumi,  mazemisiju un bezemisiju (ja attiecināms) transportlīdzekļu, komunālo mašīnu un (vai) tehnoloģisko iekārtu iegāde ielu tīrīšanai vismaz no putekļu daļiņu piesārņojuma un pašvaldību ēku pieslēgšana efektīvām centralizētām pilsētu siltumapgādes sistēmām, savukārt   29.17.apakšpunktā ir norādītas izmaksas (noteikts 5 procentu ierobežojums), kas ir nepieciešamas projekta īstenošanai, bet nav prioritāri atbalstāmās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iesniedzējs saskaņā ar projektu iesniegumu atlases nolikuma prasībām sagatavo projekta iesniegumu un iesniedz to sadarbības iestādē, izmantojot Kohēzijas politikas fondu vadības informācijas sistēmu. Projekta iesniedzējs kopā ar projekta iesniegumu, līdzās citiem atlases nolikumā noteiktajiem dokumentiem, iesniedz: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darbības transporta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tiesību normai ir jābūt skaidrai, lai tās lietotājs un piemērotājs gūtu nepārprotamu priekšstatu par savām tiesībām un pienākumiem, tādēļ lūdzam papildināt noteikumu projekta 23.4. apakšpunktu vai noteikumu projekta anotāciju ar termina "darbības transporta jomā" skaidrojumu, piemēriem.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noteikuma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ceļa seguma un ceļa satiksmes uzlabošanas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sabiedrības informēšanas, izglītošanas un publicitātes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2021. - 2027.gada  plānošanas periodā izveidojošos praksi un horizontālajos normatīvajos aktos lietoto jēdzienu "komunikācijas un vizuālās identitātes prasību nodrošināšanas nosacījumi", aicinām izvērtēt un pēc nepieciešamības precizēt noteikumu projekta 23.7., 25.19. un 41.1.apakšpunktu. Attiecīgu precizējumu lūdzam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noteikuma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sabiedrības informēšanas, izglītošanas, komunikācijas  un vizuālās identitātes pasākumi.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atkritumu šķirošanas tvertņu iegāde un uzstādīšana;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atkritumu šķirošanas tvertņu iegādes un uzstādīšanas </w:t>
            </w:r>
            <w:r w:rsidR="00000000" w:rsidRPr="00000000" w:rsidDel="00000000">
              <w:rPr>
                <w:rtl w:val="0"/>
              </w:rPr>
              <w:t xml:space="preserve">izmaksas ir izmaksas, kas parasti ir jāsedz atkritumu apsaimniekotājam, nevis vispārējās tautsaimniecības pakalpojumu sniedzējam. Lūdzam anotācijā iekļaut skaidrojumu un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dzēšot noteikumu projekta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ceļu seguma infrastruktūras būvdarbu, pārbūves un atjaunošanas izmaksas, kas nepārsniedz 20% no projekta kopējām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ūdenssaimniecības (dzeramā ūdens ieguves, sagatavošanas un piegādes infrastruktūra, sadzīves notekūdeņu savākšanas, attīrīšanas un novadīšanas infrastruktūra, izņemot dūņu pārstrādi un apsaimniekošanu) un publiski pieejama dzeramā ūdens ieguves vietas (brīvkrāna) ierīkošanai, gaisu mitrinošiem vai citiem pasākumiem, kas nepieciešami projekta mērķa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 par attiecināmajās izmaksās ietvertajiem ūdenssaimniecības pakalpojumiem, saskaņojot informāciju ar MK noteikumu anotācijā norādīto ("</w:t>
            </w:r>
            <w:r w:rsidR="00000000" w:rsidRPr="00000000" w:rsidDel="00000000">
              <w:rPr>
                <w:i w:val="1"/>
                <w:rtl w:val="0"/>
              </w:rPr>
              <w:t xml:space="preserve">Noteikumu projekta ietvaros elektroenerģijas un ūdenssaimniecības pieslēgumu ierīkošana un to saistītās jaudas palielināšana nav paredzētas kā atbalstāmās darbības, izņemot, ja tās saistītas ar publiski pieejama dzeramā ūdens ieguves vietas ierīkošanu vai citiem pasākumiem, kas nepieciešami projekta mērķa sasniegšanai</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saskaņojot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 mazemisiju un bezemisiju (ja attiecināms) transportlīdzekļu savākto smalko atkritumu izvešanai vai komunālo mašīnu un (vai) tehnoloģisko iekārtu iegāde ielu tīrīšanai vismaz no putekļu daļiņu piesārņojuma;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 vides un informācijas pieejamības veicināšanai nepieciešamā aprīkojuma iegādes un būvdarbu veikšanas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MK noteikumu anotācijā un/vai precizēt redakciju, kādas vides un informācijas pieejamības veicināšanai nepieciešamā aprīkojuma iegādes un būvdarbu veikšanas izmaksas ir attiecināmas un kā tās veicina pasākuma mērķa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un informācijas pieejamības veicināšanai nepieciešamā aprīkojuma iegādes un būvdarbu veikšanas izmaksas ir tās, kuras nepieciešamas personām ar redzes, dzirdes, kustību un garīga rakstura traucējumiem un veicina LM HP “Vienlīdzība, iekļaušana, nediskriminācija un pamattiesību ievērošana”  īstenošanu, piemēram, informācija publiskajā telpā, t.sk. tīmeklī, ir piekļūstama cilvēkiem ar funkcionāliem traucējumiem, izmantojot vairākus sensoros (redze, dzirde, tauste) kanālus (kritērijs Nr.2.15).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 virszemes un pazemes komunikāciju infrastruktūras pārbūve, nepalielinot tās apkalpes jaudu raksturojošos tehniskos parametrus, ja, veicot projektā plānotās darbības, saskaņā ar sertificēta būvinženiera ekspertīzes atzinumu pastāv sabiedriskā pakalpojuma sniegšanai nepieciešamās infrastruktūras bojāšanas risks vai nav iespējams izvairīties no virszemes vai pazemes komunikāciju infrastruktūras pārbūves vietās, kurās nav papildu pieprasījuma pēc sabiedriskajiem pakalpojumiem vai elektroapgādes pakalpojumiem, nodrošinot, ka investīcijas nerada priekšrocības inženiertīklu īpašniekam un atbilst nosacījumiem par valsts atbalstu komercdarbībai;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 ceļu seguma infrastruktūras būvdarbu, pārbūves un atjaunošanas izmaksas, kas nepārsniedz 20%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MK noteikumu anotācijā skaidrot kādas ceļu seguma infrastruktūras būvdarbu, pārbūves un atjaunošanas izmaksas ir attiecināmas (jebkuras vai tikai tās, kas ietver risinājumus piesārņojuma mazināšanai, piemēram, grants ceļu atjaunošanas izmaksas nav 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 izmaksas, kas saistītas ar būves nodošanu ekspluatācijā;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25.15. projekta iesnieguma pamatojošās dokumentācijas sagatavošanas izmaksas, kas tieši saistītas ar projektā plānotajām darbībām, būvuzraudzības, autoruzraudzības, būvniecības ieceres dokumentācijas un būvprojekta sagatavošanas un ar to saistītās normatīvajos aktos paredzētās būvekspertīzes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vadlīnijās attiecināmo izmaksu noteikšanai Eiropas Savienības kohēzijas politikas programmas 2021.-2027.gada plānošanas periodā noteikts, ka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Ministru kabineta noteikumos par specifiskā atbalsta mērķa īstenošanu (t.sk. veicot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nodrošināt minētā ierobežojuma iekļaušanu Ministru kabineta noteikumos, kā arī norādīt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noteikuma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29.15. izmaksas par sabiedrības informēšanas un izglītošanas pasākumu veikšanu, kas nav šo noteikumu </w:t>
            </w:r>
            <w:r w:rsidR="00000000" w:rsidRPr="00000000" w:rsidDel="00000000">
              <w:rPr>
                <w:rtl w:val="0"/>
              </w:rPr>
              <w:t xml:space="preserve">29.14.</w:t>
            </w:r>
            <w:r w:rsidR="00000000" w:rsidRPr="00000000" w:rsidDel="00000000">
              <w:rPr>
                <w:rtl w:val="0"/>
              </w:rPr>
              <w:t xml:space="preserve"> apakšpunktā minētās izmaksas, bet ne vairāk kā četrus procentus no projekta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25.15. projekta iesnieguma pamatojošās dokumentācijas sagatavošanas izmaksas, kas tieši saistītas ar projektā plānotajām darbībām, būvuzraudzības, autoruzraudzības, būvniecības ieceres dokumentācijas un būvprojekta sagatavošanas un ar to saistītās normatīvajos aktos paredzētās būvekspertīzes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redakciju, norādot visus projekta iesnieguma pamatojošās dokumentācijas veidus, t.sk. projekta ietekmes uz tautsaimniecību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izdalīt būvuzraudzības un autoruzraudzības izmaksas kā atsevišķu izmaksu veidu, jo tās neattiecas uz projekta pamatojošo dokumentāciju.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pamatojošās dokumentācijas sagatavošanas izmaksas, kas tieši saistītas ar projektā plānotajām darbībām: projekta ietekmes uz tautsaimniecību novērtējums, būvniecības ieceres dokumentācija un būvprojekta sagatavošana un ar to saistītās normatīvajos aktos paredzētās būvekspertīzes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noteikuma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29.15. izmaksas par sabiedrības informēšanas un izglītošanas pasākumu veikšanu, kas nav šo noteikumu </w:t>
            </w:r>
            <w:r w:rsidR="00000000" w:rsidRPr="00000000" w:rsidDel="00000000">
              <w:rPr>
                <w:rtl w:val="0"/>
              </w:rPr>
              <w:t xml:space="preserve">29.14.</w:t>
            </w:r>
            <w:r w:rsidR="00000000" w:rsidRPr="00000000" w:rsidDel="00000000">
              <w:rPr>
                <w:rtl w:val="0"/>
              </w:rPr>
              <w:t xml:space="preserve"> apakšpunktā minētās izmaksas, bet ne vairāk kā četrus procentus no projekta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25.13.</w:t>
            </w:r>
            <w:r w:rsidR="00000000" w:rsidRPr="00000000" w:rsidDel="00000000">
              <w:rPr>
                <w:rtl w:val="0"/>
              </w:rPr>
              <w:t xml:space="preserve"> apakšpunktā minētās attiecināmās izmaksas ir atbalstāmas, ja centralizētā siltumapgādes sistēma atbilst efektīvai centralizētai siltumapgādes sistēmai saskaņā ar Eiropas Parlamenta un Padomes Direktīvas 2012/27/ES par energoefektivitāti, ar ko groza Direktīvas 2009/125/EK un 2010/30/ES un atceļ Direktīvas 2004/8/EK un 2006/32/EK, 2. panta 41.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28. punktā ietverto atsauci uz direktīvu aizstāt ar atsauci uz nacionālo normatīvo tiesību aktu, kurā konkrētā direktīva ir pārņemta. Vēršam uzmanību, ka atbilstoši Līguma par Eiropas Savienības darbību 288. panta trešajai daļai direktīvas dalībvalstīm uzliek saistības attiecībā uz sasniedzamo rezultātu, bet ļauj dalībvalstīm izvēlēties to īstenošanas formas un metodes. Proti, direktīvas atšķirībā no regulām nav tieši piemērojamas un tās kļūst saistošas personām tikai no brīža, kad tās ir pārņemtas Latvijas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dzēšot noteikumu projekta 28.punktu.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publiskos ieguldījumus var veikt tikai centralizētajā siltumapgādes sistēmā, kas atbilst efektīvai centralizētajai siltumapgādes sistēmai atbilstoši Eiropas Parlamenta un Padomes Direktīvas 2012/27/ES 2.panta 41.punktā minētajam. Minētās prasības plānots pārņemt ar Likumprojektu “Grozījumi Enerģētikas likumā”, nodrošinot investīciju atbilstību Eiropas Parlamenta un Padomes Regulas (ES) 2021/1058 (2021. gada 24. jūnijs) par Eiropas Reģionālās attīstības fondu un Kohēzijas fondu 7.panta punkta h) apakšpunkta prasībām. Atbilstoši Klimata un enerģētikas ministrijas sniegtajai informācijai, pamatojoties uz Atjaunojamo energoresursu direktīvas 24. panta 6. punktu, 24. panta 10. punkta c apakšpunktu, Klimata un enerģētikas ministrijas aprēķiniem un paziņojumam Eiropas Komisijai, ka Latvija nepiemēro Atjaunojamo energoresursu direktīvas 24. panta 2. – 9. punkta prasības, Latvijas centralizētās siltumapgādes efektivitāte nacionālā līmenī ir atbilstoša Energoefektivitātes direktīvas 2. panta 41. punkta prasībām.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Komercdarbības atbalsts pasākuma ietvaros tiek sniegts saskaņā ar Eiropas Komisijas lēmumu Nr. 2012/21/ES.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uz kādām projekta darbībām attiecas komercdarbības atbalsts saskaņā ar Eiropas Komisijas lēmumu Nr. 2012/21/ES.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Komercdarbības atbalstu sabiedriskajiem siltumapgādes un (vai) ūdenssaimniecības pakalpojumu sniedzējiem piešķir kā kompensāciju par sabiedriskajiem pakalpojumiem dažiem uzņēmumiem, kuriem uzticēts sniegt pakalpojumus ar vispārēju tautsaimniecisku nozīmi.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Komercdarbības atbalsts pasākuma ietvaros tiek sniegts saskaņā ar Eiropas Komisijas lēmumu Nr. 2012/21/ES.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punktā norādīta atsauce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Lēmums). Saistībā ar minēto vēršam uzmanību, ka saskaņā ar Līguma par Eiropas Savienības darbību 288. pantu lēmumi, kuros ir norādīti konkrēti adresāti, ir saistoši tikai šiem adresātiem. Ja lēmumu adresāts ir dalībvalstis un ir nepieciešams to normas padarīt saistošas privātpersonām, tad lēmumi ir jāpārņem valsts tiesību sistēmā tāpat kā direktīvas.[</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2. pants noteic, ka šo lēmumu piemēro valsts atbalstam attiecībā uz kompensāciju par sabiedrisko pakalpojumu sniegšanu, kas piešķirta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13. pants noteic, ka šis lēmums ir adresēts dalībvalstīm. Attiecīgi šajā gadījumā nepieciešams izvērtēt, vai Lēmums satur tādas normas, kas attiecināmas arī uz privātpersonām. Ja Lēmums šādas normas satur, tad lūdzam tās pārņemt noteikumu projektā un attiecīgi precizēt noteikumu projekta 31. punktu, svītrojot atsauci uz Lēmumu. Ja Lēmums nesatur normas, kas jāattiecina uz privātpersonām, un Lēmumu var tieši izpildīt valsts iestādes, tad arī šādā gadījumā noteikumu projekta 31. punktā atsauce uz Lēmumu svītrojama, jo atbilstoši Ministru kabineta 2009. gada 3. februāra noteikumu Nr. 108 "Normatīvo aktu projektu sagatavošanas noteikumi" 170.-172. punktam normatīvā akta tekstā atsauces raksta tikai uz Eiropas Savienības regulām.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Skat. arī Eiropas Savienības tiesību ieviešanas rokasgrāmatas 2.8. apakšnodaļu „Lēmumu ieviešana”, 48. lp., pieejama: https://www.tm.gov.lv/lv/es-tiesibu-ieviesana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Komercdarbības atbalstu sabiedriskajiem siltumapgādes un (vai) ūdenssaimniecības pakalpojumu sniedzējiem piešķir kā kompensāciju par sabiedriskajiem pakalpojumiem dažiem uzņēmumiem, kuriem uzticēts sniegt pakalpojumus ar vispārēju tautsaimniecisku nozīmi.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nodrošina, ka projektā izveidotā infrastruktūra būs  noturīga pret ekstrēmiem klimatiskajiem notikumiem, tai skaitā iesniedz novērtējumu, kā projekta ietvaros tiks nodrošināta atbilstība pielāgošanās klimata pārmaiņām aspektiem, lai uzlabotu noturības līmeni pret klimata pārmaiņu ietekmi, novēršot infrastruktūras neaizsargātību pret klimatisko apstākļu iespējamo ilgtermiņa ietekmi vai akūtiem notikumiem.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kāda veida novērtējums projekta iesniedzējam ir jāiesniedz un, ja attiecināms, papildināt 21.punktu ar minēto novērtējumu.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iesniedzējam ir jāsniedz pietiekama informācija, lai projekta iesniegumu vērtēšanas komisija gūtu pārliecību, ka projekta iesniegumā ir izvērtēta iespēja projektā iekļaut darbības, kas paredz pielāgošanos klimata pārmaiņām un ka projekta iesniedzējs ir apzinājis dažādus  klimata pārmaiņu radītos riskus atkarībā no projektā paredzētajām darbībām. Šādu risku novērtējumu ir iespējams veikt projekta iesnieguma risku izvērtēšanas sadaļā. Ja projektā ir darbības, kuras nekādi neietekmē klimata pārmaiņu radītie riski to attiecīgi pamatojot, šāds risku novērtējums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par ka  Horizontālā principa “Klimatdrošināšana”  metodiskiem norādījumiem  atbild Klimata un enerģētikas ministrija, kas izstrādā “Vadlīnijas horizontālā principa “Klimatdrošināšana” ieviešanai un uzraudzībai (2021-2027)”. Attiecīgi projektu iesniedzēju specifiski detalizētu jautājumu gadījumā atbilžu sagatavošanai tiks pieaicināta Klimata un enerģētikas ministrija, jo minētās vadlīnijas vēl ir izstrādes stadijā.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nodrošina, ka projektā izveidotā infrastruktūra būs  noturīga pret ekstrēmiem klimatiskajiem notikumiem, tai skaitā iesniedz novērtējumu, kā projekta ietvaros tiks nodrošināta atbilstība pielāgošanās klimata pārmaiņām aspektiem, lai uzlabotu noturības līmeni pret klimata pārmaiņu ietekmi, novēršot infrastruktūras neaizsargātību pret klimatisko apstākļu iespējamo ilgtermiņa ietekmi vai akūtiem notikumiem.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Projekta iesniedzējam un sadarbības partnerim (ja attiecināms) ir īpašuma vai valdījuma tiesības vai apbūves tiesība uz nekustamo īpašumu, tai skaitā zemi un infrastruktūru, kurā tiks veiktas projektā paredzētās darbības, uz termiņu, kas nav mazāks par pieciem gadiem pēc noslēguma maksājuma veikšanas. Nekustamā īpašuma, tai skaitā zemes, īpašuma tiesības un apbūves tiesību nostiprina zemesgrāmatā ne vēlāk kā līdz attiecīgo projekta darbību uzsākšanai (izņemot gadījumu, ja pašvaldības īpašums uz normatīvā akta, līguma vai pašvaldības lēmuma pamata ir nodots pašvaldības iestādes – projekta iesniedzēja – pārvaldīšanā vai ja īpašuma tiesības uz īpašuma objektu ir spēkā bez to nostiprināšanas zemesgrāmatā). Projekta iesniedzējam un sadarbības partnerim (ja attiecināms) jānodrošina, ka tam ir tiesības projekta īstenošanas un pēcuzraudzības laikā piekļūt zemesgabaliem, kur projekta ietvaros paredzēti būvdarbi, un veikt tajos nepieciešamos uzturēšanas darbus.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Lūdzu precizēt redakciju, apbūves tiesību paredzot atbilstoši Civillikuma 1129.</w:t>
            </w:r>
            <w:r w:rsidR="00000000" w:rsidRPr="00000000" w:rsidDel="00000000">
              <w:rPr>
                <w:vertAlign w:val="superscript"/>
                <w:rtl w:val="0"/>
              </w:rPr>
              <w:t xml:space="preserve">2</w:t>
            </w:r>
            <w:r w:rsidR="00000000" w:rsidRPr="00000000" w:rsidDel="00000000">
              <w:rPr>
                <w:rtl w:val="0"/>
              </w:rPr>
              <w:t xml:space="preserve">.punktam, t.i. ne mazāku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noteikt vienotu nekustamā īpašuma, tai skaitā zemes, īpašuma tiesības un apbūves tiesību nostiprināšanas zemesgrāmatā termiņu, piemēram, līdz pirmā maksājuma pieprasījuma iesniegšanai sadarbības iestādē nevis "</w:t>
            </w:r>
            <w:r w:rsidR="00000000" w:rsidRPr="00000000" w:rsidDel="00000000">
              <w:rPr>
                <w:i w:val="1"/>
                <w:rtl w:val="0"/>
              </w:rPr>
              <w:t xml:space="preserve">ne vēlāk kā līdz attiecīgo projekta darbību uzsākšanai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skaidrot MK noteikumu anotācijā uz kādiem gadījumiem neattiecas īpašumtiesību nostiprināšana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17. punktā kā projekta iesniedzējs nav noteikta pašvaldības iestāde. (</w:t>
            </w:r>
            <w:r w:rsidR="00000000" w:rsidRPr="00000000" w:rsidDel="00000000">
              <w:rPr>
                <w:i w:val="1"/>
                <w:rtl w:val="0"/>
              </w:rPr>
              <w:t xml:space="preserve">Projekta iesniedzējs, kas pēc projekta iesnieguma apstiprināšanas ir finansējuma saņēmējs, pasākuma ietvaros ir Rīgas valstspilsētas, Liepājas valstspilsētas un Rēzeknes valstspilsētas pašvaldība</w:t>
            </w:r>
            <w:r w:rsidR="00000000" w:rsidRPr="00000000" w:rsidDel="00000000">
              <w:rPr>
                <w:rtl w:val="0"/>
              </w:rPr>
              <w:t xml:space="preserve">). Lūdzu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Lūdzu dzēst "</w:t>
            </w:r>
            <w:r w:rsidR="00000000" w:rsidRPr="00000000" w:rsidDel="00000000">
              <w:rPr>
                <w:i w:val="1"/>
                <w:rtl w:val="0"/>
              </w:rPr>
              <w:t xml:space="preserve">Projekta iesniedzējam un sadarbības partnerim (ja attiecināms) jānodrošina, ka tam ir tiesības projekta īstenošanas un pēcuzraudzības laikā piekļūt zemesgabaliem, kur projekta ietvaros paredzēti būvdarbi, un veikt tajos nepieciešamos uzturēšanas darbus.</w:t>
            </w:r>
            <w:r w:rsidR="00000000" w:rsidRPr="00000000" w:rsidDel="00000000">
              <w:rPr>
                <w:rtl w:val="0"/>
              </w:rPr>
              <w:t xml:space="preserve">", jo ieguldījumus var veikt ja ir īpašuma vai valdījuma tiesības un šādā gadījumā risks nepiekļūt īpašumam nepastāv.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1)punktu papildinot anotāciju, jo noteikumu projektā nav nepieciešams dublēt Civillikuma prasības par apbūves tiesībām, kas noteiktas Civillikuma trešās A nodaļas ietvarā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2)informējam, ka jēdziens ne vēlāk kā līdz attiecīgo projekta darbību uzsākšanai ir nepieciešams, jo projekta ietvarā var tikt īstenoti pasākumi lielā teritorijā un ierobežojums līdz pirmā maksājuma pieprasījuma iesniegšanai (avansa maksājumam) nepamatoti ierobežos projektos plānoto darbību īstenošanu. Vienlaikus ir nodrošināts, ka finansējuma saņēmējs nesaņems maksājumu par darbībām, kas notiks nekustamā īpašumā, ja netiks sakārtotas īpašumtiesības.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4) un 5) iebilduma punktu ņemts vērā precizējot noteikuma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Finansējuma saņēmējam un sadarbības partnerim (ja attiecināms) ir īpašuma, valdījuma, turējuma vai apbūves tiesība uz nekustamo īpašumu, tai skaitā zemi un infrastruktūru, kurā tiks veiktas projektā paredzētās darbības, uz termiņu, kas nav mazāks par pieciem gadiem pēc noslēguma maksājuma veikšanas. Nekustamā īpašuma, tai skaitā zemes, īpašuma tiesības un apbūves tiesību nostiprina zemesgrāmatā ne vēlāk kā līdz attiecīgo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29.</w:t>
            </w:r>
            <w:r w:rsidR="00000000" w:rsidRPr="00000000" w:rsidDel="00000000">
              <w:rPr>
                <w:rtl w:val="0"/>
              </w:rPr>
              <w:t xml:space="preserve"> punktā noteikto projekta darbību uzsākšanai.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Zeme, uz kuras atrodas tikai siltumenerģijas pārvades un sadales sistēma un (vai) ūdenssaimniecības infrastruktūra, var nebūt projekta iesniedzēja īpašumā, valdījumā vai turējumā.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noteikuma projekta 40.punktu, kas ir pretrunā ar noteikumu projekta 39.punktā noteikto. Gadījumā, ja punkts tiks saglabāts, lūdzam norādīt, kā tiks nodrošināta projekta ilgtspēja un rezultātu ilgtspēja, ja zeme uz kuras notiks projekta īstenošana nebūs ne finansējuma saņēmēja īpašumā, turējumā vai valdījumā. Vēršam uzmanību, ka pastāv risks uz projekta būtiskām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lūdzu papildināt anotāciju, norādot, ka gadījumos, kad sabiedriskā pakalpojuma sniegšanai nepieciešamie inženiertīkli (ūdenssaimniecības un siltumapgādes tīkli) tiek izbūvēti pa privātpersonai piederošu zemes īpašumu, to izbūvi veic, ievērojot būvnormatīvos noteiktās prasības un līdz noslēguma maksājuma veikšanai izbūvētos inženiertīklus kā zemes īpašuma apgrūtinājumu reģistrē Nekustamā īpašuma valsts kadastra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arī papildinot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Gadījumos, kad sabiedriskā pakalpojuma sniegšanai nepieciešamie inženiertīkli (siltumapgādes un (vai) ūdenssaimniecības tīkli) tiek izbūvēti pa ne finansējuma saņēmējam vai sadarbības partnerim piederošu zemes īpašumu, to izbūvi veic, ievērojot būvnormatīvos noteiktās prasības un līdz noslēguma maksājuma veikšanai izbūvētos inženiertīklus kā zemes īpašuma apgrūtinājumu reģistrē Nekustamā īpašuma valsts kadastra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projekta izmaksu pieaugumu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bažas, ka noteikumu projekta 41.3.apakšpunktā minētās izmaksas, iespējams, dublē noteikumu projekta 34. punktā ietverto regulējumu. Attiecīgi lūdzam izvērtēt, vai noteikumu projekta 41.3.apakšpunkts ir izteikts atbilstoši Noteikumu Nr. 108 3.2. un 3.3. apakšpunktam, un neatbilstības gadījumā izdarīt attiecīgus precizējumus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projekta izmaksu pieaugumu, tai skaitā projekta īstenošanas gaitā radušos sadārdzinājumu sedz no saviem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 nodrošina atsevišķu grāmatvedības uzskaiti par finansējuma izlietojumu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41.5.punktu ar vārdiem “nodalot tā ietvaros veiktās darbības no citas saimnieciskās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pasākuma/projekta ietvarā atbalsts tiek sniegts tikai pārvaldes funkciju nodrošināšanai un sabiedrisko pakalpojumu sniedzējiem sabiedrisko siltumapgādes un ūdenssaimniecības pieslēgumu izveidei. Attiecīgi pasākumā/projektā netiek atbalstītas/iespējama cita saimnieciskas darbības. Ņemot vērā, ka esošā redakcija jau nodrošina atsevišķu saņemto investīciju grāmatvedības uzskaiti, vienlaikus viennozīmīgumam, tiek papildināta Anotācija ar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paredzēts tikai pārvaldes funkciju nodrošināšanai  un sabiedrisko siltumapgādes un ūdenssaimniecības pakalpojumu pieslēgumu izveidei. Cita saimnieciskā darbība projekta ietvaros netiek atbalstīta.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 nodrošina atsevišķu grāmatvedības uzskaiti par finansējuma izlietojumu projektā;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41.8. uzkrāj datus par projekta ietvaros panāktajiem rezultātiem gaisa kvalitātes uzlabošanai, tai skaitā kvantitatīvo ietekmi uz gaisa kvalitātes mērķrādītājiem;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 veida informāciju ir nepieciešams uzkrāt.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44.8. uzkrāj datus par projekta ietvaros panāktajiem rezultātiem gaisa kvalitātes uzlabošanai, tai skaitā kvantitatīvo ietekmi uz gaisa kvalitātes mērķrādītājiem;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41.9. uzkrāj datus par projekta ietekmi uz horizontālo principu īstenošanu projekta īstenošanas un pēcuzraudzības laikā un ievēro šādus principus: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piedāvātajā redakcijā, ņemot vērā, ka nav noteikta prasība uzkrāt informāciju par ietekmi uz horizontālo principu īstenošanu projekta pēcuzraudzības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uzkrāj datus par projekta ietekmi uz horizontālo principu īstenošanu un ievēro principus: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44.9. uzkrāj datus par projekta ietekmi uz horizontālo principu īstenošanu un ievēro šādus principus: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41.10. finansējuma saņēmējs novērš interešu konflikta risku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41.10.apakšpunktu ar nosacījumu, ka 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 Vienlaikus lūdzam papildināt, ka finansējuma saņēmējs un sadarbības partneris paraksta apliecinājumus par interešu konflikta neesamību īstenojot projektā noteiktās darbības.  Attiecīgi aicinām papildināt noteikumu projekta 41.10.apakšpunktu ar normu, ka interešu konflikta risku novērš arī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44.10. finansējuma saņēmējs un sadarbības partneris (ja attiecināms) novērš interešu konflikta risku un paraksta interešu konflikta neesamības apliecinājumu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normatīvo aktu publisko iepirkumu jomā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sadarbības iestādei ir pieejami valsts budžeta līdzekļi, tā, izvērtējot plānotā avansa apmēru un tā pamatojumu un pamatojoties uz finansējuma saņēmēja rakstisku avansa pieprasījumu, pēc vienošanās par projekta īstenošanu noslēgšanas var piešķirt finansējuma saņēmējam avansu.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50 procentiem no projektam piešķirtā Eiropas Reģionālās attīstības fonda un līdzfinansējuma kopsummas, ievērojot, ka avansu var izmaksāt vairākos maksājumos un avansa un starpposma maksājumu kopsumma nepārsniedz 90 procentus no projektam piešķirtā Eiropas Reģionālās attīstības fonda un pašvaldības budžeta finansējuma kopsummas.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90% ierobežojums maksājumu veikšanai tiek rēķināts tikai no atbalsta summas, t.i., no ERAF (CFLA nepārskaita pašvaldības budžeta finansējuma daļu, šis apmērs aprēķinā nebūtu jāiekļauj).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sadarbības iestādei ir pieejami valsts budžeta līdzekļi, tā, izvērtējot plānotā avansa apmēru un tā pamatojumu un pamatojoties uz finansējuma saņēmēja rakstisku avansa pieprasījumu, pēc vienošanās par projekta īstenošanu noslēgšanas var piešķirt finansējuma saņēmējam avansu.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50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tiek pārkāptas šajos noteikumos noteiktās komercdarbības atbalsta piešķiršanas prasības vispārējas tautsaimnieciskas nozīmes pakalpojuma sniegšanai, atbalsta saņēmējam ir pienākums atmaksāt sadarbības iestādei visu projekta ietvaros saņemto nelikumīgo komercdarbības atbalstu kopā ar procentiem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44.punktu, ievietojot starp vārdiem “procentiem” un “saskaņā” vārdus “no līdzekļiem, kas ir brīvi no komercdarbības atbalsta”. Vienlaikus, ņemot vērā, ka atbalsta saņēmējam ir pienākums atmaksāt sadarbības iestādei visu projekta ietvaros saņemto nelikumīgo komercdarbības atbalstu, ja tiek pārkāpti komercdarbības atbalsta piešķiršanas nosacījumi vispārējas tautsaimnieciskas nozīmes pakalpojumu sniegšanai, nevis tikai tie nosacījumi, kas iekļauti noteikumos, lūdzam šo noteikumu 44.punkta pirmo palīgteikumu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tiek pārkāpti komercdarbības atbalsta piešķiršanas nosacījumi vispārējas tautsaimnieciskas nozīmes pakalpojumu sniegšanai,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tiek pārkāpti komercdarbības atbalsta piešķiršanas nosacījumi vispārējas tautsaimnieciskas nozīmes pakalpojumu sniegšanai, atbalsta saņēmējam ir pienākums atmaksāt sadarbības iestādei visu projekta ietvaros saņemto nelikumīgo komercdarbības atbalstu kopā ar procentiem no līdzekļiem, kas ir brīvi no komercdarbības atbalsta, saskaņā ar Komercdarbības atbalsta kontroles likuma IV vai V nodaļu.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Komercdarbības atbalsta saņēmējs un vispārējas tautsaimnieciskas nozīmes pakalpojuma pilnvarojuma uzlicējs nodrošina, ka pilnvarojuma periodā un vismaz 10 gadus pēc pilnvarojuma perioda beigām tiek saglabāta un nodrošināta pieejamība visai nepieciešamajai informācijai, lai noteiktu, vai piešķirtais atbalsts ir saderīgs ar Eiropas Komisijas lēmumu Nr. 2012/21/ES.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48. punktā un 50.2. apakšpunktā</w:t>
            </w:r>
            <w:r w:rsidR="00000000" w:rsidRPr="00000000" w:rsidDel="00000000">
              <w:rPr>
                <w:rtl w:val="0"/>
              </w:rPr>
              <w:t xml:space="preserve"> ietverta atsauce uz </w:t>
            </w:r>
            <w:r w:rsidR="00000000" w:rsidRPr="00000000" w:rsidDel="00000000">
              <w:rPr>
                <w:i w:val="1"/>
                <w:rtl w:val="0"/>
              </w:rPr>
              <w:t xml:space="preserve">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w:t>
            </w:r>
            <w:r w:rsidR="00000000" w:rsidRPr="00000000" w:rsidDel="00000000">
              <w:rPr>
                <w:rtl w:val="0"/>
              </w:rPr>
              <w:t xml:space="preserve">(turpmāk -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 pantu lēmumi, kuros ir norādīti konkrēti adresāti, ir saistoši tikai šiem adresātiem. Ja lēmumu adresāts ir dalībvalstis un ir nepieciešams to normas padarīt saistošas privātpersonām, tad lēmumi ir jāpārņem valsts tiesību sistēmā tāpat kā direktīvas.[1]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2. pants noteic, ka šo lēmumu piemēro valsts atbalstam attiecībā uz kompensāciju par sabiedrisko pakalpojumu sniegšanu, kas piešķirta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13. pants noteic, ka šis lēmums ir adresēts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šajā gadījumā nepieciešams izvērtēt, vai Lēmums satur tādas normas, kas attiecināmas arī uz privātpersonām. Ja Lēmums šādas normas satur, tad lūdzam tās pārņemt noteikumu projektā pēc būtības un attiecīgi precizēt noteikumu projekta 48. punktu un 50.2.apakšpunktu, svītrojot atsauci uz Lēmumu. Ja Lēmums nesatur normas, kas jāattiecina uz privātpersonām, un Lēmumu var tieši izpildīt valsts iestādes, tad arī šādā gadījumā atsauce uz Lēmumu svītrojama, jo normatīvā akta tekstā atsauces raksta tikai uz tieši piemērojamiem Eiropas Savienības tiesību aktiem (regulām) un to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 arī Eiropas Savienības tiesību ieviešanas rokasgrāmatas 2.8. apakšnodaļu „Lēmumu ieviešana”, 48. lp., pieejama: https://www.tm.gov.lv/lv/es-tiesibu-ieviesana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Skatīt precizēto noteikumu projekta 48. punktu un 50.2.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Komercdarbības atbalsta saņēmējs un vispārējas tautsaimnieciskas nozīmes pakalpojuma pilnvarojuma uzlicējs nodrošina, ka pilnvarojuma periodā un vismaz 10 gadus pēc pilnvarojuma perioda beigām tiek saglabāta un nodrošināta pieejamība visai nepieciešamajai informācijai, lai noteiktu, vai piešķirtais atbalsts ir atbilstošs komercdarbības atbalsta piešķiršanas nosacījumiem vispārējas tautsaimnieciskas nozīmes pakalpojumu 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informāciju par finansējuma saņēmēju, ņemot vērā, ka ar noteikumu projektu tiek uzlikti pienākumi finansējuma saņēmējiem, kas jānodrošina īstenojot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prognozēto pasākumam paredzētā finansējuma sadalījumu pa gadiem līdz pat īstenošanas beigām, kā arī katrā gadā atsevišķi norādīt finansējuma sadalījumu pa avotiem (ERAF finansējums un pašvaldības budžeta finansējums (EUR izteiksmē un %)), lai tiktu skaidri norādīts, kā veidojas anotācijas 3.sadaļas 1.-5.punktā izmaiņu ailēs norādītās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31.punktā minēto, lūdzam papildināt noteikumu projekta 1.punktu ar jaunu apakšpunktu, nosakot komercdarbības atbalsta piešķiršanas nosacījumus, kā arī noteikumos izdalot atsevišķu nodaļu, kas paredz konkrētus komercdarbības atbalsta piešķiršanas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Paskaidrojam, ka noteikumu projekta 34. punkts nosaka, ka šī pasākuma ietvaros komercdarbības atbalsts netiek sniegts, izņemot komercdarbības atbalstu siltumapgādes un ūdenssaimniecības sabiedrisko pakalpojumu sniedzējiem. Atlīdzības maksājumi netiek piešķirti projekta iesniedzējam-finansējuma saņēmējam, bet tikai un vienīgi sadarbības partnerim  - siltumapgādes un (vai) ūdenssaimniecības sabiedrisko pakalpojumu sniedzējam tikai pieslēgumu izveidošanai. Attiecīgi ir strukturēts arī noteikumu projekts un atsevišķas nodaļas, kas paredz konkrētus komercdarbības atbalsta piešķiršanas nosacījumus, izveidošana nav atbalstāma.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rezultāta rādītāja vērtību nosaka attiecīgās valstspilsētas iedzīvotāju blīvumu reizinot ar attiecīgās valstspilsētas projekta īstenošanas darbībām attiecināmo teritoriju. Vērtību uzskata par sasniegtu projekta pēcuzraudzības pirmā gada beigās ņemot vērā demogrāfisko izmaiņu ietekmi uz vērtības izmaiņām. Rezultāta rādītāja vērtība valstspilsētā nepārsniedz konkrētās valstspilsētas iedzīvotāju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mērvienībām , kas tiek izmantotas rezultāta rādītāja aprēķinā (iedzīvotāji/kvadrātkilometru;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rezultāta rādītāja vērtību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Attiecināmā Eiropas Reģionālās attīstības fonda finansējuma apmērs nepārsniedz 85 procentus no projekta kopējā attiecināmā finansējuma, un nacionālā līdzfinansējuma apmērs ir vismaz 15 procenti no projekta kopējā attiecināmā finansējuma. Eiropas Reģionālās attīstības fonda finansējumu piešķir grantu atbalsta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izdalīt noteikumu projekta 10.punkta pēdējo teikumu kā atsevišķu punktu, ņemot vārā, ka tas nosaka finansējuma piešķiršanas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Attiecināmā Eiropas Reģionālās attīstības fonda finansējuma apmērs nepārsniedz 85 procentus no projekta kopējā attiecināmā finansējuma, un nacionālā līdzfinansējuma apmērs, ko veido pašvaldību un privātais finansējums ir vismaz 15 procenti no projekta kopējā attiecināmā finansējuma. Eiropas Reģionālās attīstības fonda finansējumu piešķir grantu atbalsta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Pasākumu īsteno ierobežotas projektu iesniegumu atlases veidā vairākās atlasēs saskaņā ar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12. punktu un apakšpunktus, nosakot, ka pasākums tiek īstenots divās projektu iesniegumu atlases kārtās, attiecīgi precizējot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Pasākumu īsteno ierobežotas projektu iesniegumu atlases veidā divās projektu iesniegumu atlases kārtās saskaņā ar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12.5.1. Rīgas valstspilsētai 50 procenti no atlikušā Eiropas Reģionālās attīstības fonda finansējuma apmēra, proporcionāli sasniedzot vismaz 50 procentus no atlikušā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noteiktā rādītāja vai projektu iesniegumu otrai atlases kārtai paredzētā rādītāja;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arī pie 12.5.2. punkta): Lūdzam  izvērtēt un nepieciešamības gadījumā precizēt punkta redakciju attiecībā uz "atlikušā šo noteikumu 6. punktā noteiktā rādītāja", ņemot vērā, ka ar sākotnējiem projektu līgumiem būtu nepieciešams paredzēt, ka pilnībā tiek sasniegts 6.punktā noteiktais rādītājs. Šādā gadījumā papildus darbības/finansējums var uzlabot sasniegtā rādītāja apmēru, bet rādītājs nebūtu par pamatu papildus finansējuma piešķiršanai.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14.5.1. Rīgas valstspilsētai - 50 procenti no pieejamā Eiropas Reģionālās attīstības fonda finansējuma apmēra, paredzot, ka proporcionāli tiek sasniegti vismaz 50 procenti no projektu iesniegumu otrai atlases kārtai paredzētā rādītāja;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Projektu iesniegumu atlases kārtā vienas pašvaldības ietvaros iesniedz ne vairāk kā vienu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 norādot, ka pašvaldības iesniedz nevis "ne vairāk kā vienu", bet gan "vienu" projekta iesniegumu.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atlases kārtā vienas pašvaldības ietvaros iesniedz </w:t>
            </w:r>
            <w:r w:rsidR="00000000" w:rsidRPr="00000000" w:rsidDel="00000000">
              <w:rPr>
                <w:b w:val="1"/>
                <w:rtl w:val="0"/>
              </w:rPr>
              <w:t xml:space="preserve">vienu</w:t>
            </w:r>
            <w:r w:rsidR="00000000" w:rsidRPr="00000000" w:rsidDel="00000000">
              <w:rPr>
                <w:rtl w:val="0"/>
              </w:rPr>
              <w:t xml:space="preserve">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Katrā projektu iesniegumu atlases kārtā pašvaldība iesniedz ne vairāk kā vienu projekta iesniegumu.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Projektā ir vismaz uz kādu gaisu piesārņojošu vielu PM10, PM2,5,  benz(a)pirēna, benzola, slāpekļa dioksīda NO2, kopējās cietās daļiņas (TPM)  vai oglekļa oksīda CO samazināšanu vērsta attiecīgā darbība, vienlaikus, katrā projektā tiek paredzēta vismaz uz daļiņas PM2,5 samazināšanu vērsta attiecīgā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korekti ir paredzēts, ka katrā projektā jābūt uz kādu gaisa piesārņojošu vielu samazināšanu vērstai darbībai,nevērtējot, vai konkrētās vielas koncentrācija </w:t>
            </w:r>
            <w:r w:rsidR="00000000" w:rsidRPr="00000000" w:rsidDel="00000000">
              <w:rPr>
                <w:u w:val="single"/>
                <w:rtl w:val="0"/>
              </w:rPr>
              <w:t xml:space="preserve">pārsniedz normu</w:t>
            </w:r>
            <w:r w:rsidR="00000000" w:rsidRPr="00000000" w:rsidDel="00000000">
              <w:rPr>
                <w:rtl w:val="0"/>
              </w:rPr>
              <w:t xml:space="preserve">. Piemēram, saskaņā ar anotācijā pievienoto tabulu slāpekļa dioksīda pārsniegums ir tika Rīgas valstspilsētā, taču atbilstoši 16.punkta redakcijai Rēzeknes valstspilsēta var pieteikt darbības šīs vielas samazināšanai, kaut pieļaujamā norma jau šobrīd netiek pārsniegta.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precizēta redakcija, skaidrāk norādot atsauci uz gaisu piesārņojošu vielu pašvaldību noteiktajiem mērķiem gaisa piesārņojuma samazināšanas  samazināšanas rīcības plānam 2020.-2030. gadam. 2.2.3.5. pasākumā tiek atbalstīti pašvaldību izstrādātajās individuālajās rīcības programmās paredzētie pasākumi, kas iekļauj pasākumus, kas samazina vairāku gaisu piesārņojošu vielu koncentrācijas ne tikai tās, kurās ir konstatēti pārsniegumi, jo saskaņā ar Ekonomiskās sadarbības un attīstības organizācijas (ESAO) un Pasaules Veselības organizācijas rekomendācijām  Latvijas valstspilsētās jāveic papildus darbības dažādos tautsaimniecības sektoros, lai nepārsniegtu starptautiski noteiktos kopējo gaisu piesārņojošo vielu emisiju samazināšanas mērķus, tai skaitā sniedzot pozitīvu ietekmi uz veģetāciju un faunu, kā arī ūdens, augsnes kvalitāti un ar to saistīto ekosistēmu pakalpojumu kvalitāti un attiecīgi samazinot gaisa piesārņojuma negatīvo ietekmi uz cilvēka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projekts neparedz pienākumu projektā paredzēt pasākumus visu gaisa piesārņojošo vielu  emisiju samazināšanai, vienlaikus, nosaka, ka projektā jābūt vismaz uz PM2,5 samazināšanu vērsta attiecīgā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Projektā ir vismaz uz kādu no gaisu piesārņojošu vielu PM10,  benz(a)pirēna, benzola, slāpekļa dioksīda NO2, kopējās cietās daļiņas (TPM)  vai oglekļa oksīda CO samazināšanu vērsta attiecīgā darbība atbilstoši pašvaldību noteiktajiem mērķiem gaisa piesārņojuma samazināšanas plānošanas dokumentos, vienlaikus, katrā projektā tiek paredzēta vismaz uz daļiņas PM2,5 samazināšanu vērsta attiecīgā darbība.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Projektā ir vismaz uz kādu gaisu piesārņojošu vielu PM10, PM2,5,  benz(a)pirēna, benzola, slāpekļa dioksīda NO2, kopējās cietās daļiņas (TPM)  vai oglekļa oksīda CO samazināšanu vērsta attiecīgā darbība, vienlaikus, katrā projektā tiek paredzēta vismaz uz daļiņas PM2,5 samazināšanu vērsta attiecīgā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 punkta pirmajā daļā dzēšot PM2,5, jo par to tiek norādīts punkta otrajā 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vismaz uz kādu gaisu piesārņojošu vielu PM10, benz(a)pirēna, benzola, slāpekļa dioksīda NO2, kopējās cietās daļiņas (TPM)  vai oglekļa oksīda CO samazināšanu vērsta attiecīgā darbība, vienlaikus, katrā projektā tiek paredzēta vismaz uz daļiņas PM2,5 samazināšanu vērsta attiecīgā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Projektā ir vismaz uz kādu no gaisu piesārņojošu vielu PM10,  benz(a)pirēna, benzola, slāpekļa dioksīda NO2, kopējās cietās daļiņas (TPM)  vai oglekļa oksīda CO samazināšanu vērsta attiecīgā darbība atbilstoši pašvaldību noteiktajiem mērķiem gaisa piesārņojuma samazināšanas plānošanas dokumentos, vienlaikus, katrā projektā tiek paredzēta vismaz uz daļiņas PM2,5 samazināšanu vērsta attiecīgā darbība.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valsts tiešās pārvaldes iestādi, kuras valdījumā vai turējumā ir zeme, kurā neveic saimniecisko darbību un kurā īstenos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īpašumtiesību veidu ar īpašumā esošu zemi, saskaņā ar MK noteikumu projekta 19.punktu.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tiešās pārvaldes iestādi, kuras valdījumā vai turējumā, </w:t>
            </w:r>
            <w:r w:rsidR="00000000" w:rsidRPr="00000000" w:rsidDel="00000000">
              <w:rPr>
                <w:b w:val="1"/>
                <w:rtl w:val="0"/>
              </w:rPr>
              <w:t xml:space="preserve">vai īpašumā</w:t>
            </w:r>
            <w:r w:rsidR="00000000" w:rsidRPr="00000000" w:rsidDel="00000000">
              <w:rPr>
                <w:rtl w:val="0"/>
              </w:rPr>
              <w:t xml:space="preserve"> ir zeme, kurā neveic saimniecisko darbību un kurā īstenos šo noteikumu 23. punktā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valsts tiešās pārvaldes iestādi, kurai valstij piederošā zeme, kurā neveic saimniecisko darbību un kurā īstenos šo noteikumu </w:t>
            </w:r>
            <w:r w:rsidR="00000000" w:rsidRPr="00000000" w:rsidDel="00000000">
              <w:rPr>
                <w:rtl w:val="0"/>
              </w:rPr>
              <w:t xml:space="preserve">27.1.</w:t>
            </w:r>
            <w:r w:rsidR="00000000" w:rsidRPr="00000000" w:rsidDel="00000000">
              <w:rPr>
                <w:rtl w:val="0"/>
              </w:rPr>
              <w:t xml:space="preserve"> un </w:t>
            </w:r>
            <w:r w:rsidR="00000000" w:rsidRPr="00000000" w:rsidDel="00000000">
              <w:rPr>
                <w:rtl w:val="0"/>
              </w:rPr>
              <w:t xml:space="preserve">27.4.</w:t>
            </w:r>
            <w:r w:rsidR="00000000" w:rsidRPr="00000000" w:rsidDel="00000000">
              <w:rPr>
                <w:rtl w:val="0"/>
              </w:rPr>
              <w:t xml:space="preserve"> apakšpunktā minētās atbalstāmās darbības, nodota valdījumā vai turējumā.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Sadarbības partneris – siltumapgādes un (vai) ūdenssaimniecības sabiedrisko pakalpojumu sniedzējs – ar pašvaldību noslēdz pakalpojuma līgumu par siltumapgādes un (vai) ūdenssaimniecības sabiedrisko pakalpojumu sniegšanu. Pakalpojuma līgumā norāda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izsekojamībai, lūdzam papildināt anotāciju ar norādi, vai noteikumu projekta 20.punktā noteiktais pakalpojuma līgums tiek noslēgts ar pašvaldību kā finansējuma saņēmēju. Nepieciešamības gadījumā, lūdzam precizēt minēto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lūdzu precizēt redakciju, lai ietvertu arī tos pakalpojumu līgumus, kas jau ir noslēgti.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partneris – siltumapgādes un (vai) ūdenssaimniecības sabiedrisko pakalpojumu sniedzējs – ar pašvaldību ir noslēdzis pakalpojuma līgumu par siltumapgādes un (vai) ūdenssaimniecības sabiedrisko pakalpojumu sniegšanu. Pakalpojuma līgumā norāda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partneris – siltumapgādes un (vai) ūdenssaimniecības sabiedrisko pakalpojumu sniedzējs – ar pašvaldību ir noslēdzis pakalpojuma līgumu par siltumapgādes un (vai) ūdenssaimniecības sabiedrisko pakalpojumu sniegšanu. Pakalpojuma līgumā norāda vismaz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siltumapgādes un (vai) ūdenssaimniecības sabiedrisko pakalpojumu sniedzējam piešķirtās ekskluzīvās vai īpašās tiesības to būtību norādot ar atbilstošo pašvaldības administratīvo teritoriju vai pašvaldības administratīvās teritorijas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šī punkta redakciju, to salāgojot ar citiem noteikuma projekta punktiem un izsakot, piemēram,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siltumapgādes un (vai) ūdenssaimniecības sabiedrisko pakalpojumu sniedzējam piešķirto ekskluzīvo vai īpašo tiesību būtību, tai skaitā, norādot atbilstošo pašvaldības administratīvo teritoriju vai pašvaldības administratīvās teritorijas daļu un konkrētos sniedzamos siltumapgādes un (vai) ūdenssaimniecības sabiedriskos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siltumapgādes un (vai) ūdenssaimniecības sabiedrisko pakalpojumu sniedzējam piešķirto ekskluzīvo vai īpašo tiesību būtību, tai skaitā, norādot atbilstošo pašvaldības administratīvo teritoriju vai pašvaldības administratīvās teritorijas daļu un konkrētos sniedzamos siltumapgādes un (vai) ūdenssaimniecības sabiedriskos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partneris – siltumapgādes un (vai) ūdenssaimniecības sabiedrisko pakalpojumu sniedzējs – ar pašvaldību noslēdz pakalpojuma līgumu par siltumapgādes un (vai) ūdenssaimniecības sabiedrisko pakalpojumu sniegšanu. Pakalpojuma līgumā norāda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norādi, vai noteikumu projekta 23. punktā noteiktais pakalpojuma līgums tiek noslēgts ar pašvaldību kā finansējuma saņēmēju. Nepieciešamības gadījumā, lūdzam precizēt minēto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redakciju, lai ietvertu arī tos pakalpojumu līgumus, kas jau ir noslēgti.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partneris – siltumapgādes un (vai) ūdenssaimniecības sabiedrisko pakalpojumu sniedzējs – ar pašvaldību ir noslēdzis pakalpojuma līgumu par siltumapgādes un (vai) ūdenssaimniecības sabiedrisko pakalpojumu sniegšanu. Pakalpojuma līgumā norāda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anotāciju ar informāciju, ka noteikumu projektā ir noteiktas prasības, kurām jābūt sabiedrisko pakalpojumu sniegšanas līgumā, kas visos gadījumos ir slēdzama ar attiecīgo pašvaldību neatkarīgi vai tiek piesaistīti publiskie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piedāvātai redakcijai papildināts noteikumu projekts, vienlaikus informējam, ka valsts kancelejas redaktori citos MK noteikumos par šo norādīja, ka jālieto vārds “noslēdz” (nenoteiksmē), kas iekļauj arī “noslēdzis”.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23.punktā minēto regulējumu informējam, ka šīs prasības sabiedrisko pakalpojumu sniedzējiem tiek noteiktas horizontāli arī citos investīciju MK noteikumos (skatīt: 23-TA-1822; 22-TA-3340) tāpēc, ka atbalsts ir iespējams arī projekta sadarbības partnerim - sabiedrisko pakalpojumu sniedzējam ar atbalstāmām izmaksām (ERAF atbalsta intensitāte 85%) – ārējo siltumapgādes un (vai) ūdenssaimniecības  tīklu izbūvei.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partneris – siltumapgādes un (vai) ūdenssaimniecības sabiedrisko pakalpojumu sniedzējs – ar pašvaldību ir noslēdzis pakalpojuma līgumu par siltumapgādes un (vai) ūdenssaimniecības sabiedrisko pakalpojumu sniegšanu. Pakalpojuma līgumā norāda vismaz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saskaņā ar projektu iesniegumu atlases nolikuma prasībām elektroniski sagatavo projekta iesniegumu un iesniedz to sadarbības iestādē, izmantojot Kohēzijas politikas fondu vadības informācijas sistēmu. Projekta iesniedzējs kopā ar projekta iesniegumu, līdzās citiem atlases nolikumā noteiktajiem dokumentiem, iesniedz projekta ietekmes uz tautsaimniecību novērtējumu, brīvā formā, kas satur vismaz primāri izvēlēto pasākumu atdevi un ietekmi uz galvenajiem ietekmētajiem faktoriem.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21.punktā vārdu "elektroniski", lai nerastos interpretācijas iespējas. Vēršam uzmanību, ka atbilstoši Kohēzijas politikas fondu vadības informācijas sistēmas funkcionalitātei, sistēmā ir iestrādāti projekta iesnieguma datu lauku, kuros tiek norādīta atbilstoša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iespēju apvienot noteikumu projekta 21. un 22. punktu vienā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saskaņā ar projektu iesniegumu atlases nolikuma prasībām sagatavo projekta iesniegumu un iesniedz to sadarbības iestādē, izmantojot Kohēzijas politikas fondu vadības informācijas sistēmu. Projekta iesniedzējs kopā ar projekta iesniegumu, līdzās citiem atlases nolikumā noteiktajiem dokumentiem, 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projekta ietekmes uz tautsaimniecību novērtējumu, brīvā formā, kas satur vismaz primāri izvēlēto pasākumu atdevi un ietekmi uz galvenajiem ietekmētajiem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atbilstoši šo noteikumu 7. punktam- projekta rezultāta rādītāja aprēķinu.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iesniedzējs saskaņā ar projektu iesniegumu atlases nolikuma prasībām sagatavo projekta iesniegumu un iesniedz to sadarbības iestādē, izmantojot Kohēzijas politikas fondu vadības informācijas sistēmu. Projekta iesniedzējs kopā ar projekta iesniegumu, līdzās citiem atlases nolikumā noteiktajiem dokumentiem, iesniedz: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publiskās teritorijas labiekārtošana un ar to saistītie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"funkcionāli saistīto teritoriju", saskaņā ar MK noteikumu anotācijā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kas ir funkcionāli saistītā teritorija.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anotācijas redakcija un skaidrojam, ka publiskās teritorijas labiekārtošana var notikt arī konkrētos atsevišķos zemesgabalos, kas atrodas vienā funkcionāli/ģeogrāfiski vienotā teritorijā, kurā ir veikti secīgi, kompakti kompleksi pasākumi. Piemēram funkcionāli/ģeogrāfiski vienotā teritorijā, gaisa kvalitātes uzlabošanai ir nepieciešams veikt kompleksus pasākumus, bet finansējuma trūkuma dēļ vai citu īstermiņa ierobežojumu dēļ projekta ietvarā nav iespējams veikt pasākumus visā funkcionāli/ģeogrāfiski vienotā teritorijā, tad publiskās teritorijas labiekārtošana var notikt šīs  funkcionāli/ģeogrāfiski vienotā teritorijas, konkrētos atsevišķos zemesgabalos. Savukārt secīgi, kompakti kompleksi pasākumi nozīmē, ka konkrētie atsevišķie zemesgabali atrodas līdzās nevis, piemēram, pretējās funkcionāli/ģeogrāfiski vienotās teritorijās pusēs.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publiskās teritorijas labiekārtošana un ar to saistītie pasākumi, tai skaitā ūdenssaimniecības pieslēgumu ierīkošana un ar to saistītās jaudas palielināšana;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darbības vides un informācijas pieejamības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w:t>
            </w:r>
            <w:r w:rsidR="00000000" w:rsidRPr="00000000" w:rsidDel="00000000">
              <w:rPr>
                <w:b w:val="1"/>
                <w:rtl w:val="0"/>
              </w:rPr>
              <w:t xml:space="preserve">23.5. un 25.8.apakšpunktā</w:t>
            </w:r>
            <w:r w:rsidR="00000000" w:rsidRPr="00000000" w:rsidDel="00000000">
              <w:rPr>
                <w:rtl w:val="0"/>
              </w:rPr>
              <w:t xml:space="preserve"> vārdu “pieejamība” aizstāt ar vārdu “piekļūstamība”. Vēršam uzmanību,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Veršam uzmanību, ka pieejamība nozīmē vides/objekta/pakalpojuma pieejamību vai esamību kopumā. Savukārt piekļūstamība nozīmē, ka konkrētajai videi/objektam/pakalpojumam ir iespēja fiziski piekļūt un to var lietot, izmantojot vairākus sensoros (redze, dzirde, tauste) kanālus. Tādējādi pieejamība var izslēgt piekļūstamību, savukārt piekļūstamība ietver arī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darbības vides un informācijas piekļūstamības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darbības vides un informācijas piekļūstamības veicināšanai;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teritorijas labiekārtošana un ar to saistītie pasākumi, ietverot “zaļās” un “zilās” infrastruktūras attīstību, apzaļumošanas (piemēram, koku, krūmu un citu daudzgadīgo augu apstādījumi, "zaļās" sienas un salas) un dabā balstītu risinājumu (piemēram, mākslīgas mitraines, caurlaidīgi segumi) izveides un ar to saistītās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anotācijā norādīt detalizētāk, kas ir ar teritorijas labiekārtošanu saistītie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"apzaļumošanas (piemēram, koku, krūmu un citu daudzgadīgo augu apstādījumi, "zaļās" sienas un salas)", jo tas ir ietverts "zaļās" infrastruktūras attīstības pasākumos. Papildus lūdzam MK noteikumu anotācijā skaidrot "zaļās " un "zilās" infrastruktūras pasākumus, ietverot piemērus.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labiekārtošana un ar to saistītie pasākumi, ietverot “zaļās” un “zilās” infrastruktūras attīstību un dabā balstītu risinājumu (piemēram, mākslīgas mitraines, caurlaidīgi segumi) izveides un ar to saistītās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teritorijas labiekārtošanas un ar to saistīto pasākumu, ietverot “zaļās” un “zilās” infrastruktūras attīstību un dabā balstītu risinājumu (piemēram, mākslīgas mitraines, caurlaidīgi segumi) izveides un ar to saistītās izmaksas,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būves nojaukšana un teritorijas attīrīšana;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MK noteikumu anotācijā skaidrot, kāda veida būves nojaukšanas un teritorijas attīrīšanas izmaksas ir attiecināmas un uz kādu teritoriju izmaksas ir attiecināmas (piemēram, uz to teritoriju, kurā rēķina rezultāta rādītājus).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vides un informācijas piekļūstamības veicināšanai nepieciešamā aprīkojuma iegādes un būvdarbu veikšanas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atkritumu šķirošanas tvertņu iegāde un uzstādīšana;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aprakstu, vai noteikumu projekta 25.5. punktā minētās izmaksas nepārklājas ar 2.2.2.2 pasākuma “Atkritumu dalītā vākšana” izmaksām, kur tiek izstrādāta vienkāršoto izmaksu metodika atkritumu dalītās vākšanas konteineru iegādes izmaksu segšanai, un vai tajā plānotās likmes nebūtu piemērojamas arī šajā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dzēšot no attiecināmām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ceļu seguma infrastruktūras būvdarbu, pārbūves un atjaunošanas izmaksas, kas nepārsniedz 20% no projekta kopējām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ūdenssaimniecības (dzeramā ūdens ieguves, sagatavošanas un piegādes infrastruktūra, sadzīves notekūdeņu savākšanas, attīrīšanas un novadīšanas infrastruktūra, izņemot dūņu pārstrādi un apsaimniekošanu) un publiski pieejama dzeramā ūdens ieguves vietas (brīvkrāna) ierīkošanai, gaisu mitrinošiem vai citiem pasākumiem, kas nepieciešami projekta mērķa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kā šādas darbības veicina pasākuma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 mazemisiju un bezemisiju (ja attiecināms) transportlīdzekļu savākto smalko atkritumu izvešanai vai komunālo mašīnu un (vai) tehnoloģisko iekārtu iegāde ielu tīrīšanai vismaz no putekļu daļiņu piesārņojuma;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siltumapgādes pieslēgumu ierīkošana un to saistītās jaudas palielināšana pašvaldību īpašumā vai valdījumā esošo ēku pieslēgšanai efektīvām centralizētām pilsētu siltumapgādes sistēmām, tajā skaitā paredzot gan ārējo savienojumu izveidi, gan siltummezgla sistēmas izveidi siltumapgādes pieslēgumu ierīkošanai pašvaldības īpašumā vai valdījumā esošajā ēkā;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precizēt/sniegt skaidrojumu, kas ir "... to saistītās jaudas palielināšana". Ja ar minēto nosacījumu tiek saprasta energoavota modernizācija, t.i. energoavota uzstādītās jaudas palielināšana, tad lūgums precizēt atbalstāmo darbību, ņemot vērā ilgtspējas nosacījumus, ka virzībā uz klimatneitralitāti  (HP "Klimatdrošināšana") investīcijas fosilo energoresursu izmantošanas veicināšanā netiek veiktas.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 ierobežota finansējuma tiks atbalstīti piecu līdz deviņu pašvaldību īpašumā vai valdījumā esošo ēku pieslēgšana efektīvām centralizētām pilsētu siltumapgādes sistēmām (ekspluatācijā esošiem maģistrālajiem CSA tīkliem). Respektīvi saistītās jaudas palielināšana nozīmēs, ka tehniski tiek izveidots jauns pieslēgums maģistrālajiem CSA tīkliem un CSA pakalpojumu sniedzējiem būs attiecīgi jānodrošina nepieciešamā jauda, lai nodrošinātu jaunpieslēgtās CSA tīkliem ēkas siltumapgādi. Ieguldījumi tiks veikti CSA, kas atbilst efektīvai centralizētajai siltumapgādes sistēmai atbilstoši Eiropas Parlamenta un Padomes Direktīvas 2012/27/ES par energoefektivitāti, ar ko groza Direktīvas 2009/125/EK un 2010/30/ES un atceļ Direktīvas 2004/8/EK un 2006/32/EK 2.panta 41.punktā minētajam, kur efektīva centralizētā siltumapgāde ir centralizētās siltumapgādes sistēma, kuras darbībā izmanto vismaz 50 % atjaunojamās enerģijas, 50 % siltuma pārpalikuma, 75 % koģenerācijas režīmā saražota siltuma vai šādu enerģijas un siltuma veidu kombināciju 50 % apmērā, tādējādi tiek nodrošināta investīciju atbilstība Eiropas Parlamenta un Padomes Regulas (ES) 2021/1058 (2021. gada 24. jūnijs) par Eiropas Reģionālās attīstības fondu un Kohēzijas fondu 7.panta punkta h)apakšpunkta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atbalstīta sabiedriskā pakalpojuma sniedzēja energoavota modernizācija, t.sk. netiek veiktas investīcijas fosilo energoresursu izmantošanas veicināšanā.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siltumapgādes pieslēgumu ierīkošana un to saistītās jaudas palielināšana pašvaldību īpašumā vai valdījumā esošo ēku pieslēgšanai efektīvām centralizētām pilsētu siltumapgādes sistēmām, tajā skaitā paredzot gan ārējo savienojumu izveidi, gan siltummezgla sistēmas izveidi siltumapgādes pieslēgumu ierīkošanai pašvaldības īpašumā vai valdījumā esošajā ēkā;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videi draudzīga apgaismojuma izbūve, tai skaitā inovatīvi apgaismojuma risinājumi, kas ietver atjaunojamos energoresursus izmantojošas enerģiju ražojošas iekārtas, un viedo tehnoloģiju iegāde un uzstādīšana, ievērojot, ka 100 procenti no gadā saražotās enerģijas tiek izmantoti pašpatēriņam;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25.7.apkšpunktā lūdzam izvērtēt iespēju paredzēt atbalstu arī akumulatoru iegādei, lai izvairītos no gadījumiem, kad neparedzētu apstākļu dēļ var tikt neievērots nosacījums par 100 procentu pašpatēriņa nosacījumu, attiecīgi precizējot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siltumapgādes pieslēgumu ierīkošana un to saistītās jaudas palielināšana pašvaldību īpašumā vai valdījumā esošo ēku pieslēgšanai efektīvām centralizētām pilsētu siltumapgādes sistēmām, tajā skaitā paredzot gan ārējo savienojumu izveidi, gan siltummezgla sistēmas izveidi siltumapgādes pieslēgumu ierīkošanai pašvaldības īpašumā vai valdījumā esošajā ēkā;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videi draudzīga apgaismojuma izbūve, tai skaitā inovatīvi apgaismojuma risinājumi, kas ietver atjaunojamos energoresursus izmantojošas enerģiju ražojošas iekārtas, un viedo tehnoloģiju iegāde un uzstādīšana, ievērojot, ka 100 procenti no gadā saražotās enerģijas tiek izmantoti pašpatēriņam;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iespēju paredzēt atbalstu arī akumulatoru iegādei, lai izvairītos no gadījumiem, kad neparedzētu apstākļu dēļ var tikt neievērots nosacījums par 100 procentu pašpatēriņa nosacījumu, attiecīgi precizējot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siltumapgādes pieslēgumu ierīkošana un to saistītās jaudas palielināšana pašvaldību īpašumā vai valdījumā esošo ēku pieslēgšanai efektīvām centralizētām pilsētu siltumapgādes sistēmām, tajā skaitā paredzot gan ārējo savienojumu izveidi, gan siltummezgla sistēmas izveidi siltumapgādes pieslēgumu ierīkošanai pašvaldības īpašumā vai valdījumā esošajā ēkā;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videi draudzīga apgaismojuma izbūve, tai skaitā inovatīvi apgaismojuma risinājumi, kas ietver atjaunojamos energoresursus izmantojošas enerģiju ražojošas iekārtas, un viedo tehnoloģiju iegāde un uzstādīšana, ievērojot, ka 100 procenti no gadā saražotās enerģijas tiek izmantoti pašpatēriņam;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kā šādas darbības veicina pasākuma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siltumapgādes pieslēgumu ierīkošana un to saistītās jaudas palielināšana pašvaldību īpašumā vai valdījumā esošo ēku pieslēgšanai efektīvām centralizētām pilsētu siltumapgādes sistēmām, tajā skaitā paredzot gan ārējo savienojumu izveidi, gan siltummezgla sistēmas izveidi siltumapgādes pieslēgumu ierīkošanai pašvaldības īpašumā vai valdījumā esošajā ēkā;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25.12. mazemisiju un bezemisiju (ja attiecināms) transportlīdzekļu, komunālo mašīnu un (vai) tehnoloģisko iekārtu iegāde ielu tīrīšanai vismaz no putekļu daļiņu piesārņojuma;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attiecināmas ir jebkura mazemisiju un bezemisiju transportlīdzekļa iegādes izmaksas vai tikai mazemisiju un bezemisiju komunālo mašīnu un (vai) tehnoloģisko iekārtu iegāde. Ja paredzēts jebkāda veida mazemisijas un bezemisijas transportlīdzekļu iegāde, lūdzam noteikt ierobežojumus izmanošanas veidam un mērķim, saskaņā ar pasākuma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izmaksas, kas saistītas ar mērījumu veikšanu un datu apkopošanu un analīzi projekta ietvarā veikto darbību rezultātu gaisa kvalitātes uzlabošanas pierādīšanai;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29.14. projekta komunikācijas un vizuālās identitātes prasību nodrošināšanas izmaksas nepārsniedzot vienu procentu no projekta kopējām tiešajām attiecināmajām izmaksām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pantam un 50. pantam un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29.14. apakšpunktā minētajos normatīvajos aktos nav iekļautas komunikācijas un vizuālās identitātes prasību nodrošināšanas </w:t>
            </w:r>
            <w:r w:rsidR="00000000" w:rsidRPr="00000000" w:rsidDel="00000000">
              <w:rPr>
                <w:u w:val="single"/>
                <w:rtl w:val="0"/>
              </w:rPr>
              <w:t xml:space="preserve">izmaksas</w:t>
            </w:r>
            <w:r w:rsidR="00000000" w:rsidRPr="00000000" w:rsidDel="00000000">
              <w:rPr>
                <w:rtl w:val="0"/>
              </w:rPr>
              <w:t xml:space="preserve">, bet šo prasību </w:t>
            </w:r>
            <w:r w:rsidR="00000000" w:rsidRPr="00000000" w:rsidDel="00000000">
              <w:rPr>
                <w:u w:val="single"/>
                <w:rtl w:val="0"/>
              </w:rPr>
              <w:t xml:space="preserve">saturs</w:t>
            </w:r>
            <w:r w:rsidR="00000000" w:rsidRPr="00000000" w:rsidDel="00000000">
              <w:rPr>
                <w:rtl w:val="0"/>
              </w:rPr>
              <w:t xml:space="preserve">, turklāt finansējuma saņēmēja un sadarbības partnera pienākums ievērot minētās prasības atbilstoši attiecīgajiem normatīvajiem aktiem noteikts jau noteikumu projekta 44.1. apakšpunktā, lūdzam svītrot noteikumu projekta 29.14. apakšpunktā norādes uz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29.14. projekta komunikācijas un vizuālās identitātes prasību nodrošināšanas izmaksas nepārsniedzot vienu procentu no projekta kopējām tiešajām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25.16. izmaksas, kas saistītas ar būves nodošanu ekspluatācijā;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kādas izmaksas tiek paredzētas šajā pozīcijā, anotācijā uzskaitot tās vai norādot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29.16. šo noteikumu </w:t>
            </w:r>
            <w:r w:rsidR="00000000" w:rsidRPr="00000000" w:rsidDel="00000000">
              <w:rPr>
                <w:rtl w:val="0"/>
              </w:rPr>
              <w:t xml:space="preserve">29.1.</w:t>
            </w:r>
            <w:r w:rsidR="00000000" w:rsidRPr="00000000" w:rsidDel="00000000">
              <w:rPr>
                <w:rtl w:val="0"/>
              </w:rPr>
              <w:t xml:space="preserve"> , </w:t>
            </w:r>
            <w:r w:rsidR="00000000" w:rsidRPr="00000000" w:rsidDel="00000000">
              <w:rPr>
                <w:rtl w:val="0"/>
              </w:rPr>
              <w:t xml:space="preserve">29.6.</w:t>
            </w:r>
            <w:r w:rsidR="00000000" w:rsidRPr="00000000" w:rsidDel="00000000">
              <w:rPr>
                <w:rtl w:val="0"/>
              </w:rPr>
              <w:t xml:space="preserve"> un </w:t>
            </w:r>
            <w:r w:rsidR="00000000" w:rsidRPr="00000000" w:rsidDel="00000000">
              <w:rPr>
                <w:rtl w:val="0"/>
              </w:rPr>
              <w:t xml:space="preserve">29.7.</w:t>
            </w:r>
            <w:r w:rsidR="00000000" w:rsidRPr="00000000" w:rsidDel="00000000">
              <w:rPr>
                <w:rtl w:val="0"/>
              </w:rPr>
              <w:t xml:space="preserve"> apakšpunktos noteiktās izmaksas kopā vai katra atsevišķi var sasniegt 100 (simts) procentus no projekta Eiropas Reģionālās attīstības fonda finansējuma apmēra;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29.17. šo noteikumu </w:t>
            </w:r>
            <w:r w:rsidR="00000000" w:rsidRPr="00000000" w:rsidDel="00000000">
              <w:rPr>
                <w:rtl w:val="0"/>
              </w:rPr>
              <w:t xml:space="preserve">29.1.1.</w:t>
            </w:r>
            <w:r w:rsidR="00000000" w:rsidRPr="00000000" w:rsidDel="00000000">
              <w:rPr>
                <w:rtl w:val="0"/>
              </w:rPr>
              <w:t xml:space="preserve"> , </w:t>
            </w:r>
            <w:r w:rsidR="00000000" w:rsidRPr="00000000" w:rsidDel="00000000">
              <w:rPr>
                <w:rtl w:val="0"/>
              </w:rPr>
              <w:t xml:space="preserve">29.1.2.</w:t>
            </w:r>
            <w:r w:rsidR="00000000" w:rsidRPr="00000000" w:rsidDel="00000000">
              <w:rPr>
                <w:rtl w:val="0"/>
              </w:rPr>
              <w:t xml:space="preserve"> , </w:t>
            </w:r>
            <w:r w:rsidR="00000000" w:rsidRPr="00000000" w:rsidDel="00000000">
              <w:rPr>
                <w:rtl w:val="0"/>
              </w:rPr>
              <w:t xml:space="preserve">29.1.3.</w:t>
            </w:r>
            <w:r w:rsidR="00000000" w:rsidRPr="00000000" w:rsidDel="00000000">
              <w:rPr>
                <w:rtl w:val="0"/>
              </w:rPr>
              <w:t xml:space="preserve"> ​​​​​​​, </w:t>
            </w:r>
            <w:r w:rsidR="00000000" w:rsidRPr="00000000" w:rsidDel="00000000">
              <w:rPr>
                <w:rtl w:val="0"/>
              </w:rPr>
              <w:t xml:space="preserve">29.1.4.</w:t>
            </w:r>
            <w:r w:rsidR="00000000" w:rsidRPr="00000000" w:rsidDel="00000000">
              <w:rPr>
                <w:rtl w:val="0"/>
              </w:rPr>
              <w:t xml:space="preserve"> ​​​​​​​, </w:t>
            </w:r>
            <w:r w:rsidR="00000000" w:rsidRPr="00000000" w:rsidDel="00000000">
              <w:rPr>
                <w:rtl w:val="0"/>
              </w:rPr>
              <w:t xml:space="preserve">29.1.5.</w:t>
            </w:r>
            <w:r w:rsidR="00000000" w:rsidRPr="00000000" w:rsidDel="00000000">
              <w:rPr>
                <w:rtl w:val="0"/>
              </w:rPr>
              <w:t xml:space="preserve"> ​​​​​​​, </w:t>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 </w:t>
            </w:r>
            <w:r w:rsidR="00000000" w:rsidRPr="00000000" w:rsidDel="00000000">
              <w:rPr>
                <w:rtl w:val="0"/>
              </w:rPr>
              <w:t xml:space="preserve">29.4.</w:t>
            </w:r>
            <w:r w:rsidR="00000000" w:rsidRPr="00000000" w:rsidDel="00000000">
              <w:rPr>
                <w:rtl w:val="0"/>
              </w:rPr>
              <w:t xml:space="preserve"> ​​​​​​​, </w:t>
            </w:r>
            <w:r w:rsidR="00000000" w:rsidRPr="00000000" w:rsidDel="00000000">
              <w:rPr>
                <w:rtl w:val="0"/>
              </w:rPr>
              <w:t xml:space="preserve">29.8.</w:t>
            </w:r>
            <w:r w:rsidR="00000000" w:rsidRPr="00000000" w:rsidDel="00000000">
              <w:rPr>
                <w:rtl w:val="0"/>
              </w:rPr>
              <w:t xml:space="preserve"> ​​​​​​​, </w:t>
            </w:r>
            <w:r w:rsidR="00000000" w:rsidRPr="00000000" w:rsidDel="00000000">
              <w:rPr>
                <w:rtl w:val="0"/>
              </w:rPr>
              <w:t xml:space="preserve">29.11.</w:t>
            </w:r>
            <w:r w:rsidR="00000000" w:rsidRPr="00000000" w:rsidDel="00000000">
              <w:rPr>
                <w:rtl w:val="0"/>
              </w:rPr>
              <w:t xml:space="preserve"> ​​​​​​​, </w:t>
            </w:r>
            <w:r w:rsidR="00000000" w:rsidRPr="00000000" w:rsidDel="00000000">
              <w:rPr>
                <w:rtl w:val="0"/>
              </w:rPr>
              <w:t xml:space="preserve">29.12.</w:t>
            </w:r>
            <w:r w:rsidR="00000000" w:rsidRPr="00000000" w:rsidDel="00000000">
              <w:rPr>
                <w:rtl w:val="0"/>
              </w:rPr>
              <w:t xml:space="preserve"> ​​​​​​​ un </w:t>
            </w:r>
            <w:r w:rsidR="00000000" w:rsidRPr="00000000" w:rsidDel="00000000">
              <w:rPr>
                <w:rtl w:val="0"/>
              </w:rPr>
              <w:t xml:space="preserve">29.13.</w:t>
            </w:r>
            <w:r w:rsidR="00000000" w:rsidRPr="00000000" w:rsidDel="00000000">
              <w:rPr>
                <w:rtl w:val="0"/>
              </w:rPr>
              <w:t xml:space="preserve">  apakšpunktos noteiktās izmaksas katra atsevišķi nepārsniedz piecus procentus no projekta Eiropas Reģionālās attīstības fonda finansējuma apmēra, bet kopā nepārsniedz 40 (četrdesmit) procentus no projekta Eiropas Reģionālās attīstības fonda finansējuma apmēra.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kvalitātes uzlabošana pilsētvidē ir viens no vides aizsardzības politikas izaicinājumiem. Pilsētu sagatavotajās rīcību programmās gaisa kvalitātes uzlabošanai tiek ietverts ļoti plašs pasākumu klāsts, kuru īstenošanai ir nepieciešami būtiski finanšu resursi. Tajā pat laikā šajā sagatavotajā atbalsta programmas projektā, kuras mērķis ir "Pasākuma mērķis ir </w:t>
            </w:r>
            <w:r w:rsidR="00000000" w:rsidRPr="00000000" w:rsidDel="00000000">
              <w:rPr>
                <w:u w:val="single"/>
                <w:rtl w:val="0"/>
              </w:rPr>
              <w:t xml:space="preserve">samazināt gaisa piesārņojuma radīto negatīvo ietekmi uz vidi un cilvēku veselību</w:t>
            </w:r>
            <w:r w:rsidR="00000000" w:rsidRPr="00000000" w:rsidDel="00000000">
              <w:rPr>
                <w:rtl w:val="0"/>
              </w:rPr>
              <w:t xml:space="preserve">, īstenojot gaisa piesārņojumu mazinošus pasākumus" tiek paredzēts, ka līdz 40% no ERAF finansējuma apjoma faktiski netiek izmantoti pasākumu īstenošanai, kas rada tiešu gaisu piesārņojošo vielu emisiju samazinājumu (piemēram, nav izprotama aktivitātes attiecībā uz teritorijas labiekārtošanu iekļaušana). Lūdzu sniegt skaidrojumu vai šāda pieeja (nosacījums par līdz 40%), ņemot vērā pieejamo finansējuma apjomu, ir efektīva pret sasniedzamo pasākuma mērķi - samazināt gaisu piesārņojošo vielu emisijas.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par ierobežoti pieejamo finansējumu pašvaldības projektos ir jāveic efektīvas, kas rada tiešu gaisu piesārņojošo vielu emisiju samazinājumu, darbības, lai sasniegtu katrai pašvaldībai noteikto sasniedzamo rezultāta rādītāju - iedzīvotāji, kas gūst labumu no gaisa kvalitātes pasākumiem. Eiropas Savienības kohēzijas politikas programmā 2021. – 2027. gadam ir noteikts, ka pašvaldības rīcības programmas gaisa kvalitātes uzlabošanas ir priekšnosacījums dalībai 2.2.3.5. pasākumā,  īstenojot gaisa piesārņojumu mazinošus pasākumus saskaņā ar šīm pilsētu gaisa kvalitātes uzlabošanas rīcības programmām.  Vienlaikus šīm programmām ir jāatbilst Gaisa piesārņojuma samazināšanas rīcības plāna 2020. – 2030. gadam prasībām, tai skaitā Gaisa piesārņojuma samazināšanas rīcības plānā 2020. – 2030. gadam 8.3. pasākumā par rīcības programmu izstrādi gaisa piesārņojuma samazināšanai pašvaldībās noteiktajam, un Ministru kabineta noteikumu Nr.1290 “Noteikumi par gaisa kvalitāti”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pašvaldības rīcības programmām aktivitātes attiecībā uz zaļo zonu veidošanu pilsētvidē (teritorijas labiekārtošanas un ar to saistīto pasākumu, ietverot “zaļās” un “zilās” infrastruktūras attīstību un dabā balstītu risinājumu (piemēram, mākslīgas mitraines, caurlaidīgi segumi) izveides un ar to saistītās izmaksas)) ir noteiktas, kā būtiski īstenojami pasākumi gaisa kvalitātes uzlabošanai un ir uz gaisu piesārņojošu vielu PM10, PM2,5,  kopējās cietās daļiņas (TPM)  vai oglekļa oksīda CO samazināšanu vērsta attiecīgā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un Liepājas valstspilsētas ir sniegušas VARAM indikatīvos izvēlētos primāri īstenojamos pasākumus no gaisa kvalitātes uzlabošanas rīcības programmās paredzētajām darbībām. Saskaņā ar iesniegto informāciju ierobežota pieejamā finansējuma dēļ konkrētā pašvaldība savā projektā izvēlēsies veikt tikai daļu no  noteikumu projektā atbalstāmajām darbībām un attiecīgi neizmantos visas pieejamās attiecināmās izmaksas. Līdz ar to, lai konkrētā pašvaldība varētu sasniegt, tai noteikto minimālo iedzīvotāju skaitu, kas gūst labumu no gaisa kvalitātes pasākumiem, tiks piemērots noteikumu projekta 29.17.apakšpunktā noteiktais ierobežojums, ka katra papildu darbība, kas ir nepieciešama projekta pasākumu nepārsniedz 5% un netiks sasniegts maksimāli pieejamais 40% slieksnis.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Eiropas Savienības fondu 2021.–2027. gada plānošanas periodā projektos netiek norādītas neattiecināmās izmaksas, tad ir nepieciešams plašāks attiecināmo izmaksu apjoms, lai projektu darbības būtu kompleksi pabeigtas un ilgermiņā praktiski funcionējošas (piemēram, nav lietderīgi ierīkot zaļās zonas bez attiecīgas ūdenssaimniecības pakalpojumu pieslēgumu izveides, kas nodrošinās ierīkotās zaļās zonas laistīšanu).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administratīvi neierobežos pašvaldības, ja tā/s savā projektā varēs nodrošināt, tai noteikto minimālo iedzīvotāju skaitu, kas gūst labumu no gaisa kvalitātes pasākumiem, īstenojot visas noteikumu projektā noteiktās atbalstāmās darbības un attiecīgi  izmantos visas attiecināmās izmaksas. Papildus VARAM nav administratīvi racionāli/iespējams noteikt pašvaldību izstrādātajās individuālajās rīcības programmās ierobežojumus, t.sk. piemēram, norādīt prioritāri veicamus pasākumus, t. sk., ņemot vērā, ka šīs programmas tiek realizēta par pašvaldības un citu finanšu līdzekļiem atbilstoši attiecīgās pašvaldības nolemtajām prioritātēm un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29.17. šo noteikumu </w:t>
            </w:r>
            <w:r w:rsidR="00000000" w:rsidRPr="00000000" w:rsidDel="00000000">
              <w:rPr>
                <w:rtl w:val="0"/>
              </w:rPr>
              <w:t xml:space="preserve">29.1.1.</w:t>
            </w:r>
            <w:r w:rsidR="00000000" w:rsidRPr="00000000" w:rsidDel="00000000">
              <w:rPr>
                <w:rtl w:val="0"/>
              </w:rPr>
              <w:t xml:space="preserve"> , </w:t>
            </w:r>
            <w:r w:rsidR="00000000" w:rsidRPr="00000000" w:rsidDel="00000000">
              <w:rPr>
                <w:rtl w:val="0"/>
              </w:rPr>
              <w:t xml:space="preserve">29.1.2.</w:t>
            </w:r>
            <w:r w:rsidR="00000000" w:rsidRPr="00000000" w:rsidDel="00000000">
              <w:rPr>
                <w:rtl w:val="0"/>
              </w:rPr>
              <w:t xml:space="preserve"> , </w:t>
            </w:r>
            <w:r w:rsidR="00000000" w:rsidRPr="00000000" w:rsidDel="00000000">
              <w:rPr>
                <w:rtl w:val="0"/>
              </w:rPr>
              <w:t xml:space="preserve">29.1.3.</w:t>
            </w:r>
            <w:r w:rsidR="00000000" w:rsidRPr="00000000" w:rsidDel="00000000">
              <w:rPr>
                <w:rtl w:val="0"/>
              </w:rPr>
              <w:t xml:space="preserve"> ​​​​​​​, </w:t>
            </w:r>
            <w:r w:rsidR="00000000" w:rsidRPr="00000000" w:rsidDel="00000000">
              <w:rPr>
                <w:rtl w:val="0"/>
              </w:rPr>
              <w:t xml:space="preserve">29.1.4.</w:t>
            </w:r>
            <w:r w:rsidR="00000000" w:rsidRPr="00000000" w:rsidDel="00000000">
              <w:rPr>
                <w:rtl w:val="0"/>
              </w:rPr>
              <w:t xml:space="preserve"> ​​​​​​​, </w:t>
            </w:r>
            <w:r w:rsidR="00000000" w:rsidRPr="00000000" w:rsidDel="00000000">
              <w:rPr>
                <w:rtl w:val="0"/>
              </w:rPr>
              <w:t xml:space="preserve">29.1.5.</w:t>
            </w:r>
            <w:r w:rsidR="00000000" w:rsidRPr="00000000" w:rsidDel="00000000">
              <w:rPr>
                <w:rtl w:val="0"/>
              </w:rPr>
              <w:t xml:space="preserve"> ​​​​​​​, </w:t>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 </w:t>
            </w:r>
            <w:r w:rsidR="00000000" w:rsidRPr="00000000" w:rsidDel="00000000">
              <w:rPr>
                <w:rtl w:val="0"/>
              </w:rPr>
              <w:t xml:space="preserve">29.4.</w:t>
            </w:r>
            <w:r w:rsidR="00000000" w:rsidRPr="00000000" w:rsidDel="00000000">
              <w:rPr>
                <w:rtl w:val="0"/>
              </w:rPr>
              <w:t xml:space="preserve"> ​​​​​​​, </w:t>
            </w:r>
            <w:r w:rsidR="00000000" w:rsidRPr="00000000" w:rsidDel="00000000">
              <w:rPr>
                <w:rtl w:val="0"/>
              </w:rPr>
              <w:t xml:space="preserve">29.8.</w:t>
            </w:r>
            <w:r w:rsidR="00000000" w:rsidRPr="00000000" w:rsidDel="00000000">
              <w:rPr>
                <w:rtl w:val="0"/>
              </w:rPr>
              <w:t xml:space="preserve"> ​​​​​​​, </w:t>
            </w:r>
            <w:r w:rsidR="00000000" w:rsidRPr="00000000" w:rsidDel="00000000">
              <w:rPr>
                <w:rtl w:val="0"/>
              </w:rPr>
              <w:t xml:space="preserve">29.11.</w:t>
            </w:r>
            <w:r w:rsidR="00000000" w:rsidRPr="00000000" w:rsidDel="00000000">
              <w:rPr>
                <w:rtl w:val="0"/>
              </w:rPr>
              <w:t xml:space="preserve"> ​​​​​​​, </w:t>
            </w:r>
            <w:r w:rsidR="00000000" w:rsidRPr="00000000" w:rsidDel="00000000">
              <w:rPr>
                <w:rtl w:val="0"/>
              </w:rPr>
              <w:t xml:space="preserve">29.12.</w:t>
            </w:r>
            <w:r w:rsidR="00000000" w:rsidRPr="00000000" w:rsidDel="00000000">
              <w:rPr>
                <w:rtl w:val="0"/>
              </w:rPr>
              <w:t xml:space="preserve"> ​​​​​​​ un </w:t>
            </w:r>
            <w:r w:rsidR="00000000" w:rsidRPr="00000000" w:rsidDel="00000000">
              <w:rPr>
                <w:rtl w:val="0"/>
              </w:rPr>
              <w:t xml:space="preserve">29.13.</w:t>
            </w:r>
            <w:r w:rsidR="00000000" w:rsidRPr="00000000" w:rsidDel="00000000">
              <w:rPr>
                <w:rtl w:val="0"/>
              </w:rPr>
              <w:t xml:space="preserve">  apakšpunktos noteiktās izmaksas katra atsevišķi nepārsniedz piecus procentus no projekta Eiropas Reģionālās attīstības fonda finansējuma apmēra, bet kopā nepārsniedz 40 (četrdesmit) procentus no projekta Eiropas Reģionālās attīstības fonda finansējuma apmēra.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25.17. izmaksas, kas saistītas ar mērījumu veikšanu un datu apkopošanu un analīzi projekta ietvarā veikto darbību rezultātu gaisa kvalitātes uzlabošanas pierādīšanai;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šīs izmaksas attiecas uz projekta pamatojošās dokumentācijas sagatavošanas izmaksām, lūdzam apvienot tās ar 25.15.punktā minētajām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29.17. šo noteikumu </w:t>
            </w:r>
            <w:r w:rsidR="00000000" w:rsidRPr="00000000" w:rsidDel="00000000">
              <w:rPr>
                <w:rtl w:val="0"/>
              </w:rPr>
              <w:t xml:space="preserve">29.1.1.</w:t>
            </w:r>
            <w:r w:rsidR="00000000" w:rsidRPr="00000000" w:rsidDel="00000000">
              <w:rPr>
                <w:rtl w:val="0"/>
              </w:rPr>
              <w:t xml:space="preserve"> , </w:t>
            </w:r>
            <w:r w:rsidR="00000000" w:rsidRPr="00000000" w:rsidDel="00000000">
              <w:rPr>
                <w:rtl w:val="0"/>
              </w:rPr>
              <w:t xml:space="preserve">29.1.2.</w:t>
            </w:r>
            <w:r w:rsidR="00000000" w:rsidRPr="00000000" w:rsidDel="00000000">
              <w:rPr>
                <w:rtl w:val="0"/>
              </w:rPr>
              <w:t xml:space="preserve"> , </w:t>
            </w:r>
            <w:r w:rsidR="00000000" w:rsidRPr="00000000" w:rsidDel="00000000">
              <w:rPr>
                <w:rtl w:val="0"/>
              </w:rPr>
              <w:t xml:space="preserve">29.1.3.</w:t>
            </w:r>
            <w:r w:rsidR="00000000" w:rsidRPr="00000000" w:rsidDel="00000000">
              <w:rPr>
                <w:rtl w:val="0"/>
              </w:rPr>
              <w:t xml:space="preserve"> ​​​​​​​, </w:t>
            </w:r>
            <w:r w:rsidR="00000000" w:rsidRPr="00000000" w:rsidDel="00000000">
              <w:rPr>
                <w:rtl w:val="0"/>
              </w:rPr>
              <w:t xml:space="preserve">29.1.4.</w:t>
            </w:r>
            <w:r w:rsidR="00000000" w:rsidRPr="00000000" w:rsidDel="00000000">
              <w:rPr>
                <w:rtl w:val="0"/>
              </w:rPr>
              <w:t xml:space="preserve"> ​​​​​​​, </w:t>
            </w:r>
            <w:r w:rsidR="00000000" w:rsidRPr="00000000" w:rsidDel="00000000">
              <w:rPr>
                <w:rtl w:val="0"/>
              </w:rPr>
              <w:t xml:space="preserve">29.1.5.</w:t>
            </w:r>
            <w:r w:rsidR="00000000" w:rsidRPr="00000000" w:rsidDel="00000000">
              <w:rPr>
                <w:rtl w:val="0"/>
              </w:rPr>
              <w:t xml:space="preserve"> ​​​​​​​, </w:t>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 </w:t>
            </w:r>
            <w:r w:rsidR="00000000" w:rsidRPr="00000000" w:rsidDel="00000000">
              <w:rPr>
                <w:rtl w:val="0"/>
              </w:rPr>
              <w:t xml:space="preserve">29.4.</w:t>
            </w:r>
            <w:r w:rsidR="00000000" w:rsidRPr="00000000" w:rsidDel="00000000">
              <w:rPr>
                <w:rtl w:val="0"/>
              </w:rPr>
              <w:t xml:space="preserve"> ​​​​​​​, </w:t>
            </w:r>
            <w:r w:rsidR="00000000" w:rsidRPr="00000000" w:rsidDel="00000000">
              <w:rPr>
                <w:rtl w:val="0"/>
              </w:rPr>
              <w:t xml:space="preserve">29.8.</w:t>
            </w:r>
            <w:r w:rsidR="00000000" w:rsidRPr="00000000" w:rsidDel="00000000">
              <w:rPr>
                <w:rtl w:val="0"/>
              </w:rPr>
              <w:t xml:space="preserve"> ​​​​​​​, </w:t>
            </w:r>
            <w:r w:rsidR="00000000" w:rsidRPr="00000000" w:rsidDel="00000000">
              <w:rPr>
                <w:rtl w:val="0"/>
              </w:rPr>
              <w:t xml:space="preserve">29.11.</w:t>
            </w:r>
            <w:r w:rsidR="00000000" w:rsidRPr="00000000" w:rsidDel="00000000">
              <w:rPr>
                <w:rtl w:val="0"/>
              </w:rPr>
              <w:t xml:space="preserve"> ​​​​​​​, </w:t>
            </w:r>
            <w:r w:rsidR="00000000" w:rsidRPr="00000000" w:rsidDel="00000000">
              <w:rPr>
                <w:rtl w:val="0"/>
              </w:rPr>
              <w:t xml:space="preserve">29.12.</w:t>
            </w:r>
            <w:r w:rsidR="00000000" w:rsidRPr="00000000" w:rsidDel="00000000">
              <w:rPr>
                <w:rtl w:val="0"/>
              </w:rPr>
              <w:t xml:space="preserve"> ​​​​​​​ un </w:t>
            </w:r>
            <w:r w:rsidR="00000000" w:rsidRPr="00000000" w:rsidDel="00000000">
              <w:rPr>
                <w:rtl w:val="0"/>
              </w:rPr>
              <w:t xml:space="preserve">29.13.</w:t>
            </w:r>
            <w:r w:rsidR="00000000" w:rsidRPr="00000000" w:rsidDel="00000000">
              <w:rPr>
                <w:rtl w:val="0"/>
              </w:rPr>
              <w:t xml:space="preserve">  apakšpunktos noteiktās izmaksas katra atsevišķi nepārsniedz piecus procentus no projekta Eiropas Reģionālās attīstības fonda finansējuma apmēra, bet kopā nepārsniedz 40 (četrdesmit) procentus no projekta Eiropas Reģionālās attīstības fonda finansējuma apmēra.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25.18. plānošanas dokumentu, pētījumu izstrādāšana vai aktualizācija, ja šo pasākumu vai dokumentu izstrāde ir nepieciešama, lai īstenotu projektā plānotās praktiskās darbības infrastruktūrā gaisu piesārņojošo vielu samazināšanai;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MK noteikumu anotācijā skaidrot, kāda veida plānošanas dokumentu, pētījumu izstrādāšana vai aktualizācija ir attiecināma. Ja šīs izmaksas attiecas uz projekta pamatojošās dokumentācijas sagatavošanas izmaksām, lūdzam apvienot tās ar 25.15.punktā minētajām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Skaidrojam, ka šīs izmaksas neattiecas uz projekta pamatojošās dokumentācijas sagatavošanas izmaksām. Plānošanas dokumentu un pētījumu izstrādāšana varbūt attiecināma, ja ir nepieciešama, lai īstenotu projektā plānotās praktiskās darbības gaisu piesārņojošo vielu samazināšanai (piemēram, pētījums par projekta īstenošanas ietekmi uz gaisa piesārņojošo vielu samazināšanu konkrētajā mikrorajonā vai optimālākā komunālās tehnikas ielu tīrīšanu vismaz no putekļu daļiņu piesārņojuma maršruta izstrāde). Attiecināmās izmaksas nepārsniedz piecus procentus no projekta Eiropas Reģionālās attīstības fonda finansējuma apmēra.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25.19. projekta informācijas un publicitātes pasākumu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pantam un 50. pantam un normatīvajiem aktiem par kārtību, kādā Eiropas Savienības fondu vadībā iesaistītās institūcijas nodrošina šo fondu ieviešanu 2021.–2027. gada plānošanas periodā, nepārsniedzot vienu procentu no projekta kopējām tiešajām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svītrot no noteikumu projekta 25.10.apakšpunktā vārdus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pantam un 50. pantam un normatīvajiem aktiem par kārtību, kādā Eiropas Savienības fondu vadībā iesaistītās institūcijas nodrošina šo fondu ieviešanu 2021.–2027. gada plānošanas periodā", ņemot vērā, ka minētie normatīvie akti nosaka komunikācijas un vizuālās identitātes prasības, bet ne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norādot ierobežojumus izmaksām, vienlaikus, nepārprotamībai ir nepieciešams atstāt norādi uz regulu Nr. 2021/1060, jo zemāk  ir norādīts, ka ir pieļaujamas arī citas izmaksas par sabiedrības informēšanas un izglītošanas pasākumu veikšanu, kas nav atbilstošas regulas Nr. 2021/1060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Neparedzētie izdevumi nepārsniedz piecus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26.punkta redakciju papildināt ar nosacījumu, ka neparedzēto izdevumu izlietošanu finansējuma saņēmējs saskaņo ar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Neparedzētie izdevumi nepārsniedz piecus procentus no projekta kopējām attiecināmajām izmaksām un to izlietošanu finansējuma saņēmējs saskaņo ar sadarbības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Neparedzētie izdevumi nepārsniedz piecus procentus no projekta kopējām attiecināmajām izmaksām un to izlietošanu finansējuma saņēmējs saskaņo ar sadarbības iestādi.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25.3.</w:t>
            </w:r>
            <w:r w:rsidR="00000000" w:rsidRPr="00000000" w:rsidDel="00000000">
              <w:rPr>
                <w:rtl w:val="0"/>
              </w:rPr>
              <w:t xml:space="preserve"> un </w:t>
            </w:r>
            <w:r w:rsidR="00000000" w:rsidRPr="00000000" w:rsidDel="00000000">
              <w:rPr>
                <w:rtl w:val="0"/>
              </w:rPr>
              <w:t xml:space="preserve">25.7.</w:t>
            </w:r>
            <w:r w:rsidR="00000000" w:rsidRPr="00000000" w:rsidDel="00000000">
              <w:rPr>
                <w:rtl w:val="0"/>
              </w:rPr>
              <w:t xml:space="preserve"> apakšpunktā minētās izmaksas ir attiecināmas, ja pēc ieguldījumu veikšanas elektrotīkli un vājstrāvu tīkli, apgaismes risinājumi, tai skaitā iekārtas, viedās tehnoloģijas, apgaismojuma elementi, videonovērošanas kameras un elektrouzlādes punktu aprīkojums paliek finansējuma saņēmēja īpašumā vismaz piecus gadus pēc projekta noslēguma maksājuma veikšanas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redakciju, jo punkts attiecas arī uz sadarbības partneri - valsts tiešās pārvaldes iestādi.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25.3. un 25.7. apakšpunktā minētās izmaksas ir attiecināmas, ja pēc ieguldījumu veikšanas elektrotīkli un vājstrāvu tīkli, apgaismes risinājumi, tai skaitā iekārtas, viedās tehnoloģijas, apgaismojuma elementi, videonovērošanas kameras un elektrouzlādes punktu aprīkojums paliek finansējuma saņēmēja </w:t>
            </w:r>
            <w:r w:rsidR="00000000" w:rsidRPr="00000000" w:rsidDel="00000000">
              <w:rPr>
                <w:b w:val="1"/>
                <w:rtl w:val="0"/>
              </w:rPr>
              <w:t xml:space="preserve">un sadarbības partnera</w:t>
            </w:r>
            <w:r w:rsidR="00000000" w:rsidRPr="00000000" w:rsidDel="00000000">
              <w:rPr>
                <w:rtl w:val="0"/>
              </w:rPr>
              <w:t xml:space="preserve"> īpašumā vismaz piecus gadus pēc projekta noslēguma maksājuma veikšanas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29.1.2.</w:t>
            </w:r>
            <w:r w:rsidR="00000000" w:rsidRPr="00000000" w:rsidDel="00000000">
              <w:rPr>
                <w:rtl w:val="0"/>
              </w:rPr>
              <w:t xml:space="preserve"> un </w:t>
            </w:r>
            <w:r w:rsidR="00000000" w:rsidRPr="00000000" w:rsidDel="00000000">
              <w:rPr>
                <w:rtl w:val="0"/>
              </w:rPr>
              <w:t xml:space="preserve">29.1.3.</w:t>
            </w:r>
            <w:r w:rsidR="00000000" w:rsidRPr="00000000" w:rsidDel="00000000">
              <w:rPr>
                <w:rtl w:val="0"/>
              </w:rPr>
              <w:t xml:space="preserve"> apakšpunktā minētās izmaksas ir attiecināmas, ja pēc ieguldījumu veikšanas elektrotīkli un vājstrāvu tīkli, apgaismes risinājumi, tai skaitā iekārtas, viedās tehnoloģijas, apgaismojuma elementi, videonovērošanas kameras un elektrouzlādes punktu aprīkojums digitālo ierīču uzlādei un mikromobilitātes atbalstam paliek finansējuma saņēmēja un sadarbības partnera valdījumā vai īpašumā vismaz piecus gadus pēc projekta noslēguma maksājuma veikšanas finansējuma saņēmējam.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Izmaksas ir attiecināmas no šo noteikumu spēkā stāšanās dienas, izņemot projekta pamatojošās dokumentācijas sagatavošanas izmaksas, kas ir attiecināmas, ja tās veiktas pēc 2021.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kas nosaka finanšu plūsmas pirms projekta apstiprināšanas nodrošināšanas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Izmaksas ir attiecināmas no šo noteikumu spēkā stāšanās dienas, izņemot projekta pamatojošās dokumentācijas sagatavošanas izmaksas, kas ir attiecināmas, ja tās veiktas pēc 2021. gada 1. janvāra.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Izmaksas, kas saskaņā ar šiem noteikumiem nav iekļaujamas projektā kā attiecināmās izmaksas, ir finansējamas ārpus projekta par finansējuma saņēmēja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šo punktu, jo 24.punktā noteikts, ka plāno tikai attiecināmās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jo norma ir nepieciešama, lai finansējuma saņēmējs skaidri zinātu, ko var finansēt ārpus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Izmaksas, kas saskaņā ar šiem noteikumiem nav iekļaujamas projektā kā attiecināmās izmaksas, ir finansējamas ārpus projekta par finansējuma saņēmēja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38.1.5. projektā nodrošina, ka daļā labiekārtošanas darbu melnzemes vietā tiks izmantots no bioloģiski noārdāmiem atkritumiem (dārzu un parku atkritumiem) sagatavots komposts;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konkrētāk, ko nozīmē </w:t>
            </w:r>
            <w:r w:rsidR="00000000" w:rsidRPr="00000000" w:rsidDel="00000000">
              <w:rPr>
                <w:b w:val="1"/>
                <w:rtl w:val="0"/>
              </w:rPr>
              <w:t xml:space="preserve">"daļā labiekārtošanas darbu"</w:t>
            </w:r>
            <w:r w:rsidR="00000000" w:rsidRPr="00000000" w:rsidDel="00000000">
              <w:rPr>
                <w:rtl w:val="0"/>
              </w:rPr>
              <w:t xml:space="preserve">, un kā šī daļa tiks mērīta.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detalizētāk, kā vērtēt vai projektā tiek ievērots horizontālais princips “Nenodarīt būtisku kaitējumu” daļā, par noteikumu projekta 38.1.5.apakšpunkta nosacījumu ir paredzēta projektu iesniegumu vērtēšanas kritērijā Nr. 2.12. “Projektā ir plānots daļā labiekārtošanas darbu melnzemes vietā izmantot no bioloģiski noārdāmiem atkritumiem (dārzu un parku atkritumiem) sagatavotu kompostu.”, kas apstiprināta  2023.gada 6.oktobrī Eiropas Savienības fondu 2021. – 2027. gada plānošanas perioda Uzraudzības komitejā https://www.esfondi.lv/profesionaliem/uzraudzibas-komiteja/uk-e-portfelis-2021-2027/2023-09-12-uk-rakstiska-procedura-varam_2235.projekta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procentuālais daudzums noteikumu projektā netiek noteikts, vienlaikus, iesniedzējam ir jāsniedz pietiekama informācija, lai projekta iesniegumu vērtēšanas komisija gūtu pārliecību, ka daļā labiekārtošanas darbu melnzemes vietā tiks izmantots no bioloģiski noārdāmiem atkritumiem (dārzu un parku atkritumiem) sagatavots komposts.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38.1.5. projektā nodrošina, ka daļā labiekārtošanas darbu melnzemes vietā tiks izmantots no bioloģiski noārdāmiem atkritumiem (dārzu un parku atkritumiem) sagatavots komposts;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projektā ir atbalstāmas darbības, kas paredz enerģijas ietaupījumu vai pāreju uz atjaunojamajiem energoresursiem, kas nerada gaisa piesārņojošo vielu emisijas, vai pasākumus, kas kopumā vai daļēji ir aizstājami ar izmaksefektīviem vai tehniski vai ekonomiski vai videi nekaitīgiem alternatīviem pasākumiem, vai vienlīdz efektīvi nodrošina attiecīgo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projektu, ņemot vērā, ka 27.punktā kā atbalstāmā darbība nav ietverta atjaunīgo energoresursu tehnoloģiju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kas ir "...kas kopumā vai daļēji ir aizstājami ar izmaksefektīviem vai tehniski vai ekonomiski vai videi nekaitīgiem alternatīviem pasākumiem" un "vienlīdz efektīvi nodrošina attiecīgo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atjaunīgo energoresursu tehnoloģiju iegāde un uzstādīšana tiek atbalstīta, īstenojot publiskās teritorijas labiekārtošanu un ar to saistīto pasākumus, kā attiecināmas izmaksas videi draudzīga apgaismojuma izbūves, tai skaitā inovatīvu apgaismojuma risinājumiem (piemēram, projekta ietvarā izveidotas zaļās zonas (parka) apgaismošanai).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Detalizēti, kā pasākumā vērtēt horizontālo principu “Energoefektivitāte pirmajā vietā”, jeb 38.2.apakšpunktā minēto ir noteikts projektu iesniegumu vērtēšanas kritērijā Nr. 2.14. “Projekta iesniegumā iekļautas darbības, kas paredz enerģijas ietaupījumu vai pāreju uz atjaunojamajiem energoresursiem, vai pasākumus, kas kopumā vai daļēji ir aizstājami ar energoefektivitātes izmaksefektīviem vai tehniski vai ekonomiski vai videi nekaitīgiem alternatīviem pasākumiem, vai vienlīdz efektīvi nodrošina mērķu sasniegšanu.”,  kas apstiprināta  2023.gada 6.oktobrī Eiropas Savienības fondu 2021. – 2027. gada plānošanas perioda Uzraudzības komitejā https://www.esfondi.lv/profesionaliem/uzraudzibas-komiteja/uk-e-portfelis-2021-2027/2023-09-12-uk-rakstiska-procedura-varam_2235.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projektā ir atbalstāmas darbības, kas paredz enerģijas ietaupījumu vai pāreju uz atjaunojamajiem energoresursiem, kas nerada gaisa piesārņojošo vielu emisijas, vai pasākumus, kas kopumā vai daļēji ir aizstājami ar izmaksefektīviem vai tehniski vai ekonomiski vai videi nekaitīgiem alternatīviem pasākumiem, vai vienlīdz efektīvi nodrošina attiecīgo mērķu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nodrošina, ka projektā izveidotā infrastruktūra būs  noturīga pret ekstrēmiem klimatiskajiem notikumiem, tai skaitā iesniedz novērtējumu, kā projekta ietvaros tiks nodrošināta atbilstība pielāgošanās klimata pārmaiņām aspektiem, lai uzlabotu noturības līmeni pret klimata pārmaiņu ietekmi, novēršot infrastruktūras neaizsargātību pret klimatisko apstākļu iespējamo ilgtermiņa ietekmi vai akūtiem notikumiem.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kas Latvijas mērogā ir </w:t>
            </w:r>
            <w:r w:rsidR="00000000" w:rsidRPr="00000000" w:rsidDel="00000000">
              <w:rPr>
                <w:b w:val="1"/>
                <w:rtl w:val="0"/>
              </w:rPr>
              <w:t xml:space="preserve">"ekstrēmi klimatiskie notikumi"</w:t>
            </w:r>
            <w:r w:rsidR="00000000" w:rsidRPr="00000000" w:rsidDel="00000000">
              <w:rPr>
                <w:rtl w:val="0"/>
              </w:rPr>
              <w:t xml:space="preserve">, kā arī skaidrot, kādai informācijai jābūt iekļautai šajā novērtējumā (konkrēti noteikumi vai tml.) un kas šo novērtējumu veic (piemēram, vai jāpiesaista profesionāli speciālisti vai to var veikt pašvaldības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apstākļos bijušajiem un nākotnē iespējamiem ekstrēmu laikapstākļu piemēru aprakstiem var iepazīties Latvijas pielāgošanās klimata pārmaiņām plānu laika posmam līdz 2030. gadam (https://likumi.lv/ta/id/308330-par-latvijas-pielagosanas-klimata-parmainam-planu-laika-posmam-lidz-2030-gadam) sadaļā Nr.2.1.5. “Ekstremāli laikapstākļi” (piemēram, kopējais nokrišņu daudzums 23.-24. augustā 2017. gadā Rēzeknes novērojumu stacijā atbilda ¼ daļai no visas gada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pašvaldības var izmantot SIA "Latvijas Vides, ģeoloģijas un meteoroloģijas centrs" izstrādāto klimata vietni, lai noteiktu ar kādiem ekstrēmiem notikumiem konkrētā pašvaldība var saskarties. Attiecīgi pret tiem būtu jāvērtē iespējamie infrastruktūras bojājumi un iespējamo bojājumu novēršana. Detalizētāk, piemēram, Liepājas valstspilsētas gadījumā lūdzu iepazīties šeit: https://klimats.meteo.lv/pasvaldibu_apskati/valstspilseta/liepajas_pilseta/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projekta iesniedzējam ir jāsniedz pietiekama informācija, lai projekta iesniegumu vērtēšanas komisija gūtu pārliecību, ka projekta iesniegumā ir izvērtēta iespēja projektā iekļaut darbības, kas paredz pielāgošanos klimata pārmaiņām un, ka projekta iesniedzējs ir apzinājis dažādus  klimata pārmaiņu radītos riskus atkarībā no projektā paredzētajām darbībām. Šādu risku novērtējumu ir iespējams veikt projekta iesnieguma risku izvērtēšanas sadaļā. Ja projektā ir darbības, kuras nekādi neietekmē klimata pārmaiņu radītie riski to attiecīgi pamatojot, šāds risku novērtējums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anotācijas 8.1.7.apakšpunktā ir sniegts skaidrojums un piemēri saistībā ar horizontālo principu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 kā vērtēt horizontālo principu “Klimatdrošināšana”, jeb 38.3.apakšpunktā minēto ir paredzēta projektu iesniegumu vērtēšanas kritērijā Nr. 2.13. “Projektā tiek nodrošināta atbilstība pielāgošanās klimata pārmaiņām aspektiem, izvērtējot klimatiskās ietekmes faktorus un veidojot tādu infrastruktūru, kas ir noturīga pret šo faktoru izpausmi.”,  kas apstiprināta  2023.gada 6.oktobrī Eiropas Savienības fondu 2021. – 2027. gada plānošanas perioda Uzraudzības komitejā https://www.esfondi.lv/profesionaliem/uzraudzibas-komiteja/uk-e-portfelis-2021-2027/2023-09-12-uk-rakstiska-procedura-varam_2235.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par ka  Horizontālā principa “Klimatdrošināšana”  metodiskiem norādījumiem  atbild Klimata un enerģētikas ministrija, kas izstrādā “Vadlīnijas horizontālā principa “Klimatdrošināšana” ieviešanai un uzraudzībai (2021-2027)”. Attiecīgi specifiski detalizētu jautājumu gadījumā aicinām sazināties ar Klimata un enerģētikas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nodrošina, ka projektā izveidotā infrastruktūra būs  noturīga pret ekstrēmiem klimatiskajiem notikumiem, tai skaitā iesniedz novērtējumu, kā projekta ietvaros tiks nodrošināta atbilstība pielāgošanās klimata pārmaiņām aspektiem, lai uzlabotu noturības līmeni pret klimata pārmaiņu ietekmi, novēršot infrastruktūras neaizsargātību pret klimatisko apstākļu iespējamo ilgtermiņa ietekmi vai akūtiem notikumiem.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attiecināms, projekta ietvaros, veicot iepirkumus, nodrošina vides prasību integrāciju preču, pakalpojumu un būvdarbu iepirkumos (zaļais publiskais iepirkums), kā arī izvērtē sociāli atbildīga publiskā iepirkuma nosacījumu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38.punktu, norādot personu, kura attiecīgo pienākumu veiks.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attiecināms, projekta ietvaros, veicot iepirkumus, finansējuma saņēmējs un sadarbības partneris (ja attiecināms) nodrošina vides prasību integrāciju preču, pakalpojumu un būvdarbu iepirkumos (zaļais publiskais iepirkums), kā arī izvērtē sociāli atbildīga publiskā iepirkuma nosacījumu piemērošanu.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nodrošina regulas Nr. 2021/1060 47. un 50. pantā noteiktos informācijas un publicitātes pasākumus saskaņā ar kārtību, kādā Eiropas Savienības fondu vadībā iesaistītās institūcijas nodrošina šo fondu ieviešanu 2021.–2027. gada plānošanas periodā, un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vienota terminoloģijas lietošanu attiecībā uz komunikācijas un vizuālās identitātes pasākumiem visos Eiropas Savienības tiesību aktos, kā arī nodrošinātu vienotu atsauci uz normatīviem aktiem, kas nodrošina attiecīgo prasību piemērošanu, lūdzam izteikt noteikumu projekta 41.1.apakšpunktu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komunikācijas un vizuālās identitātes pasākumus saskaņā ar Regulas Nr.2021/1060 47. un 50. pantu un normatīvajiem aktiem, kas nosaka kārtību, kādā Eiropas Savienības fondu vadībā iesaistītās institūcijas nodrošina šo fondu ieviešanu 2021.–2027.gada plānošanas periodā, kā arī ievēro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nodrošina komunikācijas un vizuālās identitātes pasākumus saskaņā ar Regulas Nr.2021/1060 47. un 50. pantu un normatīvajiem aktiem, kas nosaka kārtību, kādā Eiropas Savienības fondu vadībā iesaistītās institūcijas nodrošina šo fondu ieviešanu 2021.–2027.gada plānošanas periodā, kā arī ievēro Eiropas Savienības fondu 2021.–2027. gada plānošanas perioda un Atveseļošanas fonda komunikācijas un dizaina vadlīnijas;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nodrošina komunikācijas un vizuālās identitātes pasākumus saskaņā ar Regulas Nr.2021/1060 47. un 50. pantu un normatīvajiem aktiem, kas nosaka kārtību, kādā Eiropas Savienības fondu vadībā iesaistītās institūcijas nodrošina šo fondu ieviešanu 2021.–2027.gada plānošanas periodā, kā arī ievēro Eiropas Savienības fondu 2021.–2027. gada plānošanas perioda un Atveseļošanas fonda komunikācijas un dizaina vadlīnijas;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projekta izmaksu pieaugumu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jo dublējas ar 34.punktā norādīto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 t.sk. dzēšot bijušo 34.punktu.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projekta izmaksu pieaugumu, tai skaitā projekta īstenošanas gaitā radušos sadārdzinājumu sedz no saviem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nodrošina, ka projektā plānotie darbi netiek finansēti vai līdzfinansēti, kā arī nav plānots tos finansēt vai līdzfinansēt no citiem valsts vai ārvalstu finanšu atbalsta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44.4. apakšpunktu aiz vārda "instrumentiem" ar vārdiem "un nodrošina dubultā finansējuma neiestāšanos".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nodrošina, ka projektā plānotie darbi netiek finansēti vai līdzfinansēti, kā arī nav plānots tos finansēt vai līdzfinansēt no citiem valsts vai ārvalstu finanšu atbalsta instrumentiem un nodrošina dubultā finansējuma neiestāšanos;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44.10. finansējuma saņēmējs un sadarbības partneris (ja attiecināms) novērš interešu konflikta risku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noteikumu projektu ar pienākumu finansējuma saņēmējam un sadarbības partnerim parakstīt apliecinājumu par interešu konflikta neesamību. Ievērojot minēto, tostarp to, ka noteikumu projekts paredz arī publisko iepirkumu veikšanu, lūdzam izteikt noteikumu projekta 44.10. apakšpunktu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44.10. finansējuma saņēmējs un sadarbības partneris (ja attiecināms) novērš interešu konflikta risku un paraksta interešu konflikta neesamības apliecinājumu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normatīvo aktu publisko iepirkumu jomā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44.10. finansējuma saņēmējs un sadarbības partneris (ja attiecināms) novērš interešu konflikta risku un paraksta interešu konflikta neesamības apliecinājumu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normatīvo aktu publisko iepirkumu jomā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sadarbības iestādei ir pieejami valsts budžeta līdzekļi, tā, izvērtējot plānotā avansa apmēru un tā pamatojumu un pamatojoties uz finansējuma saņēmēja rakstisku avansa pieprasījumu, pēc vienošanās par projekta īstenošanu noslēgšanas var piešķirt finansējuma saņēmējam avansu.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50 procentiem no projektam piešķirtā Eiropas Reģionālās attīstības fonda un līdzfinansējuma kopsummas, ievērojot, ka avansu var izmaksāt vairākos maksājumos un avansa un starpposma maksājumu kopsumma nepārsniedz 90 procentus no projektam piešķirtā Eiropas Reģionālās attīstības fonda un pašvaldības budžeta finansējuma kopsummas.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42.punktā vārdus "un pašvaldības budžeta finansējuma kopsummas". Vēršam uzmanību, ka saskaņā ar Ministru kabineta 2023.gada 25.aprīļa noteikumu Nr.205 "Valsts budžeta līdzekļu plānošanas kārtība Eiropas Savienības fondu projektu īstenošanai un maksājumu veikšanai 2021.– 2027. gada plānošanas periodā" nosacījumiem, avansa un starpposma maksājuma kopsummu veido attiecīgais Eiropas Savienības fonds un </w:t>
            </w:r>
            <w:r w:rsidR="00000000" w:rsidRPr="00000000" w:rsidDel="00000000">
              <w:rPr>
                <w:u w:val="single"/>
                <w:rtl w:val="0"/>
              </w:rPr>
              <w:t xml:space="preserve">valsts budžeta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sadarbības iestādei ir pieejami valsts budžeta līdzekļi, tā, izvērtējot plānotā avansa apmēru un tā pamatojumu un pamatojoties uz finansējuma saņēmēja rakstisku avansa pieprasījumu, pēc vienošanās par projekta īstenošanu noslēgšanas var piešķirt finansējuma saņēmējam avansu.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50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Pasākuma ietvaros netiek atbalstītas darbības, kurām sniegtais atbalsts ir kvalificējams kā komercdarbības atbalsts, izņemot komercdarbības atbalstu siltumapgādes un (vai) ūdenssaimniecības sabiedrisko pakalpojumu sniedzējam. Ja ar saimniecisko darbību nesaistīts projekts, kura attiecināmās izmaksas atbilst jebkurām šo noteikumu </w:t>
            </w:r>
            <w:r w:rsidR="00000000" w:rsidRPr="00000000" w:rsidDel="00000000">
              <w:rPr>
                <w:rtl w:val="0"/>
              </w:rPr>
              <w:t xml:space="preserve">25.</w:t>
            </w:r>
            <w:r w:rsidR="00000000" w:rsidRPr="00000000" w:rsidDel="00000000">
              <w:rPr>
                <w:rtl w:val="0"/>
              </w:rPr>
              <w:t xml:space="preserve"> punktā minētajām izmaksām, tā ieviešanas gaitā vai uzraudzības periodā pēc tā pabeigšanas kļūst par projektu, kas saistīts ar saimniecisku darbību, kurai sniegtais atbalsts būtu kvalificējams kā komercdarbības atbalsts, finansējuma saņēmējs no finansējuma, par kuru nav saņemts nekāds komercdarbības atbalsts, atmaksā sadarbības iestādei visu nelikumīgi saņemto atbalstu kopā ar procentiem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noteikumu projekta 43.punkta otro teikumu kā jaunu punktu, ņemot vērā, ka tiek noteikts nosacījums, ja projekts tā īstenošanas laikā kļūs par projektu, kas saistīts ar saimniecisku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Projekta iesniedzējs un sadarbības partneris (ja attiecināms) īstenojot šo noteikumu </w:t>
            </w:r>
            <w:r w:rsidR="00000000" w:rsidRPr="00000000" w:rsidDel="00000000">
              <w:rPr>
                <w:rtl w:val="0"/>
              </w:rPr>
              <w:t xml:space="preserve">23.</w:t>
            </w:r>
            <w:r w:rsidR="00000000" w:rsidRPr="00000000" w:rsidDel="00000000">
              <w:rPr>
                <w:rtl w:val="0"/>
              </w:rPr>
              <w:t xml:space="preserve"> punktā atbalstāmās darbības nodrošina siltumapgādes un (vai) ūdenssaimniecības sistēmas (ja attiecināms) un projekta rezultātu ilgtspēju nodrošinot sasniegto rezultātu uzturēšanu līdz pilnvarojuma līguma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48.punktu, izslēdzot teikuma daļu “un projekta rezultātu ilgtspēju nodrošinot sasniegto rezultātu”, tādējādi nodrošinot skaidru izpratni kāds periods attiecas uz projekta rezultātu ilgtspējas nodrošināšanu un kāds periods ir attiecināms uz VTNP infrastruktūras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un sadarbības partneris (ja attiecināms) īstenojot šo noteikumu 23. punktā atbalstāmās darbības nodrošina siltumapgādes un (vai) ūdenssaimniecības sistēmas (ja attiecināms) uzturēšanu līdz pilnvarojuma līguma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Finansējuma saņēmējs un sadarbības partneris (ja attiecināms) īstenojot šo noteikumu </w:t>
            </w:r>
            <w:r w:rsidR="00000000" w:rsidRPr="00000000" w:rsidDel="00000000">
              <w:rPr>
                <w:rtl w:val="0"/>
              </w:rPr>
              <w:t xml:space="preserve">27.</w:t>
            </w:r>
            <w:r w:rsidR="00000000" w:rsidRPr="00000000" w:rsidDel="00000000">
              <w:rPr>
                <w:rtl w:val="0"/>
              </w:rPr>
              <w:t xml:space="preserve"> punktā atbalstāmās darbības nodrošina siltumapgādes un (vai) ūdenssaimniecības sistēmas (ja attiecināms) uzturēšanu līdz pilnvarojuma līguma beigām.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projektu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saglabājams noteikumu projekta pielikums, ņemot vērā, ka tajā ietvertā informācija par maksimālo Eiropas Reģionālās attīstības fonda finansējuma apmēru atbilst noteikumu projekta 11. punktā norādītajam, un pēc nepieciešamības papildināt noteikumu projektu ar rezultāta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noteikumu projekta pielikuma nosaukuma izriet, ka tajā ir ietverts projektu saraksts, taču pielikuma saturs tam neatbilst.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noteikuma projekta pielikuma nosaukums, vienlaikus, izvērtējot noteikuma projekta būtību, t.sk. ņemot vērā iepriekš izteiktos juridiskos un redakcionālos priekšlikumus/iebildumus, uzskatām, ka viennozīmīgumam  ir jāatstāj noteikuma projekta pielikums, kurā tiek viennozīmīgi norādīts, ka katra pašvaldība iesniedz vienu projektu ar tam pieejamo finansējumu un sasniedzamajiem minimālajiem rādītājiem. Papildus veicot priekšlikumā izteiktās būtiskās izmaiņas noteikumu projekta redakcijās, kas nemaina būtību, bet rada būtisku risku pagarināt noteikuma projekta saskaņošanas procesu saņemot jaunus iebildumus par jaunajām redakcijām no citām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projektu saraksts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pasākumā plānotajiem intervences kodiem, tādējādi nodrošinot informācijas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1.3.apakšnodaļas sadaļā "Risinājuma apraksts" norādīt pilno Atjaunojamo energoresursu direktīvas nosaukumu un pieņemšanas datumu, kā arī pilno Eiropas Parlamenta un Padomes Direktīvas 2012/27/ES nosaukumu un pieņemšanas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teikumu "Noteikumu projekta ietvaros elektroenerģijas un ūdenssaimniecības pieslēgumu ierīkošana un to saistītās jaudas palielināšana nav paredzētas kā atbalstāmās darbības, izņemot, ja tās saistītas ar publiski pieejama dzeramā ūdens ieguves vietas ierīkošanu vai citiem pasākumiem, kas nepieciešami projekta mērķa sasniegšanai, piemēram ūdeni izmantojošus putekļu samazinošiem risinājumiem" papildināt atbilstoši MK noteikumu projektā plānotajām atbalstāmajām darbībām "publiski pieejama dzeramā ūdens ieguves vietas (brīvkrāna) ierīkošanu, gaisu mitrinošiem vai citiem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izvērstāk skaidrot rezultāta rādītāju aprēķinu, t.sk., vai teritorijas labiekārtošanas gadījumā teritorijai vai funkcionāli saistītajai teritorijai visos gadījumos ir jābūt vienādai vai lielākai par 5 ha; vai aprēķins piemērojams tikai uz minētajām darbībām, vai arī uz citām MK noteikumu projekta 23. un 25. punktā minētajām darbībām un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labot tehniskās neprecizitātes: "reizinot ar 6,28 kvadrātkilometriem" aizstājot ar "reizinot ar 6,25 kvadrātkilometriem"; "(1000x0,13=6250)" aizstājot ar "(1000x0,13=130)";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skaidrot, vai pasākuma ietvaros ir atbalstāma jebkuras pašvaldības ēkas (neatkarīgi no funkcijas vai lietojuma mērķa) pieslēgšana siltumapgādes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skaidrot, kas pasākuma ietvaros ir "kādi lokāli (punktveida) pasākumi teritorijā, kas nav viens mikrorajons";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skaidrot vai pasākuma ietvaros būs atbalstāma jebkādu mazemisiju un bezemisiju transportlīdzekļu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skaidrot lietoto terminu "zemo emisiju zonas", t.sk. norādot piemērus;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lūdzam papildināt rindkopu "[..] Noteikumu projekts paredz, ka finansējuma saņēmējs nodrošina interešu konflikta neesamību saskaņā ar [..]"  norādot, ka minētā norma attiecas arī uz projekta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neierobežotu siltumapgādes un ūdenssaimniecības pieslēgumu ierīkošanu gadījumos, kad zeme zem plānotajām inženierkomunikācijām nav projekta iesniedzēja vai sadarbības partnera īpašums, lūdzam papildināt ar skaidrojumu "Gadījumos, kad sabiedriskā pakalpojuma sniegšanai nepieciešamie inženiertīkli (ūdenssaimniecības un siltumapgādes tīkli) tiek izbūvēti pa ne projekta iesniedzējam vai sadarbības partnerim piederošu zemes īpašumu, to izbūvi veic, ievērojot būvnormatīvos noteiktās prasības un līdz noslēguma maksājuma veikšanai izbūvētos inženiertīklus kā zemes īpašuma apgrūtinājumu reģistrē Nekustamā īpašuma valsts kadastra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informāciju, ka Vides aizsardzības un reģionālās attīstības ministrija pildīs atbildīgās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procentuālo apmēru 2026.gadam un 2027.gadam rindkopā par kopējo izdevumu proporciju dalījumā pa gadiem, jo procentuālais aprēķins nesakrīt ar skaitlisko vērtību.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3.sadaļas 6.punktā svītrot pirmo rindkopu, jo tajā norādītais dublē tālākajās šī punkta rindkopās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anotāciju ar pasākuma ietekmes uz personu ar invaliditāti vienlīdzīgām iespējām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paredzētas atbalstāmās darbības un to izmaksas, piemēram,  vides un informācijas pieejamības veicināšanai nepieciešamā aprīkojuma iegādes un būvdarbu veikšanas izmaksas; transporta satiksmes uzlabošanas pasākumu un satiksmes viedās regulēšanas sistēmu izmaksas; gājēju un velotransporta kustībai nepieciešamās infrastruktūras izmaksas, kuras netieši  veicinās piekļūstamību personām ar invaliditāti gan būvētai videi, gan informatīvajai videi.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informāciju un publicitāti, tiks nodrošināts, ka informācija publiskajā telpā, t.sk. tīmeklī, ir piekļūstama cilvēkiem ar funkcionāliem traucējumiem, izmantojot vairākus sensoros (redze, dzirde, tauste) kanālus (skat. VARAM vadlīnijas “Tīmekļvietnes izvērtējums atbilstoši digitālās vides piekļūstamības prasībām (WCAG 2.1 AA)” (https://pieklustamiba.varam.gov.lv /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tīmekļvietnē tiks izveidota sadaļa "Viegli lasīt", kurā tiks iekļauta īsa aprakstoša informācija par projektu un citu lasītājiem nepieciešamu informāciju vieglajā valodā, lai plašākai sabiedrībai nodrošinātu iespēju uzzināt par ES fondu ieguldījumiem (skat. LM metodisko materiālu “Ceļvedis iekļaujošas vides veidošanai valsts un pašvaldību iestādēs (2020) https://www.lm.gov.lv/lv/celvedis-ieklaujosasvides-veidosanai-valsts-un-pasvaldibu-iestades-2020).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8.2.punktā ir sniegta informācija, ka ir rasta iespēja iekļaut kritēriju kopā arī specifisko atbilstības kritēriju attiecībā uz HP VINPI : “Projektā ir paredzētas darbības, kas veicina horizontālā principa ”Vienlīdzība, iekļaušana, nediskriminācija un pamattiesību ievērošana” īstenošanu”, vienlaikus, kritērijs nav obligāts un kritērijs nav jāvērtē, ja sniegts skaidrojums, ka horizontālā principa “Vienlīdzība, iekļaušana, nediskriminācija un pamattiesību ievērošana”  prasības nav iespējams piemērot vai ir pierādāmi apstākļi, ka projekta ietvaros nav paredzēti projekta vadības vai publicitātes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nevar anotācijā norādīt, ka šie pasākumi ir obligāti. Vienlaikus papildināta redakcija no LM priekšlikuma, kas tika iekļauts izziņas 71.punktā.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ietekmi uz dzimumu līdztiesību.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un labiekārtojot gājējiem paredzēto infrastruktūru,  tiks domāts par drošu un ērtu pārvietošanos  - ietves tiks veidotas ar lēzenu nobraukumu/uzbraukumu, izvairoties no kāpnēm vai, ja tādas ir, tad ar pielāgojumiem, lai būtu izmantojamas, pārvietojoties ar bērnu ratiņiem. Svarīga ir arī soliņu izbūve pie ietvēm, kas ir būtiska ne tikai vecākai paaudzei, bet arī vecākiem ar bērniem.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8.1.9. sadaļu, jo nobraukumu/uzbraukumu, izvairoties no kāpnēm vai, ja tādas ir, vai, ja tādas ir, tad ar pielāgojumiem, lai būtu izmantojamas, pārvietojoties ar bērnu ratiņiem šā pasākuma ietvaros attiektos uz personām ar invaliditāti vienlīdzīgām iespējām un tiesībām. Papildus informējam, ka pasākumā tiks atbalstīta teritorijas labiekārtošana un ar to saistītie pasākumi, attiecīgi precizēts priekšlikums.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23-TA-1895</w:t>
    </w:r>
    <w:r>
      <w:br/>
    </w:r>
    <w:r w:rsidR="00000000" w:rsidRPr="00000000" w:rsidDel="00000000">
      <w:rPr>
        <w:rtl w:val="0"/>
      </w:rPr>
      <w:t xml:space="preserve">13.12.2023. 10.46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23-TA-1895</w:t>
    </w:r>
    <w:r>
      <w:br/>
    </w:r>
    <w:r w:rsidR="00000000" w:rsidRPr="00000000" w:rsidDel="00000000">
      <w:rPr>
        <w:rtl w:val="0"/>
      </w:rPr>
      <w:t xml:space="preserve">13.12.2023. 10.46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Izziņa_23-TA-1895.docx</dc:title>
</cp:coreProperties>
</file>

<file path=docProps/custom.xml><?xml version="1.0" encoding="utf-8"?>
<Properties xmlns="http://schemas.openxmlformats.org/officeDocument/2006/custom-properties" xmlns:vt="http://schemas.openxmlformats.org/officeDocument/2006/docPropsVTypes"/>
</file>