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21-TA-1821: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Informatīvais ziņojums “Par Eiropas Savienības Atveseļošanas un noturības mehānisma plāna 3.1.2.2.i. investīcijas “Prognozēšanas rīka izstrāde sociālās apdrošināšanas sistēmas ilgtermiņa prognozēm, sistēmas ilgtermiņa stabilitātes izvērtēšanai un nodrošināšanai” īstenošanu un uzraudzību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Prognozēšanas rīka izstrāde sociālās apdrošināšanas sistēmas ilgtermiņa prognozēm, sistēmas ilgtermiņa stabilitātes izvērtēšanai un nodrošināšanai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- 18.01.2022.)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Lūdzu papildināt ziņojuma 2.1.apakšpunktu arī ar rādītājiem, jo atskaites punkti ir viens no rādītāju veidiem. Attiecīgu precizējumu lūdzu veikt arī tālāk 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Lūdzu sniegt skaidrojumu, kas ir atbalsta saņēmēji.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Lūdzu papildināt ziņojuma 3.punktu, ka ar vārdiem "pašas sistēmas" ir domāta sociālās apdrošināšanas sistēma.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4.Ņemot vērā, ka ziņojuma 3.punktā minēto un to, ka tiek veikt salīdzinājums starp modeļiem, lūdzu norādīt precīzāku informāciju par iekšējo modeli.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Ziņojuma 6.punktā norādīts, ka jaunais sociālās apdrošināšanas sistēmas prognozēšanas rīks tiks izmantots Labklājības ministrijā. Lūdzam minēto precizēt, ņemto vērā ziņojuma 10.punktā  noteikto, t.i., iespējams rīka turētājs ir Labklājības ministrija, bet izmantos to plašāk, t.sk.VSAA. Tāpat ziņojuma 10.punktā ir noteikta mērķa grupa sociālās apdrošināšanas sistēmas dalībnieki un atbalsta saņēmēji, līdz ar ko lūdzam izvērtēt un papildināt informatīvo ziņojumu ar plašāku skaidrojumu kā rīks tiks pielietots un kas to varēs izmanot.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Lūdzu ziņojuma 11.punktā norādīt precīzus datumus.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Ziņojuma 13.punktā minēts, ka finansējums ir indikatīvs. Lūdzu skaidrot kāpēc indikatīvi? Vai summa varētu mainīties?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Ņemot vērā ziņojuma 13.punktā minēto, secināms, ka atbalsta veids ir grants. Lūdzu papildus iekļaut ziņojumā informāciju par atbalsta veidu.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Lūdzu precizēt ziņojuma 13.punkta redakciju attiecībā uz valsts budžeta finansējumu.  Vēršu uzmanību, ka valsts budžeta finansējums nav neattiecināms. PVN izmaksas no Atveseļošanas fonda ir neattiecināmas.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Lūdzam izvērtēt un papildināt ziņojuma 17.3.apakšpunktu ar maksājumu veikšanu kartību.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Lūdzam skaidrot, ko ietver ziņojuma 18.3.apakšpunktā vārds “uzturēšana”, ņemot vērā, ka ziņojuma 20.1.un 20.2. apakšpunkts nosaka, ka atbalstāmas ir izstrādes izmaksas. Tāpat lūdzam izvērtēt un papildināt informatīvo ziņojumu, vai plānots veikt rīka testēšanu (ja attiecināms) un vai tam paredzēts pietiekams laiks.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Ņemot vērā, ka sadarbības partnerim ar šo ziņojumu tiek noteikti atsevišķi pienākumi projekta īstenošanā, lūgums izvērtēt un papildināt ziņojumu ar punktu, nosakot, ka finansējuma saņēmējs kopumā ir atbildīgs par projekta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Vēršam uzmanību, ka visām izmaksām, kas nepieciešamas, lai sasniegtu OPERATIONAL ARRANGEMENTS noteiktos atskaites punktus un mērķus, jābūt iekļautām Atveseļošanas fonda plāna izmaksās/aprēķinos, kas tika apstiprināti no Eiropas Komisijas puses. Atbilstoši Eiropas Komisijas sniegtajai informācijai, budžeta iestāžu esošo darbinieku tekošās atalgojuma izmaksas nav finansējamas no Atveseļošanas fonda plāna finansējuma, jo Atveseļošanas fonda plāna finansējums nav paredzēts iestādes ikdienas funkciju izmaksu segšanai. Ja Atveseļošanas fonda plāna ietvaros tiek īstenots projekts/reforma, kura īstenošana nav tieši saistīta ar iestādes ikdienas procesiem un funkcijām, šīs funkcijas ir nodalāmas, kā arī darbiniekam Atveseļošanas fonda plāna finansēta projekta/reformas ietvaros nāksies veikt pienākumus, kas nav viņa ikdienas pienākumu ietvaros, iestāde var vērtēt projekta/reformas vadības un īstenošanas personāla atalgojuma izmaksas segt no Atveseļošanas fonda plāna līdzekļiem, vienlaikus nodrošinot paredzēto mērķu un atskaites punktu atbilstošu sasniegšanu noteiktajā apmērā. Nodarbinātības formu un veidu iestāde organizē atbilstoši iestādes ierastajai kārtībai un Darba likumam. Kā arī atgādinām, ka specifiski attiecināmības jautājumi individuāli ir jāskaņo ar Eiropas Komisiju. Ņemot vērā sniegto skaidrojumu, kā arī dažādos reformu/investīciju ieviešanas modeļus un to dažādo specifiku, lūdzam ministrijai izvērtēt sniegto skaidrojumu un piemērot atbilstošāko no risinājumiem.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Lūdzu skaidrot vai būs kādi kritēriji atbilstoši kam tiek izvērtēta projekta informācija? Lūdzu papildināt ziņojumu ar minēto informāciju, ja attiecināms.Papildus lūdzu papildināt ziņojumu, norādot kārtību, ja finansējuma saņēmēja iesniegtā informācija neatbildīs Atveseļošanas plānā un šajā ziņojumā noteiktajām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Ņemot vērā ziņojuma 32.3.apakšpunktā noteikto, lūdzu skaidrot vai netiek paredzēta arī mērķu pamatojošā dokumentācija. Ja attiecināms, lūdzu papildināt ziņojuma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Lūdzu papildināt ziņojuma 33.3.apakšpunktu arī ar revīzijas iestādi un citiem auditoriem, t.sk. Eiropas Komisiju.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vērst uzmanību, ka attiecībā uz 3.1.2.2.i investīciju nav attiecināmi citi atskaites punkti/mērķi, kas iekļauti darbības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jāmin,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- 3.1.2. reformai noteiktais atskaites punkts “Saeimā ir iesniegts tiesību aktu grozījumu projekts par minimālā ienākuma atbalsta sistēmu” ir pārāk vispārīgs, lai to iekļautu attiecīgās investīcijas MK IZ;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LM ieskatā nav nepieciešams noteikt papildu citus uzraudzības rādītājus nacionālā līmenī. Esošie rādītāji nodrošina investīcijas rezultātā plānoto darbību uzraudzību pilnā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informatīvā ziņojuma 3.punkts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informatīvā ziņojuma 3.punkts.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informatīvā ziņojuma 3.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MK informatīvā ziņojuma 6.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informatīvā ziņojuma 11.punkts.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informatīvā ziņojuma 13.punkts, norādot, ka indikatīvais finansējums ir valsts budžeta finansētās pievienotās vērtības nodokļa izmaksas, ko šobrīd precīzi noprognozēt nav iespējams, jo ir atkarīgas no noslēgto līgumu cenas, veida utt.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MK informatīvā ziņojuma 13.punkts.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informatīvā ziņojuma 13.punkts.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i3.1.2.2.i. investīcijas “Prognozēšanas rīka izstrāde sociālās apdrošināšanas sistēmas ilgtermiņa prognozēm, sistēmas ilgtermiņa stabilitātes izvērtēšanai un nodrošināšanai” (turpmāk – investīcija) projekta sadarbības partneris paredzēta Valsts sociālās apdrošināšanas aģentūra – valsts budžeta iestāde. Tā ir Labklājības ministrijas padotības iestāde, tāpēc projekta īstenošanai plānoti divi finansēšanas plāni. Sadarbības partneris atskaitīsies LM. Attiecīgi maksājumu veikšanas kārtību starp finansējuma saņēmēju un sadarbības partneri nav nepieciešams noteikt.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MK informatīvā ziņojuma 18.3. apakšpunkta dzēsta informācija par prognozēšanas rīka uzturēšanu. Prognozēšanas rīka testēšana notiks paralēli tā izstrādei. (precizēts MK informatīvā ziņojuma 18.2 un 20.2.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informatīvā ziņojuma 17.punkts.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izmaksu aprēķinā iekļauto projekta vadības un īstenošanas personāla atlīdzības izmaksu nepieciešamība jau tika identificēta, izstrādājot Atveseļošanas fonda plāna izmaksas/aprēķinus. Investīcijas projekta īstenošana nav Labklājības ministrijas ikdienas funkcija, jo projekts ir unikāls darbību, pasākumu kopums ar noteiktu mērķi un rezultātu, kas sasniedzams noteiktā termiņā. Attiecīgi projekta būtība liecina, kas tas ir terminēts darbs ar konkrētu mērķi. Savukārt Labklājības ministrijas ikdienas funkcijas ir pastāvīgas, nepārtrauktas.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minēts MK informatīvā ziņojuma 35.punktā, atbilstoši Ministru kabineta 2004. gada 27. janvāra noteikumu Nr. 49 “Labklājības ministrijas nolikums” 5.2.1. apakšpunktā noteiktajam Labklājības ministrija izstrādā valsts politiku sociālās apdrošināšanas un valsts sociālo pabalstu jomā. Prognozēšanas rīks ir nepieciešams minētā Labklājības ministrijas uzdevuma izpildei. Prognozēšanas rīka izstrāde ir vienreizējs pasākums, kas nav Labklājības ministrijas ikdienas funkcija un bez Atveseļošanas fonda plāna atbalsta tā šajā laika posmā netiktu īstenota.  Līdz ar to darbs pie prognozēšanas rīka izstrādes ministrijas darbiniekiem ir papildu pienākums, kas prasa no ikdienas rutīnas darba atšķirīgas kompetences.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bez papildu finansējuma saņēmēja un sadarbības partnera personāla piesaistes nav iespējama investīcijas projekta īstenošana, investīcijas mērķa un atskaites punktu sasniegšana. Izņemot projekta vadītāju, kam paredzēta pilna laika noslodze un atlīdzība projektā, pārējam projekta vadības un īstenošanas personālam paredzētas piemaksas par papildu darbu.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MK informatīvais ziņojums tiek skaņots ar Eiropas Komisiju, kuras sniegtajos komentāros nav norādes par nepieciešamību precizēt investīcijas izmaksu plānojumu, t.sk. projekta vadības un īstenošanas personālam paredzētās izmaksas, pieņemam, ka Eiropas Komisija ir akceptējusi investīciju izmaksu plānojumu – izmaksu pozīcijas un to apmērus.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nav paredzēta investīcijas projekta informācijas vērtēšana tādā izpratnē, kā tā notiek ES fondu projektu iesniegumiem. Paredzēts pārbaudīt iesniegtās investīcijas projekta informācijas atbilstību MK informatīvajam ziņojumam. Pārbaudāmie jautājumi investīcijas projekta atbilstības noteikšanai tiks paredzēti Labklājības ministrijas kā nozares ministrijas iekšējā procedūrā par Atveseļošanas fonda plāna labklājības nozares investīciju īstenošanu un uzraudzību.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kārtību gadījumā, ja finansējuma saņēmēja iesniegtā investīcijas projekta informācija neatbildīs MK informatīvajam ziņojumam, skaidrojam, ka MK informatīvā ziņojuma 26.3.apakšpunktā ir noteikts, ka šādā gadījumā Labklājības ministrija kā nozares ministrija lūgs finansējuma saņēmēju veikt papildinājumus un precizējumus iesniegtajā informācijā, nosakot arī termiņus precizējumu un papildinājumu iesniegšanai.  Papildus plānojam informācijas sagatavošanā izmantot “konsultē vispirms” principu, lai maksimāli samazinātu informācijas precizēšanas reižu skaitu.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skaidro, ka 3.1.2.2.i. investīcijai ir plānoti tikai atskaites punkti, kas noteikti MK informatīvā ziņojuma 11.punktā. Līdz ar to papildinājumi MK informatīvā ziņojuma 32.3.apakšpunktā LM ieskatā nav nepieciešami.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informatīvā ziņojuma 33.3.apakšpunkts.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Prognozēšanas rīka izstrāde sociālās apdrošināšanas sistēmas ilgtermiņa prognozēm, sistēmas ilgtermiņa stabilitātes izvērtēšanai un nodrošināšanai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viens no ziņojuma izdošanas pamatojumiem norādīta Likuma par budžetu un finanšu vadību 19.</w:t>
            </w:r>
            <w:r w:rsidR="00000000" w:rsidRPr="00000000" w:rsidDel="00000000">
              <w:rPr>
                <w:vertAlign w:val="superscript"/>
                <w:rtl w:val="0"/>
              </w:rPr>
              <w:t xml:space="preserve">3</w:t>
            </w:r>
            <w:r w:rsidR="00000000" w:rsidRPr="00000000" w:rsidDel="00000000">
              <w:rPr>
                <w:rtl w:val="0"/>
              </w:rPr>
              <w:t xml:space="preserve"> panta otrā daļa. Vēršam uzmanību, ka ziņojuma izdošanas pamatojums neaptver pilnībā ziņojuma saturiskos virzienus, kas savukārt noteikti arī Likuma par budžetu un finanšu vadību 19.</w:t>
            </w:r>
            <w:r w:rsidR="00000000" w:rsidRPr="00000000" w:rsidDel="00000000">
              <w:rPr>
                <w:vertAlign w:val="superscript"/>
                <w:rtl w:val="0"/>
              </w:rPr>
              <w:t xml:space="preserve">3</w:t>
            </w:r>
            <w:r w:rsidR="00000000" w:rsidRPr="00000000" w:rsidDel="00000000">
              <w:rPr>
                <w:rtl w:val="0"/>
              </w:rPr>
              <w:t xml:space="preserve"> panta pirmajā daļā. Ņemot vērā minēto, lūdzam izvērtēt un precizēt (papildināt) ziņojuma izdošanas pamatojumu.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informatīvā ziņojuma 1.punkts.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Prognozēšanas rīka izstrāde sociālās apdrošināšanas sistēmas ilgtermiņa prognozēm, sistēmas ilgtermiņa stabilitātes izvērtēšanai un nodrošināšanai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budžetu un finanšu vadību 19.</w:t>
            </w:r>
            <w:r w:rsidR="00000000" w:rsidRPr="00000000" w:rsidDel="00000000">
              <w:rPr>
                <w:vertAlign w:val="superscript"/>
                <w:rtl w:val="0"/>
              </w:rPr>
              <w:t xml:space="preserve">3</w:t>
            </w:r>
            <w:r w:rsidR="00000000" w:rsidRPr="00000000" w:rsidDel="00000000">
              <w:rPr>
                <w:rtl w:val="0"/>
              </w:rPr>
              <w:t xml:space="preserve"> panta otrā daļa cita starpā paredz, ka Ministru kabinets nosaka Eiropas Atveseļošanas un noturības mehānisma ieviešanas un nacionālā ekonomikas atveseļošanas un noturības plāna īstenošanas un uzraudzības kārtību. Attiecīgā likuma anotācijā, raksturojot deleģējumu cita starpā norādīts, ka nepieciešams izveidot darboties spējīgu tiesisko regulējumu, lai noteiktu gan šī mehānisma ieviešanā iesaistīto institūciju tiesības un pienākumus, gan arī šo tiesību un pienākumu apmēru attiecīgajiem finansējuma saņēmējiem, jo īpaši, ja minētā mehānisma ieviešanā kā finansējuma saņēmēji būs iesaistīti privāto tiesību subjekti, kuru pienākumu un tiesību apjomam jābūt noteiktam ar ārēju normatīvo aktu. Tā kā Eiropas Komisijas (EK) izstrādātais regulējuma piedāvājums paredz 100% EK finansējumu, vienlaikus tā izmaksu vērtējot pret plāna ietvaros sasniegtajiem kritērijiem, tad nepieciešams Likumā par budžeta un finanšu vadībunoteikt kārtību, kādā Latvijā tiek uzraudzīts šo mērķu sasniegšanas mehānisms līdz EK noteikto izvērtējumu veikšanai un tādējādi saņemtu 100% EK atmaksu par sasniegtajiem rezultātiem. Ņemot vērā, ka arī EK šobrīd vēl turpina aktīvu darbu pie visu nepieciešamo dokumentu izstrādes, šobrīd par labāko un atbilstošāko risinājumu ir atzīts likumā ietverts visaptverošs deleģējums Ministru kabinetam, lai pēc visu nepieciešamo plānošanas dokumentu izstrādes un apstiprināšanas Ministru kabineta līmenī būtu iespējams arī apstiprināt attiecīgus Ministru kabineta noteikumus, kuros noteiktu attiecīgo institūciju un finansējuma saņēmēju tiesības un pienākumus plāna realizācijas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minēto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ziņojuma 2.1.-2.5. apakšpunktā minētos ziņojuma satura elementus sasaistīt (ietvert vienā punktā) ar ziņojuma 1. punktā norādīto ziņojuma izstrādes mērķi, kas būtībā arī paredz ziņojuma saturu (Eiropas Savienības Atveseļošanas un noturības mehānisma plāna 3.1.2.2.i. investīcijas "Prognozēšanas rīka izstrāde sociālās apdrošināšanas sistēmas ilgtermiņa prognozēm, sistēmas ilgtermiņa stabilitātes izvērtēšanai un nodrošināšanai" (turpmāk - Investīcija) īstenošanas un uzraudzības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konkretizēt ziņojuma satura elementus - finansējuma saņēmēja un </w:t>
            </w:r>
            <w:r w:rsidR="00000000" w:rsidRPr="00000000" w:rsidDel="00000000">
              <w:rPr>
                <w:u w:val="single"/>
                <w:rtl w:val="0"/>
              </w:rPr>
              <w:t xml:space="preserve">iesaistīto institūciju</w:t>
            </w:r>
            <w:r w:rsidR="00000000" w:rsidRPr="00000000" w:rsidDel="00000000">
              <w:rPr>
                <w:rtl w:val="0"/>
              </w:rPr>
              <w:t xml:space="preserve"> tiesību un pienākumu noteikšana (ziņojuma 2.3. apakšpunkts) un projektu īstenošanas un uzraudzības </w:t>
            </w:r>
            <w:r w:rsidR="00000000" w:rsidRPr="00000000" w:rsidDel="00000000">
              <w:rPr>
                <w:u w:val="single"/>
                <w:rtl w:val="0"/>
              </w:rPr>
              <w:t xml:space="preserve">nosacījumi</w:t>
            </w:r>
            <w:r w:rsidR="00000000" w:rsidRPr="00000000" w:rsidDel="00000000">
              <w:rPr>
                <w:rtl w:val="0"/>
              </w:rPr>
              <w:t xml:space="preserve"> (ziņojuma 2.5. apakšpunktu) - vai skaidrot to atbilstību Likuma par budžetu un finanšu vadību 19.</w:t>
            </w:r>
            <w:r w:rsidR="00000000" w:rsidRPr="00000000" w:rsidDel="00000000">
              <w:rPr>
                <w:vertAlign w:val="superscript"/>
                <w:rtl w:val="0"/>
              </w:rPr>
              <w:t xml:space="preserve">3</w:t>
            </w:r>
            <w:r w:rsidR="00000000" w:rsidRPr="00000000" w:rsidDel="00000000">
              <w:rPr>
                <w:rtl w:val="0"/>
              </w:rPr>
              <w:t xml:space="preserve"> panta otrajā daļā minētajam pilnvarojumam;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informatīvā ziņojuma 1. un 2.punkts, kā arī 1.3. un 1.5.apakšpunkts (iepriekš 2.3. un 2.5.apakšpunkts).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Prognozēšanas rīka izstrāde sociālās apdrošināšanas sistēmas ilgtermiņa prognozēm, sistēmas ilgtermiņa stabilitātes izvērtēšanai un nodrošināšanai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ziņojuma 11. punktā skaidrot, vai termini "informācijas sistēma" un "prognozēšanas rīks" ziņojumā tiek lietoti kā sinonīmi, vai tiem ir atšķirīgs tvērums. Atbilstoši juridiskās tehnikas prasībām, juridiskos dokumentos nelieto sinonīmus un vienu lietu konsekventi sauc vienā un tajā pašā vārdā. Tāpat atbilstoši juridiskās tehnikas prasībām, termins ir jālieto vienā nozīmē, un tas nav aizstājams ar sinonīmiem. Pamatojoties uz iepriekš minēto, lūdzam skaidrot jēdziena "prognozēšanas rīks" un "informācijas sistēma" tvērumu minētās ziņojuma vienības izpratnē vai arī svītrot ziņojuma 11. punktā norādi uz informācijas sistēmu. Tāpat līdzīgi lūdzam ziņojuma 21.3. un 29.5. apakšpunktā skaidrot, vai termini "pakalpojumu līgums (ziņojumā kļūdaini nav norādīts uz līgumu)" un "uzņēmuma līgums" tiek lietoti kā sinonīmi. Nepieciešamības gadījumā lūdzam minētos terminus atdalīt ar saikli "vai", nelietojot pieturzīmi - iekavas.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informatīvā ziņojuma kontekstā “informācijas sistēma” un “prognozēšanas rīks” ir sinonīmi. Tā kā vēsturiski ir lietots “prognozēšanas rīks”, tad dokumentācijā paliek lietots šāds nosaukums, bet juridiski saglabājas visas prasības, kas minētas normatīvajos aktos par informācijas sistēmu izstrādi, uzturēšanu, drošību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pakalpojumu un uzņēmuma līguma terminu lietošanu, skaidrojam, ka tie tiek lietoti, lai noteiktu izmaksu veidu, kas nepieciešams pakalpojuma sniedzēja piesaistīšanai (t.sk. arī pakalpojumu sniedzēju, kuri tiek piesaistīti uz uzņēmuma līguma pamata).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skaidrojam, ka šāda projektā piesaistāmo pakalpojumu sniedzēju izmaksu terminoloģija tiek lietota arī LM pārziņas ES fondu finansēto programmu reglamentējošos MK noteikumos. Tāpēc LM šādu praksi pārņem arī uz Atveseļošanas fonda investīciju pieļaujamo izmaksu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Prognozēšanas rīka izstrāde sociālās apdrošināšanas sistēmas ilgtermiņa prognozēm, sistēmas ilgtermiņa stabilitātes izvērtēšanai un nodrošināšanai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ziņojuma 14. un 15. punktā svītrot norādes par normatīvajā aktā par Eiropas Savienības Atveseļošanas un noturības mehānisma plāna īstenošanas un uzraudzības kārtību, kā arī ziņojumā noteikto uzdevumu izpildi, jo šādām norādēm nav juridiskas slodzes.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informatīvā ziņojuma 14.un 15.punkts.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Prognozēšanas rīka izstrāde sociālās apdrošināšanas sistēmas ilgtermiņa prognozēm, sistēmas ilgtermiņa stabilitātes izvērtēšanai un nodrošināšanai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pamatotu skaidrojumu par ziņojuma 18. punktā ietverto sadarbības partnera pienākumu atbilstību - Likuma par budžetu un finanšu vadību 19.</w:t>
            </w:r>
            <w:r w:rsidR="00000000" w:rsidRPr="00000000" w:rsidDel="00000000">
              <w:rPr>
                <w:vertAlign w:val="superscript"/>
                <w:rtl w:val="0"/>
              </w:rPr>
              <w:t xml:space="preserve">3</w:t>
            </w:r>
            <w:r w:rsidR="00000000" w:rsidRPr="00000000" w:rsidDel="00000000">
              <w:rPr>
                <w:rtl w:val="0"/>
              </w:rPr>
              <w:t xml:space="preserve"> panta otrajai daļai -, kas cita starpā paredz, ka Ministru kabinets nosaka Eiropas Atveseļošanas un noturības mehānisma ieviešanas un nacionālā ekonomikas atveseļošanas un noturības plāna īstenošanas un uzraudzības kārtību. Skaidrojam, ka atbilstoši Satversmes tiesas judikatūrai pilnvarojumā minētais vārds "kārtība" pamatā piešķir Ministru kabinetam tiesības noteikumos regulēt attiecīgā jautājuma procesuālo raksturu, proti, izstrādāt noteiktu procedūru. Vienlaikus tas neizslēdz Ministru kabineta tiesības pieņemt materiāla rakstura normas, ciktāl netiek pārkāpts attiecīgais pilnvarojums. Tomēr Ministru kabineta noteikumos nevar būt iekļautas tādas materiālās tiesību normas, kas veidotu no pilnvarojošā likuma būtiski atšķirīgas tiesiskās attiecības.[</w:t>
            </w:r>
            <w:r w:rsidR="00000000" w:rsidRPr="00000000" w:rsidDel="00000000">
              <w:rPr>
                <w:vertAlign w:val="superscript"/>
                <w:rtl w:val="0"/>
              </w:rPr>
              <w:t xml:space="preserve">1</w:t>
            </w:r>
            <w:r w:rsidR="00000000" w:rsidRPr="00000000" w:rsidDel="00000000">
              <w:rPr>
                <w:rtl w:val="0"/>
              </w:rPr>
              <w:t xml:space="preserve">] Ja tiesību normā jēdziens "kārtība" nav izmantots, tad pilnvarojums ir atšķirīgs un aptver ne tikai tiesības regulēt darbību procesuālo aspektu.[</w:t>
            </w:r>
            <w:r w:rsidR="00000000" w:rsidRPr="00000000" w:rsidDel="00000000">
              <w:rPr>
                <w:vertAlign w:val="superscript"/>
                <w:rtl w:val="0"/>
              </w:rPr>
              <w:t xml:space="preserve">2</w:t>
            </w:r>
            <w:r w:rsidR="00000000" w:rsidRPr="00000000" w:rsidDel="00000000">
              <w:rPr>
                <w:rtl w:val="0"/>
              </w:rPr>
              <w:t xml:space="preserve">] Šajā sakarā vēršam uzmanību uz Administratīvā procesa likuma 11. pantā minēto, ka Ministru kabineta noteikumi var būt par pamatu privātpersonai nelabvēlīgam administratīvajam aktam vai faktiskai rīcībai tikai tad, ja likumā tieši vai netieši ir ietverts pilnvarojums Ministru kabinetam, izdodot noteikumus, tajos paredzēt šādus administratīvos aktus vai faktisko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atbilstošu skaidrojumu nav iespējams sniegt, lūdzam precizēt ziņojumu, piemēram, paredzot, ka finansējuma saņēmējs, īstenojot projektu sadarbībā ar sadarbības partneriem, nodrošina, ka sadarbības partneris veic attiecīgos pienākumus vai, piemēram, paredzot, ka attiecīgi pienākumi tiek iekļauti sadarbības līgumā.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[1] Satversmes tiesas 2011. gada 6. maija spriedums lietā Nr. 2010-57-03, 13.3. apakšpunkts.</w:t>
            </w:r>
            <w:r w:rsidR="00000000" w:rsidRPr="00000000" w:rsidDel="00000000">
              <w:rPr>
                <w:vertAlign w:val="superscript"/>
                <w:rtl w:val="0"/>
              </w:rPr>
              <w:t xml:space="preserve">[2] Satversmes tiesas 2016. gada 2. marta spriedums lietā Nr. 2015-11-03, 23.3. 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informatīvā ziņojuma 17. un 18.punkts.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informatīvajam ziņojumam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- 18.01.2022.)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projekta pielikumu ar detalizētu aprēķinu/skaidrojumu norādītajai summai 80 607 euro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80 607 euro ietver: projekta vadītāja atalgojums 1647 euro x 36 mēn.=59 292 euro + 5929 (10% sociālās garantijas) = 65 221 euro x 23,59% = 80 607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ieskatā MK informatīvā ziņojuma pielikumā nav nepieciešams atspoguļot detalizētu aprēķinu/skaidrojumu tikai šīm konkrētajām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Prognozēšanas rīka izstrāde sociālās apdrošināšanas sistēmas ilgtermiņa prognozēm, sistēmas ilgtermiņa stabilitātes izvērtēšanai un nodrošināšanai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precizēt ziņojuma 20.4. apakšpunktu, norādot kā vadība un īstenošana ir atbalstāma.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informatīvā ziņojuma 20.4.apakšpunkts.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Prognozēšanas rīka izstrāde sociālās apdrošināšanas sistēmas ilgtermiņa prognozēm, sistēmas ilgtermiņa stabilitātes izvērtēšanai un nodrošināšanai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ziņojuma 26.1.1. un 26.1.2. apakšpunkts paredz uzaicinājumus ar atšķirīgu saturu, lūdzam precizēt ziņojuma 26.2. apakšpunktu, paredzot, ka finansējuma saņēmējs 10 darbdienu laikā pēc uzaicinājuma saņemšanas iesniedz investīcijas projekta informāciju šā ziņojuma 26.1.1. un 26.1.2. apakšpunktā minētajā uzaicinājumā noteiktajā kārtībā. Norādām, ka pretējā gadījumā nav saprotama nepieciešamība paredzēt atšķirīga satura uzaicinājumus 26.1.1. un 26.1.2. apakšpunktā, turklāt minēto apakšpunktu kārtībā saņemts uzaicinājums var radīt finansējuma saņēmējam maldīgu paļāvību par projekta informācijas iesniegšanas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informatīvā ziņojuma 26.1.1. un 26.1.2.apakšpunkts.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Prognozēšanas rīka izstrāde sociālās apdrošināšanas sistēmas ilgtermiņa prognozēm, sistēmas ilgtermiņa stabilitātes izvērtēšanai un nodrošināšanai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ziņojuma 27. punktā un 34.1. apakšpunktā ietvertās atsauces uz iekšējiem noteikumiem nav skaidras, jo ziņojuma 27. punktā nav paredzēta iekšējo noteikumu izstrāde (arī spēkā stāšanās). Attiecīgi ziņojumā ietvertās informācijas nepārprotamam atspoguļojumam lūdzam precizēt minētās atsauces vai atbilstoši papildināt ziņojumu.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informatīvā ziņojuma 16. un 27. punkts, kā arī 34.1.apakšpunkts.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Prognozēšanas rīka izstrāde sociālās apdrošināšanas sistēmas ilgtermiņa prognozēm, sistēmas ilgtermiņa stabilitātes izvērtēšanai un nodrošināšanai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ietvertās informācijas nepārprotamam atspoguļojumam lūdzam ziņojuma 26.1. apakšpunktā un 28. punktā vienveidot ziņojumā lietoto nosacījumu izteiksmi attiecībā uz atskaites punktu, no kura aprēķināms termiņš minētajās ziņojuma vienībās paredzēto darbību veikšanai, proti,- ziņojuma pieņemšana vai ziņojuma apstiprināšana.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informatīvā ziņojuma 26.1.apakšpunkts.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Prognozēšanas rīka izstrāde sociālās apdrošināšanas sistēmas ilgtermiņa prognozēm, sistēmas ilgtermiņa stabilitātes izvērtēšanai un nodrošināšanai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ziņojuma 30.4. apakšpunktā norādīt atskaites punktu piecu darbdienu aprēķināšanai, tādējādi nodrošinot nepārprotamu ziņojumā ietvertā attiecīgā nosacījuma izteiksmi.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informatīvā ziņojuma 30.4.apakšpunkts.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Prognozēšanas rīka izstrāde sociālās apdrošināšanas sistēmas ilgtermiņa prognozēm, sistēmas ilgtermiņa stabilitātes izvērtēšanai un nodrošināšanai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pamatotu skaidrojumu par Eiropas Parlamenta un Padomes 2021. gada 12. februāra Regulas (ES) 2021/241, ar ko izveido Atveseļošanās un noturības mehānismu prasībām, kuras nepieciešams ieviest saistībā ar Investīcijas īstenošanu (no ziņojuma izriet, ka tajā ietverti vairāki nosacījumi, ar kuriem paredzēts nodrošināt minētās regulas prasību īstenošanu). Norādām, ka Eiropas Savienības Tiesa spriedumā lietā Nr. 39/72 </w:t>
            </w:r>
            <w:r w:rsidR="00000000" w:rsidRPr="00000000" w:rsidDel="00000000">
              <w:rPr>
                <w:i w:val="1"/>
                <w:rtl w:val="0"/>
              </w:rPr>
              <w:t xml:space="preserve">Komisija pret Itāliju</w:t>
            </w:r>
            <w:r w:rsidR="00000000" w:rsidRPr="00000000" w:rsidDel="00000000">
              <w:rPr>
                <w:rtl w:val="0"/>
              </w:rPr>
              <w:t xml:space="preserve"> cita starpā noteica, ka regula automātiski ir nacionālās tiesiskās sistēmas sastāvdaļa. Tādēļ ir prettiesiski tādi nacionālie regulas normas īstenošanas mehānismi, kas rada šķēršļus regulas tiešam efektam un apdraud vienlaicīgu un vienādu tās piemērošanu Eiropas Savienībā, bet tai pašā laikā ir jānodrošina to tiešā piemērošana katrā dalībvalstī. Tas nozīmē, ka dalībvalstij ir pienākums nodrošināt tādu normatīvo bāzi, lai regulas būtu iespējams tieši piemērot. Tai skaitā lūdzam skaidrot, kā tiek nodrošināta iespēja minēto regulu tieši piemērot, piemēram, attiecībā uz regulas 5. panta 2. punkta un 22. panta 1. punkta u.c.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informatīvais ziņojums papildināts ar 36.punktu.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Prognozēšanas rīka izstrāde sociālās apdrošināšanas sistēmas ilgtermiņa prognozēm, sistēmas ilgtermiņa stabilitātes izvērtēšanai un nodrošināšanai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ziņojuma 32. punktu, nodrošinot, ka netiek dublēts Ministru kabineta 2021. gada 7. septembra noteikumu Nr. 621 "Eiropas Savienības Atveseļošanas un noturības mehānisma plāna īstenošanas un uzraudzības kārtība" (turpmāk - noteikumi Nr. 621) 9. punktā ietvertais regulējums. Norādām, ka pretējā gadījumā nav skaidrs, vai paredzēts, ka Centrālā finanšu un līgumu aģentūra veic vienīgi izlases veida pārbaudes, kas izriet no minēto noteikumu 9. 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ieskatā precizējumi nav nepieciešami, ņemot vērā, ka minētais punkts nosaka minimālo veicamo pārbaužu apmēru, ko atbilstoši to kompetencei veiks institūcijas.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Prognozēšanas rīka izstrāde sociālās apdrošināšanas sistēmas ilgtermiņa prognozēm, sistēmas ilgtermiņa stabilitātes izvērtēšanai un nodrošināšanai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- 18.01.2022.)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ziņojuma projekta 11.punktā minēto atskaites punktu redakcijas ar Valsts valodas centra veikto Atveseļošanas un noturības mehānisma (turpmāk- AF) Darbības kārtības tulkojumu.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informatīvā ziņojuma 11. 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Prognozēšanas rīka izstrāde sociālās apdrošināšanas sistēmas ilgtermiņa prognozēm, sistēmas ilgtermiņa stabilitātes izvērtēšanai un nodrošināšanai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- 18.01.2022.)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ziņojuma projekta 11.punktā norādot visos tā apakšpunktos attiecīgā ceturkšņa pēdējo datumu, lai viennozīmīgi saprotams, līdz kuram atskaites punktam konkrētajā ceturksnī atskaites punkts sasniedzams.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informatīvā ziņojuma 11.punkts.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Prognozēšanas rīka izstrāde sociālās apdrošināšanas sistēmas ilgtermiņa prognozēm, sistēmas ilgtermiņa stabilitātes izvērtēšanai un nodrošināšanai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- 18.01.2022.)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projekta 12.punktu ar norādi, kam ir pienākums ievadīt KP VIS sistēmā atskaites punktus pamatojošo dokumentāciju. Vienlaikus lūdzam pārliecināties, kas 12.punktā iekļautā atskaites punktus pamatojošā dokumentācija sakrīt ar aktuālāko AF darbības kārtības (Operational arrangements) tulkojumu, ko nodrošinājis Valsts valodas centrs. Papildus vēršam uzmanību, ka attiecībā uz 12.3.apakšpunktā minēto pamatojošo dokumentāciju, AF darbības kārtībā ir minēts, ka nodrošināms Labklājības ministrijas lēmums par izstrādātā prognozēšanas rīka sociālās apdrošināšanas sistēmas ilgtermiņa prognozēm apstiprināšanu.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informatīvā ziņojuma 11. un 12.punkts.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Prognozēšanas rīka izstrāde sociālās apdrošināšanas sistēmas ilgtermiņa prognozēm, sistēmas ilgtermiņa stabilitātes izvērtēšanai un nodrošināšanai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- 18.01.2022.)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investīcijas īstenošanai nepieciešams veikt iepirkumus, lūdzam skaidrot, vai investīcijas ietvaros ir iespējams, ņemot vērā attiecīgās investīcijas specifiku, veikt sociāli atbildīgu publisko iepirkumu.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investīcijas īstenošanai ir nepieciešams piesaistīt ekspertus ar ļoti specifiskām zināšanām un kvalifikācijām salīdzinoši šaurā jomā, kā arī to, ka iepirkuma pildīšanas rezultātā netiks īstenotas vai tam neatbilst virkne sociāli atbildīga publiskā iepirkuma iespējas (tādu personu nodarbināšana, kas darba tirgū ir nelabvēlīgā situācijā; pienācīgu darba apstākļu veicināšana; atbalsts sociālo uzņēmumu dalībai publiskajos iepirkumos; sociālā un profesionālā iekļautības sekmēšana u.c.), uzskatām, ka šajā gadījuma nebūtu attiecināmi nosacījumi par sociāli atbildīgu publisko iepirkumu.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Prognozēšanas rīka izstrāde sociālās apdrošināšanas sistēmas ilgtermiņa prognozēm, sistēmas ilgtermiņa stabilitātes izvērtēšanai un nodrošināšanai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- 18.01.2022.)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21.1., 21.3.1. un 29.2. apakšpunktā minētās izmaksas, ņemot vērā, ka AF plāna 2.pielikumā un tam pievienotajā LM papildus sagatavotajā aprēķinā par izmaksu aprēķinu, attiecībā uz personāla izmaksām ar EK tika saskaņotas tikai izmaksas, kas attiecas uz projekta vadības personālu aptuveni 84 700 EUR apmērā. Vēršam uzmanību, ka projekta īstenošanas personāla izmaksas, kas saistītas ar LM pamata darbiniekiem, tika uzskatītas kā attiecināmas uz pastāvīgo funkciju veikšanu.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informatīvā ziņojuma 21.1., 21.3.1. un 29.3.apakšpunktā iekļauto projekta vadības un īstenošanas personāla atlīdzības izmaksu nepieciešamība jau tika identificēta, izstrādājot Atveseļošanas fonda plāna izmaksas/aprēķinus. Investīcijas projekta īstenošana nav Labklājības ministrijas ikdienas funkcija, jo projekts ir unikāls darbību, pasākumu kopums ar noteiktu mērķi un rezultātu, kas sasniedzams noteiktā termiņā. Attiecīgi projekta būtība liecina, kas tas ir terminēts darbs ar konkrētu mērķi. Savukārt Labklājības ministrijas ikdienas funkcijas ir pastāvīgas, nepārtrauktas.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minēts MK informatīvā ziņojuma 35.punktā, atbilstoši Ministru kabineta 2004. gada 27. janvāra noteikumu Nr. 49 “Labklājības ministrijas nolikums” 5.2.1. apakšpunktā noteiktajam Labklājības ministrija izstrādā valsts politiku sociālās apdrošināšanas un valsts sociālo pabalstu jomā. Prognozēšanas rīks ir nepieciešams minētā Labklājības ministrijas uzdevuma izpildei. Prognozēšanas rīka izstrāde ir vienreizējs pasākums, kas nav Labklājības ministrijas ikdienas funkcija un bez Atveseļošanas fonda plāna atbalsta tā šajā laika posmā netiktu īstenota. Līdz ar to darbs pie prognozēšanas rīka izstrādes ministrijas darbiniekiem ir papildu pienākums, kas prasa no ikdienas rutīnas darba atšķirīgas kompetences.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bez papildu finansējuma saņēmēja un sadarbības partnera personāla piesaistes nav iespējama investīcijas projekta īstenošana, investīcijas mērķa un atskaites punktu sasniegšana. Izņemot projekta vadītāju, kam paredzēta pilna laika noslodze un atlīdzība projektā, pārējam projekta vadības un īstenošanas personālam paredzētas piemaksas par papildu darbu.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Prognozēšanas rīka izstrāde sociālās apdrošināšanas sistēmas ilgtermiņa prognozēm, sistēmas ilgtermiņa stabilitātes izvērtēšanai un nodrošināšanai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- 18.01.2022.)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IKT ieguldījumi plānoti publiskās pārvaldes īpašumā esošajos digitālajos risinājumos, t.sk., vai plānots, ka valsts pārvaldes īpašumā atradīsies pirmkodi, intelektuālā īpašuma tiesības, t.sk. risinājuma modificēšanas tiesības, lai novērstu gadījumus, kad tiek kropļota konkurence, veicot publiskus ieguldījumus kāda konkrēta komersanta īpašumā.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IKT ieguldījumi netiks veikti jau esošajos digitālajos risinājumos (t.i. tiks izstrādāts jauns prognozēšanas rīks). Izstrādātā prognozēšanas rīka pirmkods un intelektuālā īpašuma tiesības paliek valsts pārvaldes (t.i. LM) īpašumā un bez atlīdzības pieejams valsts pārvaldes iestādēm, dodot iespēju veikt publisko iepirkumu informācijas sistēmas pielāgošanai, uzlabošanai, attīstībai. MK informatīvais ziņojums papildināts ar 29.15. apakšpunktu.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Prognozēšanas rīka izstrāde sociālās apdrošināšanas sistēmas ilgtermiņa prognozēm, sistēmas ilgtermiņa stabilitātes izvērtēšanai un nodrošināšanai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- 18.01.2022.)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ziņojuma projekta 23.punktā noteiktais izdevumu attiecināmības sākuma datums ir norādīts pirms informatīvā ziņojuma apstiprināšanas/ izskatīšanas MK, lūdzam papildināt, ka netiks atbalstītas pabeigtas darbības.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informatīvā ziņojuma 23.punkts.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Prognozēšanas rīka izstrāde sociālās apdrošināšanas sistēmas ilgtermiņa prognozēm, sistēmas ilgtermiņa stabilitātes izvērtēšanai un nodrošināšanai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- 18.01.2022.)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ziņojuma projekta IV sadaļu ar informāciju, ka ir izvērtēta projekta ietekme uz “Nenodarīt būtisku kaitējumu” principu un ka tā ietvaros konstatēts, ka projektam nav būtiskas ietekmes uz vidi.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informatīvais ziņojums papildināts (skat. 36.punktu).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Prognozēšanas rīka izstrāde sociālās apdrošināšanas sistēmas ilgtermiņa prognozēm, sistēmas ilgtermiņa stabilitātes izvērtēšanai un nodrošināšanai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- 18.01.2022.)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AF plānā iekļautajai informācijai, ka tiks nodrošinātas koordinētas komunikācijas aktivitātes ar EK par stratēģiski svarīgām aktivitātēm un projektiem, lūdzam skaidrot (un nepieciešamības gadījumā papildināt ziņojuma projektu), vai šis projekts būtu identificējams kā tāds, par kuru būtu nodrošināma pastiprināta komunikācija.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3.1.2.2.i. investīcijas projekts netiek vērtēts kā stratēģiski svarīgs, tāpēc  attiecīgi netiek plānota pastiprināta komunikācija.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informatīvajam ziņojumam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- 18.01.2022.)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infomatīvā ziņojuma projekta pielikumu ar informāciju par plānoto naudas plūsmu pa gadiem.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MK informatīvā ziņojuma pielikums ar plānoto naudas plūsmu pa gadiem.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Prognozēšanas rīka izstrāde sociālās apdrošināšanas sistēmas ilgtermiņa prognozēm, sistēmas ilgtermiņa stabilitātes izvērtēšanai un nodrošināšanai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- 20.01.2022.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informatīvajā ziņojumā norādīt, ka prognozēšanas risinājums izmantos labklājības nozares un Latvijas nacionālajā līmenī pieejamos datus, tos saņemot, izmantojot nozares un nacionālā līmeņa datu savietotājus un datu agregācijas vides, kā arī publicēs analīzes un prognozēšanas vajadzībām sagatavotās un analīzes rezultātu datu kopas atkalizmantošanai valsts atvērto datu portālā.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Prognozēšanas rīkā tiks izmantoti aktuālākie no pārsvarā jau šobrīd regulāri sniegtajiem Valsts sociālās apdrošināšanas aģentūras datiem, CSP aktuālie dati par iedzīvotāju skaitu, mirstību un dzimstību, EUROSTAT prognozes (pieņēmumi), kas tiek aktualizētas 1x3 gados atbilstoši Eiropas Komisijas Ekonomiskās politikas darba grupas uzdevumam, Labklājības ministrijas ekspertu pieņēmumi attiecībā uz specifiskiem Valsts sociālās apdrošināšanas sistēmas rādītājiem.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informatīvajam ziņojumam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- 20.01.2022.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novērst pretrunas starp izklāstu ziņojuma tekstā un izmaksu pozīcijām pielikumā, pārskatot "prognozēšanas rīka programmēšanas" pozīciju. Aicinām pārvērtēt, vai tiešām ir liela iespēja, ka tiks izvēlēta iespēja izstrādāt rīku "no nulles", tā vietā, lai pielāgotu tirgū pieejamus produktus un atbilstoši koriģēt izmaksu pozīciju nosaukumus un/vai struktūru.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publiskā iepirkuma rezultātā tiks piedāvāts risinājums, pielāgojot tirgū pieejamos produktus, sasniedzot uzstādīto mērķi, tad rīks netiks programmēts “no nulles”. Tomēr jāņem vērā, ka jaunajam prognozēšanas rīkam ir jābūt izstrādātam specifiski atbilstoši Latvijas situācijai – Latvijas valsts sociālās apdrošināšanas sistēmai, tostarp pensiju sistēmai (NDC) un minimālo pensiju shēmai, līdz ar ko, šobrīd nav pamata domāt, ka tas varētu būt pielāgots kādam tirgū pieejamam produktam.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programmēšanas izmaksu pozīcija netiks pārskatīta.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Prognozēšanas rīka izstrāde sociālās apdrošināšanas sistēmas ilgtermiņa prognozēm, sistēmas ilgtermiņa stabilitātes izvērtēšanai un nodrošināšanai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- 20.01.2022.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ziņojumu ar punktu, kas nosaka, ka projekta ietvaros izstrādājamā IKT risinājuma aktivitāte tiks saskaņota ar Vides aizsardzības un reģionālās attīstības ministriju normatīvo aktu noteiktajā IKT attīstības aktivitāšu uzraudzības kārtībā, lai nodrošinātu veidojamā risinājuma atbilstību vispārējām tehniskām prasībām un sekmētu valsts pārvaldes rīcībā esošo datu un tehnoloģisko risinājumu koplietošanu un atkārtotu izmantošanu.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informatīvais ziņojums papildināts ar 29.14. apakšpunktu, ietverot norādīto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Prognozēšanas rīka izstrāde sociālās apdrošināšanas sistēmas ilgtermiņa prognozēm, sistēmas ilgtermiņa stabilitātes izvērtēšanai un nodrošināšanai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- 20.01.2022.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ANM finansējums nav izmantojams pastāvīgu - pārvaldes funkcijas nodrošinošu darbību, bet tikai pārmaiņu īstenošanai - t.i. risinājuma izveidei, pielāgošanai un ieviešanai, bet ne pastāvīgai darbināšanai, lūdzam atbilstoši pārformulēt ziņojuma punkta 21.3.3. saturu, precīzi norādot, ka licenču un infrastruktūras noma projekta ietvaros var tikt attiecināta tikai uz programmatūru un infrastruktūru, kas ir nepieciešama projekta īstenošanas ietvaros veicamo darbību (piemēram, datu sagatavošanas un datu migrācijas), bet ne projekta rezultātā izstrādātā risinājuma produktīvās darbības nodrošināšanai - t.i., piemēram, pensiju ilgtermiņa prognozēšanai. Vienlaicīgi norādām, ka, saskaņā ar MK protokollēmumu par valsts IKT resursu un kompetenču konsolidāciju, datu apstrādes iekārtas (serverus un datu krātuves)  var iegādāties tikai šajā jomā specializēti kompetenču centri, kas, saskaņā ar ziņojuma saturu nav iekļauti projekta īstenotāju un partneru lokā. Tāpēc aicinām izslēgt no 21.3.3. arī serveru iegādes iespēju.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Dzēsts MK informatīvā ziņojuma 21.3.3.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saskaņā ar MK protokollēmumu par valsts IKT resursu un kompetenču konsolidāciju, datu apstrādes iekārtas (serverus un datu krātuves) var iegādāties tikai šajā jomā specializēti kompetenču centri, kas, saskaņā ar ziņojuma saturu nav iekļauti projekta īstenotāju un partneru lokā.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informatīvajam ziņojumam “Par Eiropas Savienības Atveseļošanas un noturības mehānisma plāna 3.1.2.2.i. investīcijas “Prognozēšanas rīka izstrāde sociālās apdrošināšanas sistēmas ilgtermiņa prognozēm, sistēmas ilgtermiņa stabilitātes izvērtēšanai un nodrošināšanai” īstenošanu un uzraudzību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par  informatīvā ziņojuma projekta pielikumā minētajiem izdevumiem 80 607 </w:t>
            </w:r>
            <w:r w:rsidR="00000000" w:rsidRPr="00000000" w:rsidDel="00000000">
              <w:rPr>
                <w:i w:val="1"/>
                <w:rtl w:val="0"/>
              </w:rPr>
              <w:t xml:space="preserve">euro</w:t>
            </w:r>
            <w:r w:rsidR="00000000" w:rsidRPr="00000000" w:rsidDel="00000000">
              <w:rPr>
                <w:rtl w:val="0"/>
              </w:rPr>
              <w:t xml:space="preserve"> apmērā izziņas 7.punktā LM norādījusi, ka projekta vadītāja atalgojuma aprēķinā tiek iekļautas sociālās garantijas 10% apmērā, savukārt Valsts kancelejas izstrādātajās vadlīnijās par tiesību akta projekta sākotnējās ietekmes novērtēšanai norādīts, ka sociālo garantiju kopējais apmērs aprēķinā nedrīkst pārsniegt 5% no plānotās mēnešalgu kopsummas attiecīgajā kalendāra gadā. Līdz ar to precizējams minētais aprēķins.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informatīvā ziņojuma pielikuma 3.1.punkts.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Savienības Atveseļošanas un noturības mehānisma plāna 3.1.2. reformas “Sociālo un nodarbinātības pakalpojumu pieejamība minimālo ienākumu reformas atbalstam” 3.1.2.2.i. investīcijas “Prognozēšanas rīka izstrāde sociālās apdrošināšanas sistēmas ilgtermiņa prognozēm, sistēmas ilgtermiņa stabilitātes izvērtēšanai un nodrošināšanai” īstenošanu un uzraudzību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ziņojuma projekta 11.punktā minēto atskaites punktu redakcijas ar Atveseļošanas un noturības mehānisma (turpmāk- AF) Darbības kārtības tulkojumu latviešu valodā, kas atrodams https://www.esfondi.lv/normativie-akti-1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informatīvā ziņojuma 11.punkts.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vēlamies informēt, ka MK informatīvā ziņojuma 11.punktā termins “tehniskā specifikācija” ir lietots vienskaitlī, ņemot vērā, ka investīcijas projekta ietvaros tiks izstrādāta viena tehniskā specifikācija prognozēšanas rīka izstrādei.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Savienības Atveseļošanas un noturības mehānisma plāna 3.1.2. reformas “Sociālo un nodarbinātības pakalpojumu pieejamība minimālo ienākumu reformas atbalstam” 3.1.2.2.i. investīcijas “Prognozēšanas rīka izstrāde sociālās apdrošināšanas sistēmas ilgtermiņa prognozēm, sistēmas ilgtermiņa stabilitātes izvērtēšanai un nodrošināšanai” īstenošanu un uzraudzību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ziņojuma projekta 12.1.apakšpunktu ar informāciju atbilstoši AF Darbības kārtībā minētajam, ka nepieciešams nodrošināt pierādījumus, ka līguma slēgšanas tiesības piešķirtas konkursa rezultātā.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informatīvā ziņojuma 12.1.apakšpunkts.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Savienības Atveseļošanas un noturības mehānisma plāna 3.1.2. reformas “Sociālo un nodarbinātības pakalpojumu pieejamība minimālo ienākumu reformas atbalstam” 3.1.2.2.i. investīcijas “Prognozēšanas rīka izstrāde sociālās apdrošināšanas sistēmas ilgtermiņa prognozēm, sistēmas ilgtermiņa stabilitātes izvērtēšanai un nodrošināšanai” īstenošanu un uzraudzību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ziņojuma projekta 19.punkta pirmajā teikumā atsauci uz AF regulas (ES) 2021/241 22.pantu un ziņojuma projekta 29.8.apakšpunktu. Lūdzam papildināt ziņojuma projekta 19.punktu ar jaunu teikumu, ka atbilstoši AF regulas (ES) 2021/241 22.pantam investīcijas ietvaros gala labuma guvējs ir Labklājības ministrija.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Savienības Atveseļošanas un noturības mehānisma plāna 3.1.2. reformas “Sociālo un nodarbinātības pakalpojumu pieejamība minimālo ienākumu reformas atbalstam” 3.1.2.2.i. investīcijas “Prognozēšanas rīka izstrāde sociālās apdrošināšanas sistēmas ilgtermiņa prognozēm, sistēmas ilgtermiņa stabilitātes izvērtēšanai un nodrošināšanai” īstenošanu un uzraudzību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ziņojuma projekta 29.8.apakšpunktā atsauci uz neattiecināmajām izmaksām, jo ziņojuma projekta III sadaļā “Atbalstāmās darbības un izmaksu attiecināmības nosacījumi” netiek paredzētas neattiecināmās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Savienības Atveseļošanas un noturības mehānisma plāna 3.1.2. reformas “Sociālo un nodarbinātības pakalpojumu pieejamība minimālo ienākumu reformas atbalstam” 3.1.2.2.i. investīcijas “Prognozēšanas rīka izstrāde sociālās apdrošināšanas sistēmas ilgtermiņa prognozēm, sistēmas ilgtermiņa stabilitātes izvērtēšanai un nodrošināšanai” īstenošanu un uzraudzību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papildināt ziņojuma projekta 33.punktu ar nosacījumu par pārbaudēm, kas veicamas saistībā ar PVN atgūšanu, ņemot vērā, ka gadījumā, ja tiek paredzēta PVN attiecināmība no valsts budžeta, tad jāparedz PVN uzraudzības funkcija kā līgumslēdzējam, tā finansējuma saņēmējam: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Finansējuma saņēmējs, pirms finansējuma saņemšanas pievienotās vērtības nodokļa izmaksu apmērā, iesniedzot projekta maksājuma pieprasījumu, sniedz apliecinājumu, ka minētās summas nav un netiks atgūtas no valsts budžeta priekšnodokļa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Finansējuma saņēmējs nodrošina atsevišķu projekta izmaksu, t.sk. pievienotās vērtības nodokļa izmaksu uzskaiti un nodalīšanu, kā arī tam ir pienākums atgriezt pārmaksāto pievienotās vērtības nodokļa daļu, ja sākotnēji plānotais pievienotās vērtības nodokļa apjoms būs lielāks, nekā faktiski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Līgumslēdzējs pēc finansējuma saņēmēja maksājumu pieprasījumu saņemšanas pārbauda, vai tam pievienots finansējuma saņēmēja apliecinājums, ka tas PVN izmaksas nav atguvis un neatgūs no valsts budžeta priekšnodokļa veidā.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nav PVN maksātājs, attiecīgi darbības saistībā ar PVN atgūšanu no valsts budžeta priekšnodokļa veidā nav attiecināmas.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Atbalstīt investīcijas īstenošanai nepieciešamo neattiecināmo izmaksu (pievienotās vērtības nodoklis) līdz 278 145 </w:t>
            </w:r>
            <w:r w:rsidR="00000000" w:rsidRPr="00000000" w:rsidDel="00000000">
              <w:rPr>
                <w:i w:val="1"/>
                <w:rtl w:val="0"/>
              </w:rPr>
              <w:t xml:space="preserve">euro</w:t>
            </w:r>
            <w:r w:rsidR="00000000" w:rsidRPr="00000000" w:rsidDel="00000000">
              <w:rPr>
                <w:rtl w:val="0"/>
              </w:rPr>
              <w:t xml:space="preserve"> apmērā segšanu no valsts budžeta 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Ministru kabineta sēdes protokollēmuma  3. punktā pieturzīmi iekavas aizstāt ar pieturzīmi domuzīme. Tāpat līdzīgi lūdzam precizēt arī ziņojuma 13. punktu un 21.2. apakšpunktu. Norādām, ka iekavās ietvertais teksts ir būtisks tiesību normas piemērošanā un iekavās ietvertie skaidrojumi un precizējumi var padarīt tiesību aktu neskaidru un var sašaurināt vai paplašināt tiesību normas tvērumu.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sēdes protokollēmuma 3. punkts un MK informatīvā ziņojuma 21.2.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Atbalstīt investīcijas īstenošanai nepieciešamo pievienotās vērtības nodokļa līdz 278 145 </w:t>
            </w:r>
            <w:r w:rsidR="00000000" w:rsidRPr="00000000" w:rsidDel="00000000">
              <w:rPr>
                <w:i w:val="1"/>
                <w:rtl w:val="0"/>
              </w:rPr>
              <w:t xml:space="preserve">euro</w:t>
            </w:r>
            <w:r w:rsidR="00000000" w:rsidRPr="00000000" w:rsidDel="00000000">
              <w:rPr>
                <w:rtl w:val="0"/>
              </w:rPr>
              <w:t xml:space="preserve"> apmērā segšanu no valsts budžeta līdzekļiem.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Šī protokollēmuma 3. punktā minēto neattiecināmo finansējumu un valsts budžeta priekšfinansējumu investīcijas projekta īstenošanai pārdalīt no budžeta resora “74. Gadskārtējā valsts budžeta izpildes procesā pārdalāmais finansējums” 80.00.00 programmas “Nesadalītais finansējums Eiropas Savienības politiku instrumentu un pārējās ārvalstu finanšu palīdzības līdzfinansēto projektu un pasākumu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- 18.01.2022.)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sēdes protokollēmuma projekta 4.punktu, izsakot to šādā redakcijā: “4. Finansējumu investīcijas projekta īstenošanai, t.sk. šī protokollēmuma 3.punktā minētās neattiecināmās izmaksas, pārdalīt no budžeta resora “74.Gadskārtējā valsts budžeta izpildes procesā pārdalāmais finansējums” 80.00.00 programmas “Nesadalītais finansējums Eiropas Savienības politiku instrumentu un pārējās ārvalstu finanšu palīdzības līdzfinansēto projektu un pasākumu īstenošanai”.” Attiecīgi nepieciešams precizēt informatīvā ziņojuma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protokollēmuma 4.punkts, vienlaikus ņemot vērā Eiropas Savienības fondu attīstības komitejas sanāksmes 2022. gada 26. janvāra protokolā noteikto attiecībā uz PVN un neattiecināmajām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Finansējumu investīcijas projekta īstenošanai, tai skaitā šī protokollēmuma 3. punktā minētās pievienotās vērtības nodokļa izmaksu segšanai, pārdalīt no budžeta resora “74.Gadskārtējā valsts budžeta izpildes procesā pārdalāmais finansējums” 80.00.00 programmas “Nesadalītais finansējums Eiropas Savienības politiku instrumentu un pārējās ārvalstu finanšu palīdzības līdzfinansēto projektu un pasākumu īstenošanai”.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Prognozēšanas rīka izstrāde sociālās apdrošināšanas sistēmas ilgtermiņa prognozēm, sistēmas ilgtermiņa stabilitātes izvērtēšanai un nodrošināšanai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27. punkts nosaka: "27. Finansējuma saņēmējs 10 darbdienu laikā pēc šā ziņojuma 27. punktā minēto iekšējo noteikumu spēkā stāšanās iesniedz nozares ministrijai šā ziņojuma 25. punktā noteiktajā kārtībā:". Lūdzu izvērtēt nepieciešamību precizēt informatīvā ziņojuma 27. punktu, jo no esošās redakcijas nav saprotmas uz kādiem iekšējiem noteikumiem šajā punktā atsaucas.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informatīvā ziņojuma 27.punkts.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Prognozēšanas rīka izstrāde sociālās apdrošināšanas sistēmas ilgtermiņa prognozēm, sistēmas ilgtermiņa stabilitātes izvērtēšanai un nodrošināšanai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Ņemot vērā ziņojuma 1.punktā noteikto, lūgumus izvērtēt un papildināt ziņojuma nosaukumu sākotnēji arī norādot zem kuras reformas, iekļaujas šī investīcija. Attiecīgu precizējumu lūdzu veikt arī ziņojuma pielikumā.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Lūdzam izvērtēt un papildināt ziņojuma 1.punktu ar zīmēm un vārdiem "(turpmāk - Atveseļošanas fonds)" aiz vārda “mehānisma”, attiecīgi saīsinājumu lietojot visā 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Lūdzam nodalīt vadlīniju nosaukumu - "</w:t>
            </w:r>
            <w:r w:rsidR="00000000" w:rsidRPr="00000000" w:rsidDel="00000000">
              <w:rPr>
                <w:i w:val="1"/>
                <w:rtl w:val="0"/>
              </w:rPr>
              <w:t xml:space="preserve">Vadlīnijas informatīvā ziņojuma vai Ministru kabineta noteikumu izstrādei par Eiropas Savienības Atveseļošanas un noturības mehānisma plāna reformas vai investīcijas ieviešanu"</w:t>
            </w:r>
            <w:r w:rsidR="00000000" w:rsidRPr="00000000" w:rsidDel="00000000">
              <w:rPr>
                <w:rtl w:val="0"/>
              </w:rPr>
              <w:t xml:space="preserve">, lai būtu precīzi identificējams dokuments.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Lūdzu papildināt ziņojuma 4.punktu ar vārdu "Valsts" pirms vārda "Sociālās", attiecīgu papildinājumu lūdzu veikt arī turpmāk 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Ņemot vērā, ka vārdi Labklājības ministrija ttekstā tiek lietoti vairākkārtigi, ierosinām to saīsināt. Ja iespējams, saīsinājumus lūdzu arī citiem vārdiem, piemēram, Valsts sociālās apdrošināšanas aģentūra.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Lūdzu skaidrot vai ziņojuma 11.1.apakšpunktā minētajam prognozēšanas rīkam nav precīzs nosaukums/apzīmējums. Ja tāds ir, lūdzu to norādīt.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Lūdzu aizstāt ziņojuma 12.punkta ievadā vārdu "iesniegti" ar vārdiem "iesniegti šādi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Lūdzu izvērtēt ziņojuma 24.punktā noteikto un, ja iespējams, norādīt atbildīgo, t.i., finansējuma saņēmējs vai nozares ministrija, kas ir atbildīga par attiecīgo rīkojumu.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Aicinām pielikumā pievienot projekta veidlapas paraugu.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Lūdzu precizēt ziņojuma 27.punktā norādīto atsauci uz ziņojuma 27.punktu.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11.Lūdzu svītrot 29.6.apakšpunktā vārdus "kā Eiropas Savienības struktūrfondu un Kohēzijas fonda vadošās iestādes", ņemot vērā, ka Finanšu ministrija būs kā koordinējoša iestāde visiem fondiem attiecībā uz publicitāti.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Lūdzu svītrot ziņojuma 29.6.apakšpunktā vārdus "Eiropas Savienības fondu finansējuma saņēmējiem", ņemot vērā, ka precizēts vadlīniju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Aicinu izvērtēt un papildināt ziņojuma 34.punktu ar norādi “citos vienošanās par investīcijas īstenošanu noteiktos gadījumos”, jo iespējams vienošanās būs noteikti vēl papildus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informatīvā ziņojuma nosaukums, t.sk. pielikumā.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informatīvā ziņojums 1.punkts, attiecīgus precizējumus veicot arī visā tekstā.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informatīvā ziņojuma 2.punkts.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Precizējums veikts ziņojuma 4. punktā un turpmākajā 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Daļēji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“Labklājības ministrija” lietojumu, esam jau iepriekš izvērtējuši, kuros gadījumos lietojami vārdi “Labklājības ministrija”, kurā finansējuma saņēmējs, kurā – nozares ministriju. Tāpēc papildu saīsinājumi nav nepieciešami. Attiecībā uz Valsts sociālo apdrošināšanas aģentūru, paredzēts saīsinājums uz “aģentūra”.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Tekstā 11.1. apakšpunktā precizēts nosaukums “prognozēšanas rīks” (nevis modelis), tādējādi tiek lietots ziņojuma 3. punktā ietvertais saīsinājums.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informatīvā ziņojuma 12.punkts.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informatīvā ziņojuma 24.punkts, norādot, ka to izveido finansējuma saņēmējs.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informatīvajam ziņojumam nav iespējams pievienot projekta veidlapas paraugu, jo Centrālā finanšu un līgumu aģentūra vēl turpina darbu pie tās izstrādes. Nav lietderīgi pievienot veidlapas paraugu, kurš vēl var mainīties. Nesaskatām problēmu, ka nozares ministrija to finansējuma saņēmējam nosūta atsevišķi.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informatīvā ziņojuma 27.punkts.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informatīvā ziņojuma 29.7.apakšpunkts.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informatīvā ziņojuma 29.7.apakšpunkts.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skaidrojam, ka šīs investīcijas projekta īstenošanai starp nozares ministriju un finansējuma saņēmēju nav paredzēts slēgt vienošanos par projekta īstenošanu. Investīcijas projekta īstenošanas nosacījumus paredzēts noteikt iekšējā normatīvajā aktā. Attiecīgi precizēts MK informatīvā ziņojuma 16.un 34.punkts.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Prognozēšanas rīka izstrāde sociālās apdrošināšanas sistēmas ilgtermiņa prognozēm, sistēmas ilgtermiņa stabilitātes izvērtēšanai un nodrošināšanai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papildināt 20.2.apakašpunktu ar lietotāju un administratoru apmācībām.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informatīvā ziņojuma 20.2.apakšpunkts.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informatīvajam ziņojumam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pielikumā informatīvajam ziņojumam plānotās projekta vadības un īstenošanas izmaksas norādīt pēc vienotas pieejas, summas noapaļojot bez centiem aiz komata, kā arī pārskatīt pilnas noslodzes personāla attiecināmās izmaksas, ņemot vērā norādīto mēnešu skaitu un atlīdzības apmēru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informatīvā ziņojuma pielikums.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Prognozēšanas rīka izstrāde sociālās apdrošināšanas sistēmas ilgtermiņa prognozēm, sistēmas ilgtermiņa stabilitātes izvērtēšanai un nodrošināšanai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27.punkta formulējumu, lai iekļautā atsauce uz iekšējiem noteiktumiem būtu nepārprotami skaidra.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informatīvā ziņojuma 27.punkts.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Prognozēšanas rīka izstrāde sociālās apdrošināšanas sistēmas ilgtermiņa prognozēm, sistēmas ilgtermiņa stabilitātes izvērtēšanai un nodrošināšanai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informatīvo ziņojumu ar informāciju par to, kam būs pienākums ievadīt datus Kohēzijas politikas fondu vadības informācijas sistēmā brīdī, kad būs pieejama tās funkcionalitāte, gadījumā, ja uz projekta ieviešanas uzsākšanas brīdi funkcionalitāte vēl nav pieejama (29.9.apakšpunkts).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informatīvā ziņojuma 26.1.2.apakšpunkts.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Prognozēšanas rīka izstrāde sociālās apdrošināšanas sistēmas ilgtermiņa prognozēm, sistēmas ilgtermiņa stabilitātes izvērtēšanai un nodrošināšanai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Ministru kabineta noteikumos Nr. 621 ir noteikts, ka Centrālā finanšu un līgumu aģentūra pārbaudes var veikt izlases veidā, ierosinām precizēt 32.punkta redakciju, norādot, ka institūcijas atbilstoši kompetencei "var" veikt vismaz 32.1., 32.2., 33.3. apakšpunktos noteiktās pārbaudes.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ieskatā precizējumi nav nepieciešami, ņemot vērā, ka minētais punkts nosaka minimālo veicamo pārbaužu apmēru, ko veiks institūcijas atbilstoši to kompetencei. Papildinājums ar vārdu “var” var radīt kļūdainu interpretāciju, ka MK informatīvā ziņojuma 32.punktā norādītās pārbaudes var tikt neveiktas no iestāžu puses.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Prognozēšanas rīka izstrāde sociālās apdrošināšanas sistēmas ilgtermiņa prognozēm, sistēmas ilgtermiņa stabilitātes izvērtēšanai un nodrošināšanai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- 14.01.2022.)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Centrālā statistikas pārvalde (CSP) atbalsta prognozēšanas rīka izstrādi un CSP pārstāvju iesaisti informatīvā ziņojuma 24. punktā minētajā nacionālajā darba grupā.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CSP ir ieinteresēta, lai, izstrādājot ziņojumā minēto prognozēšanas rīku, tajā tiktu iestrādāts risinājums uz atskaites brīdi uzkrāto pensiju tiesību novērtēšanai valdības pārvaldītās nefondētās definēto pabalstu shēmās valsts pārvaldes darbiniekiem (izdienas pensijas) un valsts sociālās apdrošināšanas pensiju shēmās atbilstoši Eiropas Parlamenta un padomes regulai (ES) Nr. 549/2013 (2013. gada 21. maijs) par Eiropas nacionālo un reģionālo kontu sistēmu Eiropas Savienībā (Dokuments attiecas uz EEZ) (EKS 2010 regula) prasībām (paragrāfi Nr. 17.121 – 17.183) un uz tās pamata Eurostat un Eiropas Centrālās bankas izdotajiem norādījumiem “Technical compilation guide for pension data in national accounts — 2020 edition”.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atskaites brīdi uzkrātās pensiju tiesības augstāk minētajās pensiju shēmās jānovērtē pašreizējā vērtībā nākotnē prognozētām pensiju izmaksām pašreizējiem pensiju saņēmējiem un iemaksu veicējiem, atbilstoši uz atskaites brīdi veikto iemaksu apmēram, izmantojot vienotus aktuāros ekonomiskos un demogrāfiskos pieņēmumus, kas tiek izmantoti ilgtermiņa pensiju izdevumu prognožu sagatavošanai Eiropas Komisijas un Novecošanās darba grupas Novecošanās ziņojumam. Obligātais 29. tabulas datu iesniegšanas trīsgades cikls ir pieskaņots novecošanās ziņojuma sagatavošanas trīsgades ciklam.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attiecīgā uzdevuma veikšanai CSP tiek izmantots Freiburgas Universitātes izstrādātais vienkāršotas pieejas tipiskā aģenta modelis, kas iespēju robežās tika pielāgots Latvijas pensiju sistēmai (modeļa iegāde/pielāgošana notika no 2012. – 2013. gadā, aktualizācija 2021. gadā). Iespējas modeļa pielāgošanai Latvijas pensiju sistēmai un tās izmaiņām ir ierobežotas, līdz ar to nākotnē būtu jādomā par jaunu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Pielāgojot informatīvajā ziņojumā minēto jauno prognozēšanas rīku EKS 2010 regulā noteikto uzdevumu veikšanai, nākotnē būtu iespējams: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valstiskā līmenī optimizēt resursus, jo vairs nebūtu nepieciešama atsevišķa CSP modeļa uzturēšana, datu sagatavošana un pielāgošana izmaiņām Latvijas pensiju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iegūt kvalitatīvāku nākotnē prognozējamo pensiju izdevumu novērtējumu uz vienotas aktuāro pieņēmumu bāzes, kas tiek izmantoti pensiju izdevumu prognozēm Eiropas Komisijas ilgtspējas ziņojumos.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Jānorāda, ka jau šobrīd daļā dalībvalstu uzkrāto pensiju tiesību novērtējumam izmanto tos pašus makrosimulāciju pensiju kohortu modeļus, ko izdevumu prognozēm Eiropas Komisijas ilgtspējas ziņojumiem, piemēram, Lietuvā. Līdzīgu risinājumu, izmantojot vienu Labklājības ministrijas pārraudzībā esošu modeli, nākotnē būtu racionāli ieviest arī Latvijā, tādējādi maksimāli lietderīgi izmantojot valsts pārvaldes resursus.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ziņojuma 6.punkts.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Prognozēšanas rīka izstrāde sociālās apdrošināšanas sistēmas ilgtermiņa prognozēm, sistēmas ilgtermiņa stabilitātes izvērtēšanai un nodrošināšanai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ziņojumu un nodrošināt, ka tajā ietverta tikai būtiskā informācija, tai skaitā svītrojot norādes par tīmekļvietņu </w:t>
            </w:r>
            <w:r w:rsidR="00000000" w:rsidRPr="00000000" w:rsidDel="00000000">
              <w:rPr>
                <w:u w:val="single"/>
                <w:rtl w:val="0"/>
              </w:rPr>
              <w:t xml:space="preserve">kontaktu sadaļu</w:t>
            </w:r>
            <w:r w:rsidR="00000000" w:rsidRPr="00000000" w:rsidDel="00000000">
              <w:rPr>
                <w:rtl w:val="0"/>
              </w:rPr>
              <w:t xml:space="preserve">, kā arī elektronisko dokumentu parakstīšanu ar drošu elektronisko parakstu, kas izriet arī no normatīvajiem tiesību aktiem (informācijas aprite šajā gadījumā attiecas uz tiešās pārvaldes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informatīvais ziņojums pārskatīts un svītrota norāde par tīmekļvietņu kontaktu 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investīcijas projekta īstenošanas procesā iesniedzamo dokumentu parakstīšanu ar drošu elektronisko parakstu un laika zīmogu, paskaidrojam, ka elektronisko dokumentu apriti reglamentējošie tiesību akti paredz elektroniskā dokumenta parakstīšanu gan ar elektronisko parakstu, gan ar drošu elektronisko parakstu.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Dokumenta juridiskā spēka likuma 5. panta pirmā daļa nosaka, ka tikai pašrocīgi parakstītajam dokumenta ir juridisks spēks. Savukārt, Elektronisko dokumentu likuma 3. panta otrā daļa nosaka, ka par pašrocīgi parakstītu elektronisko dokumentu uzskata elektronisko dokumentu, kas parakstīts ar drošu elektronisko parakstu.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Elektronisko dokumentu likuma 3. panta piektā daļa nosaka, ka elektroniskais dokuments uzskatāms par parakstītu, ja tam ir drošs elektroniskais paraksts un laika zīmogs.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Tiesiskai noteiktībai un skaidrībai uzskatam, ka pretendentiem, kas iesniegs dokumentus investīcijas īstenošanas procesā, ir jābūt informētiem, kādā veidā noformētie dokumenti tiks uzskatīti par iesniegtiem noteiktā veidā un kārtībā.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28.06.2005. noteikumu Nr. 473 “Elektronisko dokumentu izstrādāšanas, noformēšanas, glabāšanas un aprites kārtība valsts un pašvaldību iestādēs un kārtība, kādā notiek elektronisko dokumentu aprite starp valsts un pašvaldību iestādēm vai starp šīm iestādēm un fiziskajam un juridiskajam personām” 3. punktā  noteiktajam, prasību par drošu elektronisko parakstu un laika zīmogu var nepiemērot, ja puses ir rakstiski vienojušas par elektroniskā dokumenta parakstīšanu ar elektronisko parakstu.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Prognozēšanas rīka izstrāde sociālās apdrošināšanas sistēmas ilgtermiņa prognozēm, sistēmas ilgtermiņa stabilitātes izvērtēšanai un nodrošināšanai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lūdzam ziņojuma 29.9. apakšpunktā izdarīt korektu atsauci uz noteikumiem Nr. 621 vai tā vietā svītrot norādi par konkrēto minēto noteikumu vienību.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informatīvā ziņojuma 29.10.apakšpunkts.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Prognozēšanas rīka izstrāde sociālās apdrošināšanas sistēmas ilgtermiņa prognozēm, sistēmas ilgtermiņa stabilitātes izvērtēšanai un nodrošināšanai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ziņojuma 30.2. apakšpunktā nepārprotami norādīt, kāds tiesību subjekts tiek informēts par grozījumu atbalstīšanu, noraidīšanu vai nepieciešamajiem precizējumiem.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informatīvā ziņojuma 30.2.apakšpunkts.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Prognozēšanas rīka izstrāde sociālās apdrošināšanas sistēmas ilgtermiņa prognozēm, sistēmas ilgtermiņa stabilitātes izvērtēšanai un nodrošināšanai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ziņojuma 32. punktā neatsaukties uz šī ziņojuma 31. punktu, jo ziņojuma ietvaros runa ir par vienu investīcijas projektu un atsauce uz konkrētu ziņojuma vienību var radīt maldīgu priekšstatu par termina "investīcijas projekts" saturu un tvērumu.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informatīvā ziņojuma 32.punkts.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Prognozēšanas rīka izstrāde sociālās apdrošināšanas sistēmas ilgtermiņa prognozēm, sistēmas ilgtermiņa stabilitātes izvērtēšanai un nodrošināšanai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12.1.apakšpunktu ar skaidrojumu, ka iepirkums ir par konsultāciju pakalpojumu.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skaidro, ka MK informatīvā ziņojuma 12.1. apakšpunktā ir minēti tie dokumenti, kas pierāda MK informatīvā ziņojuma 11.1.apakšpunktā noteiktā atskaites punkta “Līguma noslēgšana par prognozēšanas rīka algoritmu izstrādi, informācijas sistēmas tehnisko specifikāciju izstrādi un sistēmas izstrādes uzraudzību” sasniegšanu. Minētā atskaites punkta ietvaros konkursa rezultātā tiks noslēgts līgums, lai: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izstrādātu ekonometrijas modeļus un metodoloģiju sociālā atbalsta, tai skaitā, pensiju ilgtermiņa prognozēšanai,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izstrādātu tehnisko specifikāciju informācijas sistēmas izgatavošanai,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veiktu sistēmas izstrādes autoruzraudzību.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Noslēgtais līgums ietvers laika grafiku par šādiem nodevumiem: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sagatavots novērtējuma ziņojumu par esošo situāciju;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izstrādāts pensiju prognozēšanas matemātiskais modelis;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novērtēts pašreizējais prognozēšanas rīks un tā iespējas;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sagatavota tehniskā specifikācija IS izstrādāšanai;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veikta IS izstrādes autoruzraudzība visa projekta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Savienības Atveseļošanas un noturības mehānisma plāna 3.1.2. reformas “Sociālo un nodarbinātības pakalpojumu pieejamība minimālo ienākumu reformas atbalstam” 3.1.2.2.i. investīcijas “Prognozēšanas rīka izstrāde sociālās apdrošināšanas sistēmas ilgtermiņa prognozēm, sistēmas ilgtermiņa stabilitātes izvērtēšanai un nodrošināšanai” īstenošanu un uzraudzību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pēdējās norādes, lūdzu precizēt ziņojuma 29.7.apakšpunktā redakciju, nosakot, ka finansējuma saņēmējs nodrošina informācijas un publicitātes pasākumus saskaņā ar Eiropas Parlamenta un Padomes 2021. gada 12. februāra Regulas Nr. 2021/241 34. pantu un Eiropas Komisijas un Latvijas Republikas Atveseļošanas un noturības mehānisma finansēšanas nolīguma 10.pantu, kā arī Eiropas Savienības fondu 2021.–2027. gada plānošanas perioda un Atveseļošanas fonda komunikācijas un dizaina vadlīnijām.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informatīvajam ziņojumam “Par Eiropas Savienības Atveseļošanas un noturības mehānisma plāna 3.1.2.2.i. investīcijas “Prognozēšanas rīka izstrāde sociālās apdrošināšanas sistēmas ilgtermiņa prognozēm, sistēmas ilgtermiņa stabilitātes izvērtēšanai un nodrošināšanai” īstenošanu un uzraudzību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2.ierakstam kolonnā “Kopējās personāla attiecināmās izmaksas, ietverot noteiktās valsts sociālās apdrošināšanas obligātās iemaksas, euro” lūdzam veikt tehniskus precizējumus, norādot </w:t>
            </w:r>
            <w:r w:rsidR="00000000" w:rsidRPr="00000000" w:rsidDel="00000000">
              <w:rPr>
                <w:u w:val="single"/>
                <w:rtl w:val="0"/>
              </w:rPr>
              <w:t xml:space="preserve">26 861.00.</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Savienības Atveseļošanas un noturības mehānisma plāna 3.1.2. reformas “Sociālo un nodarbinātības pakalpojumu pieejamība minimālo ienākumu reformas atbalstam” 3.1.2.2.i. investīcijas “Prognozēšanas rīka izstrāde sociālās apdrošināšanas sistēmas ilgtermiņa prognozēm, sistēmas ilgtermiņa stabilitātes izvērtēšanai un nodrošināšanai” īstenošanu un uzraudzību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ziņojuma 1.5. apakšpunktu, kas šobrīd dublē ziņojuma 1. punkta ievaddaļu. Norādām, ka ziņojumā šobrīd ietverta informācija par investīcijas projekta īstenošanas nosacījumiem un uzraudzības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Savienības Atveseļošanas un noturības mehānisma plāna 3.1.2. reformas “Sociālo un nodarbinātības pakalpojumu pieejamība minimālo ienākumu reformas atbalstam” 3.1.2.2.i. investīcijas “Prognozēšanas rīka izstrāde sociālās apdrošināšanas sistēmas ilgtermiņa prognozēm, sistēmas ilgtermiņa stabilitātes izvērtēšanai un nodrošināšanai” īstenošanu un uzraudzību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ziņojuma 26.1.1. apakšpunktā investīcijas projekta iesnieguma veidlapa ar projekta īstenošanai nepieciešamo informāciju saīsināšanai izmantots apzīmējums "projekta veidlapa". Attiecīgi atbilstoši juridiskās tehnikas prasībām lūdzam nodrošināt ziņojumā konsekventu terminoloģijas lietojumu ziņojuma 26.2. un 26.3. apakšpunktā un 27. punktā, kur norādīts uz investīcijas projekta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Savienības Atveseļošanas un noturības mehānisma plāna 3.1.2. reformas “Sociālo un nodarbinātības pakalpojumu pieejamība minimālo ienākumu reformas atbalstam” 3.1.2.2.i. investīcijas “Prognozēšanas rīka izstrāde sociālās apdrošināšanas sistēmas ilgtermiņa prognozēm, sistēmas ilgtermiņa stabilitātes izvērtēšanai un nodrošināšanai” īstenošanu un uzraudzību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30.5. apakšpunktā norādīts, ka nozares ministrija veic atbilstošus grozījumus līgumā par investīcijas projekta īstenošanu. Saistībā ar minēto vēršam uzmanību, ka atbilstoši ziņojuma 16. punktam investīcijas īstenošanu nosaka nozares ministrijas izdots pārvaldes lēmums (rīkojums). Attiecīgi nav skaidri saprotams, vai minētais līgums tiks noslēgts uz minētā lēmuma pamata, kā arī kādas tiesiskās attiecības regulēs līgums par investīcijas projekta īstenošanu, tai skaitā vai minētā līgumā ietverto noteikumu pārkāpuma gadījumā nozares ministrijai ir tiesības vienpusēji paziņot finansējuma saņēmējam par investīciju projekta pārtraukšanu, ņemot vērā šī ziņojuma 34. punktā minēto. Attiecīgi lūdzam izvērtēt un nepieciešamības gadījumā precizēt ziņojumu, svītrojot tajā norādi uz līgumu par investīcijas projekta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Savienības Atveseļošanas un noturības mehānisma plāna 3.1. reformu un investīciju virziena “Reģionālā politika” reformas 3.1.2.r “Sociālo un nodarbinātības pakalpojumu pieejamība minimālo ienākumu reformas atbalstam” 3.1.2.2.i. investīcijas “Prognozēšanas rīka izstrāde sociālās apdrošināšanas sistēmas ilgtermiņa prognozēm, sistēmas ilgtermiņa stabilitātes izvērtēšanai un nodrošināšanai” īstenošanu un uzraudzību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ziņojuma projekta 19.punktu ar teikumu, ka 3.1.2.2.i investīcijas ietvaros nav nepieciešams uzkrāt datus par dalībniekiem un Eiropas Komisijas ietvaros noteiktajiem Atveseļošanas fonda kopējiem rādītājiem.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Savienības Atveseļošanas un noturības mehānisma plāna 3.1. reformu un investīciju virziena “Reģionālā politika” reformas 3.1.2.r “Sociālo un nodarbinātības pakalpojumu pieejamība minimālo ienākumu reformas atbalstam” 3.1.2.2.i. investīcijas “Prognozēšanas rīka izstrāde sociālās apdrošināšanas sistēmas ilgtermiņa prognozēm, sistēmas ilgtermiņa stabilitātes izvērtēšanai un nodrošināšanai” īstenošanu un uzraudzību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ziņojuma projekta 27.1.apakšpunktu ar nosacījumu, ka progresa pārskatu iesniegšanas grafiks veidojams tā, lai tiktu paredzēts, ka progresa pārskats iesniedzams ne retāk kā divas reizes gadā atbilstoši ziņojuma projekta 29.10.apakšpunktā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Savienības Atveseļošanas un noturības mehānisma plāna 3.1. reformu un investīciju virziena “Reģionālā politika” reformas 3.1.2.r “Sociālo un nodarbinātības pakalpojumu pieejamība minimālo ienākumu reformas atbalstam” 3.1.2.2.i. investīcijas “Prognozēšanas rīka izstrāde sociālās apdrošināšanas sistēmas ilgtermiņa prognozēm, sistēmas ilgtermiņa stabilitātes izvērtēšanai un nodrošināšanai” īstenošanu un uzraudzību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ziņojuma projekta 6. punktā pārcelt iekavas ar saīsinājumu pirms vārda "ierosinājuma".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Centrālās statistikas pārvaldes (turpmāk – CSP) ierosinājuma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Savienības Atveseļošanas un noturības mehānisma plāna 3.1. reformu un investīciju virziena “Reģionālā politika” reformas 3.1.2.r “Sociālo un nodarbinātības pakalpojumu pieejamība minimālo ienākumu reformas atbalstam” 3.1.2.2.i. investīcijas “Prognozēšanas rīka izstrāde sociālās apdrošināšanas sistēmas ilgtermiņa prognozēm, sistēmas ilgtermiņa stabilitātes izvērtēšanai un nodrošināšanai” īstenošanu un uzraudzību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ziņojuma projekta 11.1. apakšpunktā norādītajā atsaucē pirms skaitļa un vārda “11.punktā” papildināt ar vārdiem “šā ziņojuma”.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Savienības Atveseļošanas un noturības mehānisma plāna 3.1. reformu un investīciju virziena “Reģionālā politika” reformas 3.1.2.r “Sociālo un nodarbinātības pakalpojumu pieejamība minimālo ienākumu reformas atbalstam” 3.1.2.2.i. investīcijas “Prognozēšanas rīka izstrāde sociālās apdrošināšanas sistēmas ilgtermiņa prognozēm, sistēmas ilgtermiņa stabilitātes izvērtēšanai un nodrošināšanai” īstenošanu un uzraudzību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ziņojuma projekta 29.1. apakšpunktu iekļaujot nosacījumu, ka tiek veiktas pārbaudes dubultfinansējuma riska novēršanai.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Pienākums finansējuma saņēmējam ievērot dubultnefinansēšanas principu noteikts MK informatīvā ziņojuma 29.2.apakšpunktā.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Savienības Atveseļošanas un noturības mehānisma plāna 3.1. reformu un investīciju virziena “Reģionālā politika” reformas 3.1.2.r “Sociālo un nodarbinātības pakalpojumu pieejamība minimālo ienākumu reformas atbalstam” 3.1.2.2.i. investīcijas “Prognozēšanas rīka izstrāde sociālās apdrošināšanas sistēmas ilgtermiņa prognozēm, sistēmas ilgtermiņa stabilitātes izvērtēšanai un nodrošināšanai” īstenošanu un uzraudzību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un, ja attiecināms, papildināt informatīvo ziņojumu ar nosacījumu, ka apstrādājot personas datus tiek ievērotas Eiropas Parlamenta un Padomes 2016. gada 27. aprīļa Regula Nr. 2016/679 par fizisku personu aizsardzību attiecībā uz personas datu apstrādi un šādu datu brīvu apriti un ar ko atceļ Direktīvu 95/46/EK (Vispārīgā datu aizsardzības regula), tai skaitā nosakot lomas, t.i., kurš ir datu pārzinis un apstrādātājs.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informatīvais ziņojums papildināts ar 29.16. un 33.4.apakšpunktu.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Savienības Atveseļošanas un noturības mehānisma plāna 3.1. reformu un investīciju virziena “Reģionālā politika” reformas 3.1.2.r “Sociālo un nodarbinātības pakalpojumu pieejamība minimālo ienākumu reformas atbalstam” 3.1.2.2.i. investīcijas “Prognozēšanas rīka izstrāde sociālās apdrošināšanas sistēmas ilgtermiņa prognozēm, sistēmas ilgtermiņa stabilitātes izvērtēšanai un nodrošināšanai” īstenošanu un uzraudzību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ņemt vērā, ka nozares ministrijai būs jāizdomā risinājums un jāpieņem lēmums par veicamajām darbībām un uzlabojumiem, lai novērstu konstatētās nepilnības.  Sniedzot aprakstu ar iespējamo risinājumu - tas nebūs pietiekoši, lai risinātu nozares ministrijas kompetencē un atbildībā esošo procesu/projektu problēmas. (sk. ziņojumu projekta 33.3. apakšpunktu).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IZ 33.3.apakšpunkts, paredzot ministrijai pienākumu, informējot Finanšu ministriju kā Atveseļošanas fonda plāna ieviešanas koordinatoru un, ja nepieciešams, MK par konstatētajiem trūkumiem/pārkāpumiem, t.sk. sniegt informāciju par iespējamo risinājumu par veicamajām darbībām un uzlabojumiem, lai novērstu konstatētās nepilnības.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Savienības Atveseļošanas un noturības mehānisma plāna 3.1. reformu un investīciju virziena “Reģionālā politika” reformas 3.1.2.r “Sociālo un nodarbinātības pakalpojumu pieejamība minimālo ienākumu reformas atbalstam” 3.1.2.2.i. investīcijas “Prognozēšanas rīka izstrāde sociālās apdrošināšanas sistēmas ilgtermiņa prognozēm, sistēmas ilgtermiņa stabilitātes izvērtēšanai un nodrošināšanai” īstenošanu un uzraudzību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ziņouma projekta 35. punktā dzēst numuru "3.1.2.2.i." , ņemot vērā, ka iepriekš ziņojumā ir norāds saīsinājums "investīcija".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informatīvajam ziņojumam “Par Eiropas Savienības Atveseļošanas un noturības mehānisma plāna 3.1.2.2.i. investīcijas “Prognozēšanas rīka izstrāde sociālās apdrošināšanas sistēmas ilgtermiņa prognozēm, sistēmas ilgtermiņa stabilitātes izvērtēšanai un nodrošināšanai” īstenošanu un uzraudzību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pielikuma nosaukumu atbilstoši informatīvā ziņojuma precizētajam nosaukumam.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Savienības Atveseļošanas un noturības mehānisma plāna 3.1. reformu un investīciju virziena “Reģionālā politika” reformas 3.1.2.r “Sociālo un nodarbinātības pakalpojumu pieejamība minimālo ienākumu reformas atbalstam” 3.1.2.2.i. investīcijas “Prognozēšanas rīka izstrāde sociālās apdrošināšanas sistēmas ilgtermiņa prognozēm, sistēmas ilgtermiņa stabilitātes izvērtēšanai un nodrošināšanai” īstenošanu un uzraudzību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w:t>
            </w:r>
            <w:r w:rsidR="00000000" w:rsidRPr="00000000" w:rsidDel="00000000">
              <w:rPr>
                <w:i w:val="1"/>
                <w:rtl w:val="0"/>
              </w:rPr>
              <w:t xml:space="preserve">Vadlīniju informatīvā ziņojuma vai Ministru kabineta noteikumu izstrādei par Eiropas Savienības Atveseļošanas un noturības mehānisma plāna reformas vai investīcijas ieviešanu</w:t>
            </w:r>
            <w:r w:rsidR="00000000" w:rsidRPr="00000000" w:rsidDel="00000000">
              <w:rPr>
                <w:rtl w:val="0"/>
              </w:rPr>
              <w:t xml:space="preserve"> 52. punktu, lūdzam papildināt informatīvo ziņojumu, iekļaujot tajā norādi, ka, gadījumos, kad investīcijas īstenošanai nepieciešams veikt iepirkumu, ja vien tas ir iespējams un attiecināms, ņemot vērā attiecīgās investīcijas specifiku, tiek veikts sociāli atbildīgais publiskais iepirkums.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"Informatīvais ziņojums “Par Eiropas Savienības Atveseļošanas un noturības mehānisma plāna 3.1.2.2.i. investīcijas “Prognozēšanas rīka izstrāde sociālās apdrošināšanas sistēmas ilgtermiņa prognozēm, sistēmas ilgtermiņa stabilitātes izvērtēšanai un nodrošināšanai” īstenošanu un uzraudzību"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sēdes protokollēmuma projekta nosaukumā svītrot vārdus “Informatīvais ziņojums”, ņemot vērā, ka tie tiek atkārtoti divas reizes.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Vārdi “informatīvais ziņojums” lietoti vienreiz. Vienlaikus precizēts MK informatīvā ziņojuma nosaukums.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Eiropas Savienības Atveseļošanas un noturības mehānisma plāna 3.1. reformu un investīciju virziena “Reģionālā politika” reformas 3.1.2.r “Sociālo un nodarbinātības pakalpojumu pieejamība minimālo ienākumu reformas atbalstam” 3.1.2.2.i. investīcijas “Prognozēšanas rīka izstrāde sociālās apdrošināšanas sistēmas ilgtermiņa prognozēm, sistēmas ilgtermiņa stabilitātes izvērtēšanai un nodrošināšanai” īstenošanu un uzraudzību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21-TA-1821</w:t>
    </w:r>
    <w:r>
      <w:br/>
    </w:r>
    <w:r w:rsidR="00000000" w:rsidRPr="00000000" w:rsidDel="00000000">
      <w:rPr>
        <w:rtl w:val="0"/>
      </w:rPr>
      <w:t xml:space="preserve">21.04.2022. 16.15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21-TA-1821</w:t>
    </w:r>
    <w:r>
      <w:br/>
    </w:r>
    <w:r w:rsidR="00000000" w:rsidRPr="00000000" w:rsidDel="00000000">
      <w:rPr>
        <w:rtl w:val="0"/>
      </w:rPr>
      <w:t xml:space="preserve">21.04.2022. 16.15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Izziņa_21-TA-1821.docx</dc:title>
</cp:coreProperties>
</file>

<file path=docProps/custom.xml><?xml version="1.0" encoding="utf-8"?>
<Properties xmlns="http://schemas.openxmlformats.org/officeDocument/2006/custom-properties" xmlns:vt="http://schemas.openxmlformats.org/officeDocument/2006/docPropsVTypes"/>
</file>