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24-TA-3307: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izglītības programmu apguvei apmaiņas sistēmu” īstenošanas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iekļaut mērķa grupā izglītojamo ar speciālām vajadzībām likumiskos pārstāvjus. Paskaidrojam, ka bērnu likumiskie pārstāvji ir netieši iesaistīti bērnu izglītības procesā, tostarp piedalās asistīvo tehnoloģiju izvēlē un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paredzēt atbalsta pasākumus likumiskajiem pārstāvjiem, piemēram, nodrošinot apmācības par asistīvo tehnoloģiju lietošanu mājas apstākļos un atbalsta sniegšanu bērnam mācību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izglītojamo ar speciālām vajadzībām likumiskos pārstāvji nav tiešā mērķa grupa šī atbalsta ietvaros, tomēr izsniedzot asistīvās tehnoloģijas izglītojamo likumiski pārstāvji var būt konsultēti par attiecīgās tehnoloģijas īpašībām un lietošanu. Ņemot vērā līdzšinējo pieredzi, konsultācijas par tehnoloģijas lietošanu var nodrošināt tehnoloģijas piegādātājs pakalpojuma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attiecināmais finansējums ir 1 740 000  euro (no tā elastības finansējums – 274 442 euro), tai skaitā Eiropas Reģionālās attīstības fonda finansējums 1 479 000 euro (no tā elastības finansējums – 233 276 euro) un valsts budžeta līdzfinansējums – ne mazāk kā 261 000 euro (no tā elastības finansējums – 41 166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5.punktā vārdus "ne mazāk kā" pirms noteiktā valsts budžeta līdzfinansējuma apmēra. Attiecīgi ir precizējama arī informācija anotācijas 5. un 15.lpp. (anotācijas 1.3.sadaļas "Risinājuma apraksts" un 3.sadaļas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attiecināmais finansējums ir 1 740 000  euro (no tā elastības finansējums – 274 442 euro), tai skaitā Eiropas Reģionālās attīstības fonda finansējums 1 479 000 euro (no tā elastības finansējums – 233 276 euro) un valsts budžeta līdzfinansējums –  261 000 euro (no tā elastības finansējums – 41 166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sadarbības partnera īstenojamās atbalstāmās darbības un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pašvaldībām kā sadarbības partnerim būtu nepārprotami saprotams, lūdzam skaidrot, kādas darbības un īpaši kādi sasniedzamie rādītāji tiek sagaidīti no sadarbības partnera, t.i., pašvaldības, ja projektā paredzēts izveidot tehnoloģiju apmaiņas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netiek noteikti specifiski sasniedzamie rādītāji sadarbības partneriem. Sākotnēji projekta ietvaros tiks izstrādāts asistīvo tehnoloģiju izglītības programmu apguvei apmaiņas sistēmas apraksts, tajā skaitā definējot dažādu iesaistīto pušu lomu, kā arī no tā varēs izrietēt sadarbības partnera sasniedzamie rādītāji projekta ietvaros. Tāpēc pašlaik nav iespējams tos definēt konkrēti. Sadarbības partneru līgumi tiks noslēgti pēc minētā apraksta izveides un tajā tiks noteiktas sadarbības partnera īstenojamās atbalstāmās darbības un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sadarbības partnera īstenojamās atbalstāmās darbības un sasniedzamie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finansējuma saņēmēja projekta vadības personāla izmaksas (izņemot virsstundas) šo noteikumu 18. punktā minēto atbalstāmo darbību īstenošanai, kas līdz atbildīgās iestādes izstrādātās un ar vadošo iestādi saskaņotās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vadības personāla izmaksas līdz atbildīgā iestāde izstrādās un ar vadošo iestādi saskaņos vienkāršoto izmaksu metodiku ir attiecināmas kā faktiskās izmaksas, lūdzam iekļaut ierobežojumu projekta vadības personāla izmaksām saskaņa ar vadošās iestādes vadlīniju Nr.1.2 ''Vadlīnijas attiecināmo izmaksu noteikšanai 2021.-2027.gada plānošanas periodā" 7.29. apakšpunktu -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nav iekļauts noteikumu projektā, ņemot vērā, ka Finanšu ministrija ir ierosinājusi grozījumus vadlīnijā Nr.1.2 ''Vadlīnijas attiecināmo izmaksu noteikšanai 2021.-2027.gada plānošanas periodā", paredzot svītrot minēto ierobežojumu. Vienlaikus ir papildināta anotācija, norādot, ka projekta iesniedzējs,  plānojot vadības personāla izmaksas, ņem vērā vadošās iestādes Nr.1.2 ''Vadlīnijas attiecināmo izmaksu noteikšanai 2021.-2027.gada plānošanas periodā". Ja minētais  ierobežojums tomēr paliks vadlīnijās, attiecīgais nosacījums tiks iekļauts projektu iesniegumu vērtēšanas kritēriju metodikā.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finansējuma saņēmēja projekta vadības personāla izmaksas (izņemot virsstundas) šo noteikumu 18. punktā minēto atbalstāmo darbību īstenošanai, kas ir attiecināmas kā faktiskās izmaksas.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īstenošanas uzraudzībai Izglītības un zinātnes ministrija kā nozares ministrija izveido projekta uzraudzības padomi, kurā uzaicina piedalīties citu nozaru ministriju, un sociālo partneru pārstāvjus. Projekta uzraudzības padomes sastāvā novērotāju statusā var iekļaut pārstāvjus arī no citām organizācijām un institūcijām, tai skaitā no sadarbības iestādes un atbildīgās iestādes. Projekta uzraudzības padomes darbību nosaka Izglītības un zinātnes ministrijas izstrādāts un apstiprināts nolikums. Pirmo projekta uzraudzības padomes sēdi sasauc ne vēlāk kā trīs mēnešus pēc vienošanās noslēgšanas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punktā noteikts, ka "Projekta īstenošanas uzraudzībai Izglītības un zinātnes ministrija kā nozares ministrija izveido projekta uzraudzības padomi, kurā uzaicina piedalīties citu nozaru ministriju un sociālo partneru pārstāvjus." Lūdzam anotācijā precizēt un detalizēti skaidrot, kā izpaudīsies šīs padomes uzraudzības funkcija projekta ietvaros. Ir svarīgi norādīt, kādi būs padomes konkrētie pienākumi un atbildība, kā arī kāda būs tās loma un iesaistes līmenis projekta īstenošanas procesā. Nepieciešams skaidrojums par to, vai padomei būs tikai konsultatīva funkcija vai arī tai tiks piešķirtas konkrētas lēmumu pieņemšanas tiesības un uzraudzības mehānismi, kas varētu ietekmēt projekta īstenošanas saturu un gaitu.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Vienlaikus norādām, ka projekta uzraudzības padomes darbību nosaka Izglītības un zinātnes ministrijas izstrādāts un apstiprināts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īstenošanas uzraudzībai Izglītības un zinātnes ministrija izveido projekta uzraudzības padomi, kurā uzaicina piedalīties citu nozaru ministriju un sociālo partneru pārstāvjus. Projekta uzraudzības padomes sastāvā novērotāju statusā var iekļaut pārstāvjus arī no citām organizācijām un institūcijām, tai skaitā no sadarbības iestādes. Projekta uzraudzības padomes darbību nosaka Izglītības un zinātnes ministrijas izstrādāts un apstiprināts nolikums. Pirmo projekta uzraudzības padomes sēdi sasauc ne vēlāk kā trīs mēnešus pēc vienošanās noslēgšanas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projektu, finansējuma saņēmējs un sadarbības partneris nodrošina sasniegto rezultātu ilgtspēju vismaz piecus gadus pēc noslēguma maksājuma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izpratni, lūdzam sniegt papildu skaidrojumu par projekta rezultātu ilgtspēju, proti, no kādiem resursiem tiks segtas izmaksas, lai nodrošinātu sadarbības partnerim rezultātu nodrošināšanu vismaz piecus gadus pēc noslēguma maksājuma veikšanas. Atbilstoši MKN projekta anotācijā norādītajam “..asistīvās tehnoloģijas netiks nodotas sadarbības partneru, izglītības iestādes vai izglītojamā īpašumā, bet tiks piešķirtas izglītības iestādes izglītojamajam uz laiku, lai nodrošinātu izglītības programmas apguvi”, savukārt MKN projekta 31. punkts paredz, ka sasniegtie rezultāti ir jāuztur vismaz piecus pēc noslēguma maksājuma veikšanas. Atbilstoši iepriekš minētajam, lūdzam sniegt indikatīvo aprēķinu (finansiālo apmēru), cik lielu finansiālo slogu šādi izdevumi radīs pašvaldībām kā sadarbības partneriem vismaz piecus gadus, lai nodrošinātu rezultātu ilgtspēju.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ka pasākuma ietvaros plānots izveidot ilgtspējīgu asistīvo tehnoloģiju apmaiņas sistēmu, jautājumi par ilgtspējas nodrošināšanu var būt iekļauti asistīvās tehnoloģiju apmaiņas sistēmas aprakstā, kas tiks veidots projekta īstenošanas sākuma posmā. Pēc minētā apraksta izveides, tiks slēgti sadarbības līgumi, paredzot pušu konkrētas tiesības un pienākumus. Jau pašlaik izglītības iestādes sniedz atbalsta pasākumus izglītojamiem (psihologs, speciālais pedagogs, sociālais pedagogs, logopēds) un ieviešot asistīvo tehnoloģiju atbalsta sistēmu nav paredzēts palielināt šo speciālistu slodzi vai pienākumus, bet ieguvums ir saistīts ar to, ka minētajam personālam būs zināšanas un kompetence asistīvo tehnoloģiju jomā, tādējādi būs iespēja piedāvāt kvalitatīvāku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nosacījums lielākoties attiecās uz finansējuma saņēmēju un sadarbības partneri, proti IZM, kas veidos sistēmu un turpmāk nodrošinās sistēmas darbību un asistīvo tehnoloģiju pieejamību izglītojamiem. Sistēmas darbības principi pēc projekta īstenošanas tiks aprakstīti izmēģinājuprojekta izvērtējumā, kas tiks veikts projekta noslēgumā.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projektu, finansējuma saņēmējs un sadarbības partneris nodrošina sasniegto rezultātu ilgtspēju vismaz piecus gadus pēc noslēguma maksājuma veikšanas.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1.3.apakšsadaļas "Pašreizējā situācija, problēmas un risinājumi" punktā "Risinājuma apraksts", kas identificēs bērnam nepieciešamās asistīvās tehnoloģijas, jo no anotācijas teksta nav viennozīmīgi skaidrs nepieciešamo asistīvo tehnoloģiju identificēšanas process. Vienlaikus lūdzam precizēt, vai paredzēts, ka asistīvās tehnoloģijas būs pieejamas tikai bērniem ar speciālām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ir papildināts. Vienlaikus norādām, ka detalizētāks skaidrojums par asistīvo tehnoloģiju apmaiņas sistēmas darbību, tajā skaitā asistīvo tehnoloģiju piešķiršanas process, tiks definēts projekta ietvaros izstrādājamā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mērķa grupa ir pirmsskolas izglītības programmu, vispārējās pamatizglītības programmu un speciālās pamatizglītības programmu izglītojamie no 5 gadu vecuma līdz vispārējās pamatizglītības ieguvei, specifiski nedefinējot vai izglītojamam ir speciālās vajadzības. Asistīvo tehnoloģiju piešķiršanas kritēriji tiks definēti asistīvo tehnoloģiju apmaiņas sistēmas aprakstā, kas tiks izstrādāts projekta ietvaros. Lai nodrošinātu vienlīdzīgas iespējas izglītojamajiem, kam ir nepieciešamas asistīvās tehnoloģijas, saņemt šādu atbalstu, atbalsta mērķa grupa netiek ierobežota tikai ar izglītojamiem, kam ir speciālās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1.3.apakšsadaļas punktu "Problēmas un risinājumi" ar skaidrojumu, kādēļ asistīvo tehnoloģiju sistēmas apraksta izstrādē netiek ņemti vērā pētījuma  “Situācijas izpēte (pētījums) par esošo situāciju ar tehnisko palīglīdzekļu pieejamību un pielietojumu Latvijas izglītības iestādēs” (iepirkums Nr. VSIA NRC “Vaivari” 2018/18ESF)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apakšsadaļas punktā "Risinājuma apraksts" skaidrot un sniegt pamatojumu pašvaldību iekļaušanai 4.2.1.2. pasākuma mērķa grupā, t.sk. skaidrojot to lomu asistīvo tehnoloģiju apmaiņas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1.3.apakšsadaļas punktu "Problēmas un risinājumi" ar informāciju, kādas asistīvās tehnoloģijas paredzēts iegādāties 4.2.1.2. pasākuma projekta ietvaros, jo projektā uzsvērts, ka asistīvās tehnoloģijas nepieciešamas izglītības procesa apguvei, savukārt Izglītības likums jau tagad paredz organizatorisko kārtību, kādā izglītības procesā tiek nodrošināti mācību līdzekļi un mācību tehniskie līdzekļi (saskaņā ar Izglītības likuma 14. panta 15., 48. punktu  izdoti MK 11.03.2021. noteikumi Nr.155 “Kārtība, kādā valsts un pašvaldības finansē mācību līdzekļu iegādi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ka projekta ietvaros sākumā tiks veikta izpēte par asistīvajām tehnoloģijām izglītojamiem izglītības programmu apguvei, definējot Asistīvo tehnoloģiju izglītojamiem  izglītības programmu apguvei jēdzienu, klāstu un vajadzības. Balstoties uz izpētes rezultātiem, tiks veikta asistīvo tehnoloģiju iegāde un slēgti nomas vai abonēšanas līgumi ar tehnoloģiju piegādātājiem. Plānots, ka asistīvo tehnoloģiju fondu veidos speciālās programmatūras un  citi asistīvie līdzekļi izglītojamiem izglītības satura apguvei, prioritizējot programmatūras un citus līdzekļus kurus var izmantot diagnosticējošo darbu un valsts pārbaudes darbu laikā (t.sk. izskatot nepieciešamību veikt grozījumus attiecīgajos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veikt tehniskus precizējumus 1.3.apakšsadaļas punktā "Pašreizējā situācija"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2014. -2020. gada plānošanas perioda darbības programmas “Izaugsme un nodarbinātība” 9.1.4. specifiskā atbalsta mērķa “Palielināt diskriminācijas riskiem pakļauto iedzīvotāju integrāciju sabiedrībā un darba tirgū” 9.1.4.2. pasākuma “Funkcionēšanas novērtēšanas sistēmas izveide un ieviešana un asistīvo tehnoloģiju (tehnisko palīglīdzekļu) pieejamības un pielietojuma Latvijas izglītības iestādēs izpēte” (turpmāk - SAM 9.1.4.2. Projekts) ietvaros tika paredzēts Latvijā izveidot un ieviest funkcionēšanas novērtēšanas sistēmu, kas nodrošinās personu ar funkcionēšanas traucējumiem objektīvu funkcionēšanas novērtēšanu, kā arī veikt asistīvo tehnoloģiju (tehnisko palīglīdzekļu) pieejamības un pielietojuma izpēti Latvijas izglītības iestādēs. SAM 9.1.4.2. Projekta laikā tika apzinātas izglītības iestādes, kur mācās bērni un jaunieši ar funkcionēšanas traucējumiem vecumā no 7 līdz 25 gadiem un kuriem ir tehniskā palīglīdzekļa nepieciešamība mācību procesā. Asistīvo tehnoloģiju (tehnisko palīglīdzekļu) apmaiņas sistēmas darbības ietvaros tika izstrādāti priekšlikumi asistīvo tehnoloģiju apmaiņas fonda organizatoriskajam modelim,  izglītojamo funkcionēšanas novērtēšanai un identificētas vispārējās un profesionālās izglītības nodrošināšanai atbilstošas asistīvās tehnoloģijas (tehniskie palīglīdzekļi). SAM 9.1.4.2. Projekta ietvaros tika plānots arī izstrādāt detalizētu asistīvo tehnoloģiju (tehnisko palīglīdzekļu) apmaiņas sistēmas aprakstu, veikt iesaistīto speciālistu apmācību un izveidotās sistēmas aprobāciju izmēģinājuma projektā izglītības iestādēs, tomēr darbības, kas saistītas ar asistīvo tehnoloģiju apmaiņas sistēmas turpmāko izveidi un ieviešanu tika nolemts pārtraukt, ņemot vērā IZM uzsāktā skolu tīkla sakārtošanas procesu, kas tika plānots kontekstā ar administratīvi teritoriālo reformu 2021.gadā. Tādējādi tika novērsta reālajai situācijai un plānoto reformu kontekstā neatbilstošas un neefektīvas asistīvo tehnoloģiju (tehnisko palīglīdzekļu) apmaiņas sistēmas (ietvars, atbildība, funkcijas un finansējums) izveide.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LM iebildumu par MK noteikumu 3.punktu, aicinām 1.3.apakšsadaļas punktā "Problēmas un risinājumi" mērķa grupā iekļaut izglītojamo ar speciālām vajadzībām likumiskos pārstāvjus. Paskaidrojam, ka bērnu likumiskie pārstāvji ir netieši iesaistīti bērnu izglītības procesā, tostarp piedalās asistīvo tehnoloģiju izvēlē un lietošanā. Vienlaikus aicinām izvērtēt iespēju paredzēt atbalsta pasākumus likumiskajiem pārstāvjiem, piemēram, apmācības par asistīvo tehnoloģiju lietošanu mājas apstākļos un atbalsta sniegšanu bērnam 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mērķa grupu ir iekļauts izziņas 1.punkta. Vienlaikus anotācija ir papildināta ar informāciju par atbalstu izglītojamo likumiskajiem pārstāvjiem, ka arī precizēts noteikumu projekta 18.2. apakšpunkts un 20.2.3.apakšpunkts.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10.lpp. otrās rindkopas pēdējo teikumu ar informāciju, ka arī sadarbības partneri ilgtspēju un rezultātu uzturēšanu vismaz piecus gadus pēc noslēguma maksājuma veikšanas nodrošina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8.lpp trešo rindkopu ar informāciju, ka Izglītības un zinātnes ministrijas izveidotā Uzraudzības padome savu darbību nodrošinās tajā iesaistīto institūciju un organizāciju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2.1.apakšsadaļā vārdu "piejamāko" aizvietot ar vārdu "piekļūstamāku".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visā anotācijas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veikt tehnisku precizējumu, vārdu "nodrošina" aizvietot ar vārdu "sniedz".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w:t>
            </w:r>
            <w:r w:rsidR="00000000" w:rsidRPr="00000000" w:rsidDel="00000000">
              <w:rPr>
                <w:u w:val="single"/>
                <w:rtl w:val="0"/>
              </w:rPr>
              <w:t xml:space="preserve">sniedz</w:t>
            </w:r>
            <w:r w:rsidR="00000000" w:rsidRPr="00000000" w:rsidDel="00000000">
              <w:rPr>
                <w:rtl w:val="0"/>
              </w:rPr>
              <w:t xml:space="preserve"> iespēju nodrošināt kvalitatīvāku un </w:t>
            </w:r>
            <w:r w:rsidR="00000000" w:rsidRPr="00000000" w:rsidDel="00000000">
              <w:rPr>
                <w:u w:val="single"/>
                <w:rtl w:val="0"/>
              </w:rPr>
              <w:t xml:space="preserve">piekļūstamāku</w:t>
            </w:r>
            <w:r w:rsidR="00000000" w:rsidRPr="00000000" w:rsidDel="00000000">
              <w:rPr>
                <w:rtl w:val="0"/>
              </w:rPr>
              <w:t xml:space="preserve">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LM iebildumu par MK noteikumu 3.punktu, lūdzam papildināt anotācijas 2.1.apakšsadaļas punktu “Fiziskās personas” ar jaunu kategoriju “izglītojamo ar speciālām vajadzībām likumiskie pārstāvji”.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ir sniegts izziņas 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ministrijas budžetā nav plānots finansējums 4.2.1.2. pasākuma “Izveidot asistīvo tehnoloģiju (tehnisko palīglīdzekļu) apmaiņas sistēmu izglītības iestādēm” īstenošanai 2026. un 2027.gadā, lūdzam anotācijas 3.sadaļas 4. un 6.kolonnā norādītās finansiālās vērtības norādīt šīs sadaļas 5. un 7.kolonnās. Tāpat lūdzam korekti aizpildīt šīs sadaļas 5.punktu un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iespēju papildināt 8.1.9. sadaļu ar informāciju par pasākuma ietekmes uz personu ar invaliditāti vienlīdzīgām iespējām un tiesībām aprakstu atbilstoši LM/TM vadlīnijām[1], iekļaujot vismaz trīs specifiskās un trīs vispārīgās darbības, lai nodrošinātu regulas Nr. 2021/1060 9. panta 1., 2., 3. daļā noteiktās prasības un ANO Konvencijā par personu ar invaliditāti tiesībām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Laukā "Piedāvātā radakcija" ir teksts, kuru aicinām iekļaut pēc jau esošā apraksta 8.1.9.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personu ar invaliditāti vienlīdzīgām iespējām un tiesībām. Pasākuma ietvaros tiks īstenotas horizontālā principa “Vienlīdzība, iekļaušana, nediskriminācija un pamattiesību ievērošana” vispārīgās un specifiskās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izstrādājot digitālos mācību materiālus, tiks nodrošināts, ka to saturs ir piekļūstams cilvēkiem ar funkcionāliem traucējumiem, izmantojot vairākus sensoros (redze, dzirde, tauste) kanālus, t.sk., produkta programmatūrai ir jābūt savietojamai ar ES atzītām individuālām IT palīgierīcem cilvēkiem ar funkcionāliem traucējumiem (piemēram, Braila printeris, ekrānlasītājs u.c.) (atbilstošais rādītājs VINPI_09);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attālinātā un tiešsaistes mācību procesa nodrošināšanai tiks nodrošināts tāds IKT aprīkojums, tostarp tā lietotāja saskarne, kas ietver iespējas, elementus un funkcijas, kas personām ar invaliditāti ļauj produktam piekļūt, to uztvert, lietot, saprast un vadīt, nodrošinot izglītības procesā būtisko elementu piekļūstamību, izmantojot vairāk par vienu  sensoro kanālu (tas ietver to, ka nodrošina alternatīvas iespējas vizuāliem, audio, runas un taustāmiem elementiem) u.c. (atbilstošais rādītājs VINPI_09);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konkrētajai videi/objektam/pasākuma norises vietai ir iespēja fiziski piekļūt un to izmantot cilvēkiem ar dažādiem funkcionāliem traucējumiem gan kā pasākuma skatītājiem, gan kā dalībniekiem (atbilstošais rādītājs VINPI_08);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organizators nodrošinās un pasākuma aprakstā norādīs, ka pasākums būs piekļūstamscilvēkiem ar dažāda veida funkcionāliem traucējumiem, it sevišķi cilvēkiem riteņkrēslos (atbilstošais rādītājs VINPI_08);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(atbilstošais rādītājs VINPI_01);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apmācību programmas tiks izstrādātas un pasniegtas  piekļūstamos formātos (t.sk., audiāli un elektroniski) (atbilstošais rādītājs VINPI_09).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komunicējot ar Labklājības ministriju, panākta vienošanās par Horizontālā principa “Vienlīdzība, iekļaušana, nediskriminācija un pamattiesību ievērošana” vispārīgajām un specifiskajām darbībām un rādītājiem.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izvērstāku aprakstu 8.1.10.sadaļā, papildinot to ar informāciju par pasākuma ietekmes uz dzimumu līdztiesību aprakstu atbilstoši LM/TM vadlīnijām[1], iekļaujot vismaz trīs specifiskās un trīs vispārīgās darbības, lai nodrošinātu regulas Nr. 2021/1060 9. panta 1., 2., 3. daļā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ERAF pasākums ietvers arī apmācību un veiktspējas veicināšanas darbības, ir ieteicams iekļaut specifiskās darbības no Vadlīniju 8.2. sadaļas “Specifisko HP VINPI darbību piemēri nemateriālo investīciju projektos” un 8.3. sadaļas “Specifisko HP VINPI darbību piemēri infrastruktūras attīstības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īstenotas horizontālā principa “Vienlīdzība, iekļaušana, nediskriminācija un pamattiesību ievērošana” vispārīgās un specifiskās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sievietēm un vīriešiem tiks nodrošināta vienlīdzīga darba samaksa un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(atbilstošais rādītājs VINPI_02.1);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īstenotas darbības, kuras veicina dzimumu stereotipu un aizspriedumu mazināšanu par sieviešu un vīriešu iespējām un tiesībām dažādās sabiedriskās dzīves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komunicējot ar Labklājības ministriju, panākta vienošanās par Horizontālā principa “Vienlīdzība, iekļaušana, nediskriminācija un pamattiesību ievērošana” vispārīgajām un specifiskajām darbībām un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Noteikumu projekta 8.1.13. apakšpunkts paredz, ka projekta ietvaros tiks veikta datu apstrāde. Proti, informāciju par izglītojamajiem, kas pieejama Valsts izglītības informācijas sistēmā (turpmāk - VIIS) izmantos izglītības iestādes vai pašvaldības attiecīgais personāls, lai izvērtētu izglītojamā vajadzības un sagatavotu pieteikumu asistīvo tehnoloģiju saņemšanai konkrētajam izglītojamajam. Anotācijā skaidrots, ka datu ieguve un apmaiņa notiks, ievērojot noteikumus par VIIS un noteikumus par Izglītības resursu uzskaites un monitoringa informācijas sistēmu (turpmāk - RUMIS).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Inspekcija norāda, ka spēkā esošo noteikumu par VIIS vai RUMIS redakcijās nav konstatējamas tiesības  pašvaldībām iegūt informāciju par izglītojamiem konkrētajam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17.6. apakšpunktā paredzēts, ka finansējuma saņēmēja un sadarbības partnera sadarbības līgumā tiek noteikti projekta īstenošanai nepieciešamie personas dati. Tā kā atbilstoši anotācijā ietvertajam skaidrojumam personas datu apstrāde tiks veikta saskaņā ar Ministru kabineta noteikumiem, nav saprotams, kādus datu apstrādes noteikumus plānots regulēt sadarbības līgumos, jo īpaši ņemot vērā to, ka personas datu apstrādes nolūkam un apjomam ir jātiek noteiktam ārējā normatīvajā aktā, nevis līgumā, kas personai, kuras dati tiek apstrādāti, nav saistošs.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iespēju svītrot noteikumu projekta 17.6. apakšpunktu, ja datu apstrāde ir noteikta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noteikumu projekta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cita starpā norādot nolūku un tiesisko pamatu datu apstrādei - normatīvo aktu un tiesību normu, kurā ir noteikta projekta ietvaros paredzētā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noteikumu projektā paredzētā datu apstrāde nav noteikta spēkā esošajos normatīvajos aktos, lūdzam attiecīgi papildināt noteikumu projekta anotācijas 4. sadaļu par tiesību akta projekta ietekmi uz spēkā esošo tiesību normu sistēmu, norādot normatīvos aktus, kuros paredzēt veikt grozījumus saistībā ar plānoto personas datu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17.6. apakšpunkts ir svītrots. Anotācijas 4.sadaļa ir papildināta ar attiecīgo informāciju par ietekmi uz citiem normatīvajiem aktiem - jo datu apstrāde tiks noteikta attiecīgajos Ministru kabineta noteikumos. Tiek izvērtēta grozījumu nepieciešamība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vadlīnijās "Horizontālais princips “Vienlīdzība, iekļaušana, nediskriminācija un pamattiesību ievērošana” vadlīnijas īstenošanai un uzraudzībai  (2021-2027)" noteikto, aicinām precizēt teikumu pirmajā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atlasē </w:t>
            </w:r>
            <w:r w:rsidR="00000000" w:rsidRPr="00000000" w:rsidDel="00000000">
              <w:rPr>
                <w:u w:val="single"/>
                <w:rtl w:val="0"/>
              </w:rPr>
              <w:t xml:space="preserve">tiks piemērots specifiskais atbilstības kritērijs, kurā</w:t>
            </w:r>
            <w:r w:rsidR="00000000" w:rsidRPr="00000000" w:rsidDel="00000000">
              <w:rPr>
                <w:rtl w:val="0"/>
              </w:rPr>
              <w:t xml:space="preserve"> tiks vērtēts vai projektu ietvaros paredzētas vispārīgas un specifiskas darbības, lai tādējādi veicinātu dzimumu līdztiesību, personu ar invaliditāti vienlīdzīgas iespējas un tiesības un nediskrimināciju”.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Eiropas Savienības fondu 2021.-2027.gada plānošanas perioda Uzraudzības komitejas 2024. gada 23. aprīļa  lēmumu Nr. 2024-5.2-3/16/508 par ierobežotu projektu iesniegumu atlašu sarakstu, kurām piemērojams izņēmums attiecībā uz vienoto kritēriju un vienoto izvēles kritēriju piemērošanu apstiprināšanu, 4.2.1.2.pasākuma projekta vērtēšanai piemēro tikai vienotos kritērijus un vienotos izvēles kritērijus. Vispārīgās un specifiskās darbības tiks vērtētas vienoto kritēriju ietvaros. Attiecīgo vispārīgo un specifisko pasākumi piemēri tiks iekļauti projektu iesniegumu vērtēšanas metodikā.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(turpmāk - MK) noteikumu projekta deleģējumā iekļauta norāde uz Eiropas Savienības fondu 2021.—2027. gada plānošanas perioda vadības likuma 19.panta 6.punktu, kā arī ņemot vērā to, ka MK noteikumu projektā ir iekļautas vienkāršotās izmaksas, kā piemēram, MK noteikumu projekta 21.punktā norādītā netiešo izmaksu vienotā likme, lūdzam MK noteikumu 1.punktu papildināt ar apakšpunktu, kas nosaka, ka noteikumi nosaka vienkāršoto izmaksu piemērošanas nosacījumus un kārtību (kā tas bija iepriekšējā MK noteikumu projekta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izglītības iestādes, kuras īsteno pirmsskolas izglītības programmas, vispārējās pamatizglītības programmas un speciālās pamatizglītības programmas (turpmāk –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3.2.apakšpunktu un 16.3.apakšpunktu ar nosacījumu, ka atbalstāmas ir iestādes, kas īsteno licencētas pirmsskolas izglītības programmas, lai nodrošinātu mērķtiecīgu investīciju ieguldīšanu, ņemot vērā, ka tiek paredzēts atbalsts arī privātām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izglītības iestādes, kuras īsteno licencētas pirmsskolas izglītības programmas, vispārējās pamatizglītības programmas un speciālās pamatizglītības programmas (turpmāk – 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3.2. apakšpunktā minēto izglītības iestāžu izglītojamie no 5 gadu vecuma līdz vispārējās pamatizglītības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izglītojamie ar speciālām vajadzībām apgūst arī vidējās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3.2. apakšpunktā minēto izglītības iestāžu izglītojamie no 5 gadu vecuma līdz vispārējās vidējās izglītības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atbalstu plānots sniegt visiem izglītojamajiem vecumā no 5 gadiem līdz pamatizglītības apguvei, kas ir obligāta. Precīzāki kritēriji atbalsta saņemšanai tiks definēti, projekta īstenošanas ietvaros veidojot asistīvo tehnoloģiju apmaiņas sistēmas aprakstu, tajā skaitā veicot izpēti par izglītojamo vajadzībām. Mērķa grupas precizēšanas nepieciešamība tiks izskatīta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3.2. apakšpunktā minēto izglītības iestāžu izglītojamie no 5 gadu vecuma līdz vispārējās pamatizglītības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3.2. apakšpunktā minēto izglītības iestāžu izglītojamie no 5 gadu vecuma līdz vispārējās pamatizglītības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apakšpunkta redakciju aiz vārda “izglītojamie” ar vārdiem “ar speciālām vajadzībām” atbilstoši 2019. gada 19. novembra Ministru kabineta noteikumiem Nr. 556 “Prasības vispārējās izglītības iestādēm, lai to īstenotajās izglītības programmās uzņemtu izglītojamos ar speciālām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3.2. apakšpunktā minēto izglītības iestāžu izglītojamie </w:t>
            </w:r>
            <w:r w:rsidR="00000000" w:rsidRPr="00000000" w:rsidDel="00000000">
              <w:rPr>
                <w:u w:val="single"/>
                <w:rtl w:val="0"/>
              </w:rPr>
              <w:t xml:space="preserve">ar speciālām vajadzībām</w:t>
            </w:r>
            <w:r w:rsidR="00000000" w:rsidRPr="00000000" w:rsidDel="00000000">
              <w:rPr>
                <w:rtl w:val="0"/>
              </w:rPr>
              <w:t xml:space="preserve"> no 5 gadu vecuma līdz vispārējās pamatizglītības ieguvei.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ir sniegts izziņas 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3.2. apakšpunktā minēto izglītības iestāžu izglītojamie no 5 gadu vecuma līdz vispārējās pamatizglītības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sasniedzams šāds nacionālais rādītājs: līdz 2027. gada 31. decembrim ir izveidota asistīvo tehnoloģiju izglītības programmu apguvei apmaiņas sistēma izglītības iestādēm.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4.punktā noteikto nacionālā rādītāja termiņu, kā arī projekta īstenošanas termiņu noteikumu projekta 32.punktā ņemot vēra, ka 4.2.1.2.pasākuma ietvaros ir plānota asistīvo tehnoloģiju apmaiņas sistēmas izmēģinājumprojekta īstenošana izglītības iestādēs un izmēģinājumprojekta rezultātu izvērtēšana, t.sk. ņemot vērā, ka 2027.gada 31.decembris vairākumā izglītības iestāžu mācību gada 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plānoto darbību laika grafiku, kādā plānots ieviest 4.2.1.2.pasākumu, t.sk. norādot, ko plānots darīt ar iegādāto asistīvo tehnoloģiju pēc 2027.gada 31.decembra.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īstenošanas termiņu, skaidrojam, ka saskaņā ar plānoto projekta īstenošanas laika grafiku, projekta ietvaros plānots veikt divus asistīvo tehnoloģiju apmaiņas ciklus. Proti, pirmo reizi asistīvās tehnoloģijas tiks izsniegtas 2025./2026.m.g. 2.semestra sākumā, saņemot to atpakaļ fondā minētā semestra beigās. Otro reizi izsniegšana notiks 2026./2027.m.g. sākumā un saņemšana fonda atpakaļ minētā mācību gada beigās. Pēc tam notiks izmēģinājprojekta izvērtēšana un noslēgšana līdz 2027.gada beigām. Ņemot vērā ierobežotos finansējuma resursus, kurus jāplāno arī projekta īstenošanas personālam, pašlaik netiek plānots pagarināt projekta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projekta indikatīvo laika grafiku un informāciju par ilgtspējas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sasniedzams šāds nacionālais rādītājs: līdz 2027. gada 31. decembrim ir izveidota asistīvo tehnoloģiju izglītības programmu apguvei apmaiņas sistēma.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Reģionālās attīstības fonda finansējumu pasākuma ietvaros piešķir granta veidā. Projekta iesnieguma minimālais kopējo attiecināmo izmaksu apmērs nav mazāks kā 200 000 euro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10.punkta otro teikumu, ņemot vēra, ka plānots viens projekts par visu pasākumam pieejamo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Reģionālās attīstības fonda finansējumu pasākuma ietvaros piešķir granta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pasākuma ietvaros ir valsts pārvaldes iestāde, kas ir atbildīga par vispārējās izglītības satura īstenošanas pārraudzību, koordinē atbalsta sistēmas darbību, lai nodrošinātu izglītības ieguvi izglītojamajiem ar īpašām vajadzībām, kā arī koordinē interešu izglītības sistēmas darbību un kas pēc projekta iesnieguma apstiprināšanas ir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13.punktu finansējuma saņēmējs ir valsts pārvaldes iestāde, kas ir atbildīga par vispārējās izglītības satura īstenošanas pārraudzību, koordinē atbalsta sistēmas darbību, lai nodrošinātu izglītības ieguvi izglītojamajiem ar īpašām vajadzībām, kā arī koordinē interešu izglītības sistēmas darbību un kas pēc projekta iesnieguma apstiprināšanas ir finansējuma saņēmējs. Noteikumu projekta anotācijā ir noteikts, ka šīs funkcijas pilda Valsts izglītības satura centrs (turpmāk - VISC), taču no 2025. gada 1. janvāra VISC ir pārtraucis savu darbību un VISC funkcijas un uzdevumus ir pārņēmusi Valsts izglītības attīstības aģentūra (turpmāk -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interpretācijas iespējas attiecībā uz to, kas šajā pasākumā ir uzskatāms par projekta iesniedzēju/ finansējuma saņēmēju, aicinām noteikumu projektā un anotācijā veikt precizējumus, norādot, ka šajā pasākumā projekta iesniedzējs/ finansējuma saņēmējs ir plānots VIAA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jauns VIAA nolikums vēl nav apstiprināts, redakcija netiek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pasākuma ietvaros ir valsts pārvaldes iestāde, kas ir atbildīga par vispārējās izglītības satura īstenošanas pārraudzību, koordinē atbalsta sistēmas darbību, lai nodrošinātu izglītības ieguvi izglītojamajiem ar īpašām vajadzībām, kā arī koordinē interešu izglītības sistēmas darbību un kas pēc projekta iesnieguma apstiprināšanas ir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šajos noteikumos un projektu iesniegumu atlases nolikumā noteiktajām prasībām un uzaicinājumā noteiktajā termiņā iesniedz to sadarbības iestādē, izmantojot Kohēzijas politikas fondu vadības informācijas sistēmas elektronisko vidi. Projekta iesniedzējs kārtas ietvaros iesniedz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un anotācijā nav norādīts, ka pasākumu īsteno vairākās atlases kārtās, lūdzam izvērtēt, vai nav nepieciešams precizēt noteikumu projekta 15.punktu, kā arī pēc nepieciešamības citus punktus noteikumu projektā un norādīto informāciju anotācijā, nenorādot, ka projekta iesniedzējs projekta iesniegumu iesniedz </w:t>
            </w:r>
            <w:r w:rsidR="00000000" w:rsidRPr="00000000" w:rsidDel="00000000">
              <w:rPr>
                <w:u w:val="single"/>
                <w:rtl w:val="0"/>
              </w:rPr>
              <w:t xml:space="preserve">kārtas ietvaros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šajos noteikumos un projektu iesniegumu atlases nolikumā noteiktajām prasībām un uzaicinājumā noteiktajā termiņā iesniedz to sadarbības iestādē, izmantojot Kohēzijas politikas fondu vadības informācijas sistēmas elektronisko vidi. Projekta iesniedzējs iesniedz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šajos noteikumos un projektu iesniegumu atlases nolikumā noteiktajām prasībām un uzaicinājumā noteiktajā termiņā iesniedz to sadarbības iestādē, izmantojot Kohēzijas politikas fondu vadības informācijas sistēmas elektronisko vidi. Projekta iesniedzējs iesniedz vienu projekta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 projektu īsteno kopīgi ar šādiem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atbalstāmo darbību un secīgi izmaksu izsekojamību un attiecināmību, lūdzam noteikumu projekta 16.punkta apakšpunktos norādīt, kuru atbalstāmo darbību īstenošanā tiek iesaistīti konkrētie sadarbības partneri, t.sk. skaidri norādot Izglītības un zinātnes ministrijas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asistīvo tehnoloģu apmaiņas sistēmas apraksts tiks veidots projekta īstenošanas laikā, pašlaik nav iespējams precīzi definēt, kādās tieši darbībās tiks iesaistīti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Izglītības un zinātnes ministrija ir VIIS un RUMIS pārvaldnieks, no noteikumu projekta definētajām izmaksām izriet, ka tās iesaistās asistīvo tehnoloģiju apmaiņas sistēmas izglītības iestādēm izveidē, nodrošinot vismaz minēto sistēmu uzlabojumus.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 projektu īsteno kopīgi ar šādiem sadarbības partneriem: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maksājumu veikšanas kārtība šo noteikumu 18. punktā minēto atbalstāmo darbību īstenošanai un tiešo un netiešo attiecināmo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kuriem (vai visiem) sadarbības partneriem attiecas nosacījums par maksājumu veikšanas kārtību attiecas. No noteikumu projekta 20.punkta izriet, ka attiecināmās izmaksas ir paredzētas tikai noteikumu projekta 16.4.apakšpunktā minētajam sadarbības partnerim (Izglītības un zinātnes ministrijai). Lūdzam izvērtēt, vai šādā gadījumā, kad sadarbības partneris ir tiešās pārvaldes institūcijas ir nepieciešama atsevišķa maksājumu veikšanas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17.3. apakšpunkts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projekta īstenošanai nepieciešamie fizisko personu dati un to apstrādes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projekta normu varētu efektīvāk piemērot praksē, lūdzam papildināt anotāciju, iekļaujot izvērstāku tiesību normas mērķa aprakstu, kā arī sniedzot skaidrojumu, kādēļ jau noteikumu projekta ietvaros nav iespējams noteikt apstrādājamās personas datu kategorijas un to apstrādes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tajā skaitā ņemt vērā Datu valsts inspekcijas komentāru (izziņas 20.punkts), kā arī noteikumu projekta 17.6. apakšpunkts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ir attiecināmas šādas finansējuma saņēmējam plānotas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plānotas izmaksas gan finansējuma saņēmējam, gan sadarbības partneriem, tad lūdzam noteikumu projekta 19.punktu izteikt šādā redakcijā “Pasākuma ietvaros ir attiecināmas šādas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ir attiecināmas šādas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finansējuma saņēmēja projekta vadības personāla izmaksas (izņemot virsstundas) šo noteikumu 18. punktā minēto atbalstāmo darbību īstenošanai, kas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nesvītrot noteikumu projekta 1.6. apakšpunktu, tā kā tiek plānots piemērot netiešo izmaksu likmi 15% apmērā no personāla izmaksām, kas ir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finansējuma saņēmēja projekta vadības personāla izmaksas (izņemot virsstundas) šo noteikumu 18. punktā minēto atbalstāmo darbību īstenošanai, kas ir attiecināmas kā faktiskās izmaksas.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finansējuma saņēmēja un šo noteikumu 16.4. punktā minēto sadarbības partneru šo noteikumu 18. punktā minēto atbalstāmo darbību īstenošanai projekta īstenošanas personāla izmaksas (izņemot virsstundas), kas līdz atbildīgās iestādes izstrādātās un ar vadošo iestādi saskaņotās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16.4.apakšpunktā minēts viens sadarbības partneris, lūdzam precizēt noteikumu projekta 20.1.2.apakšpunkta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finansējuma saņēmēja un šo noteikumu 16.4. punktā minētā sadarbības partnera šo noteikumu 18. punktā minēto atbalstāmo darbību īstenošanai projekta īstenošanas personāla izmaksas (izņemot virsstundas), kas ir attiecināmas kā faktiskās izmaksas.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pārējās projekta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neatbilstību riskus un tiktu nodrošināti nepārprotami nosacījumi gan projekta iesniedzējam, gan sadarbības partneriem par projekta īstenošanas izmaksām, lūdzam pārējās projekta īstenošanas izmaksas precizēt, norādot, kuras no noteikumu projekta 20.2.apakšpunktā uzskaitītajām īstenošanas izmaksām attiecināmas finansējuma saņēmējam, kuras noteikumu projekta 16.punktā minētajiem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pārējās projekta īstenošanas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asistīvo tehnoloģiju iegādes izmaksas un nomas izmaksas, t.sk. speciālo programmatūru un citu asistīvo līdzekļu izglītības programmu apguvei iegādes un abonēšanas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18.3.apakšpunktā minētās atbalstāmās darbības, lūdzam papildināt noteikumu projekta 20.2.4.apakšpunktu ar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20.2.10.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finansējuma saņēmējam asistīvo tehnoloģiju iegādes izmaksas un nomas izmaksas, t.sk. speciālo programmatūru un citu asistīvo līdzekļu izglītības programmu apguvei iegādes un abonēšanas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finansējuma saņēmēja jaunradītu darba vietu aprīkojuma, tai skaitā biroja mēbeļu un tehnikas, datorprogrammu un licences iegādes vai nomas izmaksas, aprīkojuma uzturēšanas un remonta izmaksas, ne vairāk kā 3 000 euro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 Ja projekta vadības vai īstenošanas personāls ir nodarbināts daļlaiku, tiek ņemts vērā darbinieka iesaistes periods projektā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vārdu savienojuma "aprīkojuma uzturēšanas un remonta izmaksas'' papildināt ar vārdu savienojumu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finansējuma saņēmēja jaunradītu darba vietu aprīkojuma, tai skaitā biroja mēbeļu un tehnikas, datorprogrammu un licences iegādes vai nomas izmaksas, aprīkojuma uzturēšanas un remonta izmaksas vai gadījumos, ja esošo darba vietu aprīkojums ir nolietojies un tiek norakstīts, ne vairāk kā 3 000 euro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 Ja projekta vadības vai īstenošanas personāls ir nodarbināts daļlaiku, tiek ņemts vērā darbinieka iesaistes periods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finansējuma saņēmēja darba braucienu izmaksas saskaņā ar normatīvajiem aktiem par kārtību, kādā atlīdzināmi ar komandējumiem un darbinieku darba braucieniem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Vadošās iestādes 02.04.2024. metodikas Nr.4.2. “Vienas vienības izmaksu standarta likmes aprēķina un piemērošanas metodika iekšzemes komandējumu izmaksām darbības programmas “Izaugsme un nodarbinātība” un Eiropas Savienības kohēzijas politikas programmas 2021.-2027.gadam īstenošanai” 2.punktu vienas vienības izmaksas ir piemērojamas arī darba braucieniem, tāpēc lūdzam dzēst noteikumu projekta 20.2.7.apakšpunktu un papildināt noteikumu projekta 20.2.8.apakšpunktu ar darba braucienu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finansējuma saņēmēja darba braucienu izmaksas saskaņā ar normatīvajiem aktiem par kārtību, kādā atlīdzināmi ar komandējumiem un darbinieku darba braucieniem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darba braucienos ietilpst arī ārvalstu komandējumi. Vēršam uzmanību, ka ārvalstu komandējumu gadījumā saskaņā ar vadošās iestādes vadlīniju Nr. 1.2. ''Vadlīnijas attiecināmo izmaksu noteikšanai 2021.-2027.gada plānošanas periodā" 62. zemsvītras atsauci, izmaksas attiecināmas tikai projekta vadītājam un projekta īstenošanas personālam.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komandējumi nav plānoti.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finansējuma saņēmēja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un transportlīdzekļu nomas un transporta pakalpojuma pirkšanas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Vadošās iestādes izstrādātajā metodikā “Vienas vienības izmaksu standarta likmes aprēķina un piemērošanas metodika 1 km izmaksām darbības programmas “Izaugsme un nodarbinātība” un Eiropas Savienības kohēzijas politikas programmas 2021.–2027.gadam  īstenošanai” noteiktās vienas vienības izmaksu likmes ir piemērojamas projektos, kuros vietējā transporta izmaksas, t.sk. degvielas izmaksas, ir noteiktas kā attiecināmās izmaksas, attiecīgi aicinām precizēt noteikumu projekta 20.2.9.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vietējā transporta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un transportlīdzekļu nomas un transporta pakalpojuma pirkšanas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finansējuma saņēmēja vietējā transporta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un transportlīdzekļu nomas un transporta pakalpojuma pirkšanas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19.2. apakšpunktā minētās netiešās attiecināmās izmaksas plāno kā vienu izmaksu pozīciju, piemērojot netiešo izmaksu vienoto likmi 15 procentu apmērā no šo noteikumu 20.1. apakšpunktā minētajām tiešajām attiecināmajām projekta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personāla izmaksas līdz vienkāršoto izmaksu metodikas saskaņošanai paredzētas kā faktiskās izmaksas, lūdzam MK noteikumu projekta 21.punkta beigas papildināt ar nosacījumu "kas radušās uz darba līguma vai rīkojuma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19.2. apakšpunktā minētās netiešās attiecināmās izmaksas plāno kā vienu izmaksu pozīciju, piemērojot netiešo izmaksu vienoto likmi 15 procentu apmērā no šo noteikumu 20.1. apakšpunktā minētajām tiešajām attiecināmajām projekta personāla izmaksām, </w:t>
            </w:r>
            <w:r w:rsidR="00000000" w:rsidRPr="00000000" w:rsidDel="00000000">
              <w:rPr>
                <w:u w:val="single"/>
                <w:rtl w:val="0"/>
              </w:rPr>
              <w:t xml:space="preserve">kas radušās uz darba līguma vai rīkojuma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19.2. apakšpunktā minētās netiešās attiecināmās izmaksas plāno kā vienu izmaksu pozīciju, piemērojot netiešo izmaksu vienoto likmi 15 procentu apmērā no šo noteikumu 20.1. apakšpunktā minētajām tiešajām attiecināmajām projekta personāla izmaksām, kas radušās uz darba līguma vai rīkojuma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20.2.9. apakšpunkta ietvaros pakalpojuma sniedzējs ir fiziska persona un tā nav reģistrējusies Valsts ieņēmumu dienestā kā pašnodarbināta persona, attiecināmas ir arī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pakalpojuma (uzņēmuma) līgumu izmaksas tiek paredzētas noteikumu projekta 20.2.11.apakšpunktā, lūdzam precizēt noteikumu projekta 22.punktā minēto atsauci, aizstājot to ar noteikumu projekta 20.2.11.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noteikumu 20.2.11. apakšpunkta ietvaros pakalpojuma sniedzējs ir fiziska persona un tā nav reģistrējusies Valsts ieņēmumu dienestā kā pašnodarbināta persona, attiecināmas ir arī darba devēja valsts sociālās apdrošināšanas obligātās iemaksas.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20.2.11. apakšpunkta ietvaros pakalpojuma sniedzējs ir fiziska persona un tā nav reģistrējusies Valsts ieņēmumu dienestā kā pašnodarbināta persona, attiecināmas ir arī darba devēja valsts sociālās apdrošināšanas obligātās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nodoklis, kas tiešā veidā saistīts ar projektu, uzskatāms par attiecināmām izmaksām saskaņā ar regulas Nr. 2021/1060) 64. panta 1. punkta “c” apakšpunktā ietvertajiem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noteikumu projekta 23. punktā svītrot norādi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 izriet, ka </w:t>
            </w:r>
            <w:r w:rsidR="00000000" w:rsidRPr="00000000" w:rsidDel="00000000">
              <w:rPr>
                <w:u w:val="single"/>
                <w:rtl w:val="0"/>
              </w:rPr>
              <w:t xml:space="preserve">darbībām (t.i. projektiem), kuru kopējās izmaksas ir mazākas nekā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w:t>
            </w:r>
            <w:r w:rsidR="00000000" w:rsidRPr="00000000" w:rsidDel="00000000">
              <w:rPr>
                <w:rtl w:val="0"/>
              </w:rPr>
              <w:t xml:space="preserve">; savukārt no "ii" punkta izriet, ka </w:t>
            </w:r>
            <w:r w:rsidR="00000000" w:rsidRPr="00000000" w:rsidDel="00000000">
              <w:rPr>
                <w:u w:val="single"/>
                <w:rtl w:val="0"/>
              </w:rPr>
              <w:t xml:space="preserve">darbībām (t.i. projektiem), kuru kopējās izmaksas ir vismaz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 gadījumos, kad tas nav atgūstams saskaņā ar pievienotās vērtības nodokli reglamentējošiem valsts tiesību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projektos, kur tiek sniegts komercdarbības atbalsts, neatkarīgi no projekta kopējo izmaksu apmēra pievienotās vērtības nodokļa izmaksas ir attiecināmas gadījumos, kad tas nav atgūstams saskaņā ar pievienotās vērtības nodokli reglamentējošiem valsts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nodoklis, kas tiešā veidā saistīts ar projektu, uzskatāms par attiecināmām izmaksām saskaņā ar regulas Nr.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nodoklis, kas tiešā veidā saistīts ar projektu, uzskatāms par attiecināmām izmaksām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64. panta 1. punkta “c” apakšpunktā ietvertajiem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finansējuma saņēmējam un šo noteikumu 16.4. apakšpunktā minētajam sadarbības partnerim izmaksas ir attiecināmas no Ministru kabineta noteikumu spēkā stāšanās. Tādu darbību izmaksas, kas pabeigtas pirms projekta iesnieguma iesniegšanas sadarbības iestādei, nav attiecināmas.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noteikts, ka projekta attiecināmās izmaksas ir attiecināmas no noteikumu projekta spēkā stāšanās dienas, taču noteikumu projekta 25. punktā ir noteikts, ka: "Pasākuma ietvaros </w:t>
            </w:r>
            <w:r w:rsidR="00000000" w:rsidRPr="00000000" w:rsidDel="00000000">
              <w:rPr>
                <w:u w:val="single"/>
                <w:rtl w:val="0"/>
              </w:rPr>
              <w:t xml:space="preserve">finansējuma saņēmējam un šo noteikumu 16.4. apakšpunktā minētajam sadarbības partnerim </w:t>
            </w:r>
            <w:r w:rsidR="00000000" w:rsidRPr="00000000" w:rsidDel="00000000">
              <w:rPr>
                <w:rtl w:val="0"/>
              </w:rPr>
              <w:t xml:space="preserve">izmaksas ir attiecināmas no Ministru kabineta noteikumu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redakcijas noteikumu projekta anotācijā un noteikumu projekta 25. punktā par projekta attiecināmo izmaksu attiecināmības termiņiem projekta iesniedzējam un tā sadarbības partnerim, kas noteikts noteikumu projekta 16.4.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finansējuma saņēmējam un šo noteikumu 16.4. apakšpunktā minētajam sadarbības partnerim izmaksas ir attiecināmas no Ministru kabineta noteikumu spēkā stāšanās. Tādu darbību izmaksas, kas pabeigtas pirms projekta iesnieguma iesniegšanas sadarbības iestādei, nav attiecināmas.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finansējuma saņēmējam izmaksas ir attiecināmas no Ministru kabineta noteikumu spēkā stāšanās. Tādu darbību izmaksas, kas pabeigtas pirms projekta iesnieguma iesniegšanas sadarbības iestādei, nav attiecināmas.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25.punktu ar izmaksu attiecināmības nosacījumiem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Ministru kabineta protokollēmuma projektu ar informāciju par finanšu plūsmu pirms projekta apstiprināšanas, kā arī atbildīgās iestādes pienākumiem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 un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finansējuma saņēmējam un šo noteikumu 16.4. apakšpunktā minētajam sadarbības partnerim izmaksas ir attiecināmas no Ministru kabineta noteikumu spēkā stāšanās. Tādu darbību izmaksas, kas pabeigtas pirms projekta iesnieguma iesniegšanas sadarbības iestādei, nav attiecināmas.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noteikumu projekta 18.6.apakšpunktu.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īstenojot šo noteikumu 18.6. apakšpunktā minēto atbalstāmo darbību, nodrošina projekta īstenošanas komunikācijas un vizuālās identitātes prasības saskaņā ar regulas 2021/1060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projekta īstenošanas laikā nodrošina visu ar projekta īstenošanu saistīto dokumentu glabāšanu, tai skaitā projekta iesnieguma, jebkuru ar projektu saistīto sarakstes dokumentu, iepirkuma dokumentācijas, projekta līguma, veikto darbu, piegāžu un sniegto pakalpojumu apliecinošu dokumentu, veikto maksājumu apliecinošu dokumentu oriģinālu vai to atvasinājumu ar juridisko spēku. Pēc noslēguma maksājuma pieprasījuma pārbaudes Centrālā finanšu un līgumu aģentūra vēstulē par apstiprinātiem attiecināmajiem izdevumiem paziņo finansējuma saņēmējam par dokumentu glabāšanas termiņu, paredzot to ne mazāk kā piecus gadus pēc pēdējā maksājuma veikšanas dalībvalstij, un par fizisko personu  datu glabāšanas termiņu, kas ir pieci gadi pēc pēdējā maksājuma veikšanas dalībvalstij. Iestājoties minētajam datu glabāšanas termiņam, finansējuma saņēmējs dzēš tā rīcībā esošos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attiecīgu skaidrojumu, kas pamatotu noteikumu projektā noteikto fizisko personu datu glabāšanas termiņu - pieci gadi pēc pēdējā maksājuma veikšanas dalībvalstij. Paskaidrojam, ka atbilstoši Datu regulas[1] 5.panta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sniegts skaidrojums nepieciešamībai uzglabāt fizisko personu datus piecus gadus pēc pēdējā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 (ES) 2016/679 par fizisku personu aizsardzību attiecībā uz personas datu apstrādi un šādu datu brīvu apriti un ar ko atceļ Direktīvu 95/46/EK (Vispārīgā datu aizsardzības regula) (turpmāk – Datu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projekta īstenošanas laikā nodrošina visu ar projekta īstenošanu saistīto dokumentu glabāšanu, tai skaitā projekta iesnieguma, jebkuru ar projektu saistīto sarakstes dokumentu, iepirkuma dokumentācijas, projekta līguma, veikto darbu, piegāžu un sniegto pakalpojumu apliecinošu dokumentu, veikto maksājumu apliecinošu dokumentu oriģinālu vai to atvasinājumu ar juridisko spēku. Pēc noslēguma maksājuma pieprasījuma pārbaudes sadarbības iestāde vēstulē par apstiprinātiem attiecināmajiem izdevumiem paziņo finansējuma saņēmējam par dokumentu glabāšanas termiņu, paredzot to ne mazāk kā piecus gadus pēc pēdējā maksājuma veikšanas dalībvalstij, un par fizisko personu  datu glabāšanas termiņu, kas ir pieci gadi pēc pēdējā maksājuma veikšanas dalībvalstij. Iestājoties minētajam datu glabāšanas termiņam, finansējuma saņēmējs dzēš tā rīcībā esošos datus;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nodrošina vismaz trīs vispārīgās un trīs specifiskās horizontālā principa "Vienlīdzība, iekļaušana, nediskriminācija un pamattiesību ievērošana" darbības un uzkrāj, uzskaita un sadarbības iestādē iesniedz apkopotus datus par rādītāju "Specifiskus atbalsta pakalpojumus integrācijai izglītības un darba vidē saņēmušo personu ar funkcionēšanas ierobežojumiem skaits (darbavietu pielāgošana, ergoterapeita, surdotulka, mentora, specializētā transporta pakalpojumi, atbalsta personas)" (VINPI_08) un citiem horizontālā principa rādītājiem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2021.-2027.g.plānošanas perioda pieredzi horizontālā principa "Vienlīdzība, iekļaušana, nediskriminācija un pamattiesību ievērošana" (turpmāk – HP VINPI) plānošanā un ieviešanā ES fondu pasākumos un projektos, kopš 2024.gada 4.ceturkšņa sadarbībā ar Centrālo Finanšu un līgumu aģentūru notika darbs pie HP VINPI vispārīgo un specifisko darbību, kā arī rādītāju redakciju maiņas.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aicinām precizēt HP VINPI rādītāja nosaukumu atbilstoši veicamajām izmaiņām HP VINPI Vadlīnijās un KPVIS. Izmaiņas KPVIS stāsies spēkā līdz projektu atlases izsludināšanai.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nodrošina vismaz trīs vispārīgās un trīs specifiskās horizontālā principa "Vienlīdzība, iekļaušana, nediskriminācija un pamattiesību ievērošana" darbības un uzkrāj, uzskaita un sadarbības iestādē iesniedz apkopotus datus par rādītāju "Specifiskus atbalsta pakalpojumus integrācijai izglītības un darba vidē saņēmušo personu ar invaliditāti un funkcionēšanas ierobežojumiem skaits" (VINPI_08) un citiem horizontālā principa rādītājiem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nodrošina vismaz trīs vispārīgās un trīs specifiskās horizontālā principa "Vienlīdzība, iekļaušana, nediskriminācija un pamattiesību ievērošana" darbības un uzkrāj, uzskaita un sadarbības iestādē iesniedz apkopotus datus par rādītāju "Specifiskus atbalsta pakalpojumus integrācijai izglītības un darba vidē saņēmušo personu ar invaliditāti un funkcionēšanas ierobežojumiem skaits" (VINPI_08) un citiem horizontālā principa rādītājiem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paraksta interešu konflikta neesamības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26.8.apakšpunktu, jo tas saturiski dublē 26.5.apakšpunkta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nodrošina vismaz trīs vispārīgās un trīs specifiskās darbības un uzkrāj, uzskaita un sadarbības iestādē iesniedz apkopotus datus par rādītāju "Specifiskus atbalsta pakalpojumus saņēmušo personu ar invaliditāti skaits (darbavietu pielāgošana, ergoterapeita, surdotulka, mentora, specializētā transporta pakalpojumi, atbalsta personas)" (VINPI_08), kas veicina horizontālā principa “Vienlīdzība, iekļaušana, nediskriminācija un pamattiesību ievērošana”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26.9. apakšpunkta redakciju, papildinot ar atrunu, ka projektā var tikt paredzēti arī citi horizontālā principa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nodrošina vismaz trīs vispārīgās un trīs specifiskās horizontālā principa "Vienlīdzība, iekļaušana, nediskriminācija un pamattiesību ievērošana" darbības un uzkrāj, uzskaita un sadarbības iestādē iesniedz apkopotus datus par rādītāju "Specifiskus atbalsta pakalpojumus saņēmušo personu ar invaliditāti skaits (darbavietu pielāgošana, ergoterapeita, surdotulka, mentora, specializētā transporta pakalpojumi, atbalsta personas)" (VINPI_08) </w:t>
            </w:r>
            <w:r w:rsidR="00000000" w:rsidRPr="00000000" w:rsidDel="00000000">
              <w:rPr>
                <w:u w:val="single"/>
                <w:rtl w:val="0"/>
              </w:rPr>
              <w:t xml:space="preserve">un citiem horizontālā principa rādītājiem (ja attiecināms)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ir precizēts horizontālā principa rādītājs, ņemot vērā papildu konsultācijas ar Labklājības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nodrošina vismaz trīs vispārīgās un trīs specifiskās horizontālā principa "Vienlīdzība, iekļaušana, nediskriminācija un pamattiesību ievērošana" darbības un uzkrāj, uzskaita un sadarbības iestādē iesniedz apkopotus datus par rādītāju "Specifiskus atbalsta pakalpojumus integrācijai izglītības un darba vidē saņēmušo personu ar invaliditāti un funkcionēšanas ierobežojumiem skaits" (VINPI_08) un citiem horizontālā principa rādītājiem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projektā un anotācijā nav norādīts, ka pasākumu īsteno vairākās atlases kārtās, lūdzam precizēt anotācijas 1.1. sadaļā norādīto MK noteikumu projekta nosaukumu un 1.2.sadaļā ietverto informāciju par to, ka noteikumu projekta mērķis ir noteikt projekta iesniegumu </w:t>
            </w:r>
            <w:r w:rsidR="00000000" w:rsidRPr="00000000" w:rsidDel="00000000">
              <w:rPr>
                <w:u w:val="single"/>
                <w:rtl w:val="0"/>
              </w:rPr>
              <w:t xml:space="preserve">atlases kārtas</w:t>
            </w:r>
            <w:r w:rsidR="00000000" w:rsidRPr="00000000" w:rsidDel="00000000">
              <w:rPr>
                <w:rtl w:val="0"/>
              </w:rPr>
              <w:t xml:space="preserve">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sadaļas paragrāfs:</w:t>
            </w:r>
            <w:r w:rsidR="00000000" w:rsidRPr="00000000" w:rsidDel="00000000">
              <w:rPr>
                <w:i w:val="1"/>
                <w:rtl w:val="0"/>
              </w:rPr>
              <w:t xml:space="preserve">“Projektu īsteno saskaņā ar noslēgto vienošanos par projekta īstenošanu, bet ne ilgāk kā līdz 2027. gada 31. decembrim. Ņemot vērā indikatīvo pasākuma ieviešanas laika grafiku, projekta iesniegumu plānots apstiprināt 2025.gada rudenī. Pēc asistīvo tehnoloģiju apmaiņas sistēmas apraksta izveides un RUMIS uzlabojumu veikšanas tiks nodrošināta asistīvo tehnoloģiju izsniegšana izglītojamajiem. Plānots, ka pirmo reizi asistīvās tehnoloģijas tiks izsniegtas 2025./2026.m.g. 2.semestra sākumā, saņemot to atpakaļ fondā minētā semestra beigās. Otro reizi izsniegšana plānota 2026./2027.m.g. sākumā un saņemšana fonda atpakaļ minētā mācību gada beigās. Vienlaikus tiks sniegts atbalsts iesaistītajiem speciālistiem un izglītības iestāžu pedagogiem. Pēc tam notiks izmēģinājprojekta izvērtēšana un noslēgšana līdz 2027.gada beigām.” </w:t>
            </w:r>
            <w:r w:rsidR="00000000" w:rsidRPr="00000000" w:rsidDel="00000000">
              <w:rPr>
                <w:rtl w:val="0"/>
              </w:rPr>
              <w:t xml:space="preserve">iet pretrunā ar anotācijas 1.3 sadaļā un regulas (ES) 2021/1060 65. pantā noteikto pienākumu nodrošināt sasniegto rezultātu ilgtspēju vismaz piecus gadus pēc noslēguma maksājuma veikšanas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lūgums papildināt anotāciju ar informāciju par to kā izglītojamiem tiks nodrošināta asistīvo tehnoloģiju izsniegšana vai pieejamība pēc 2026./2027 mācību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anotācijas 1.3.sadaļas paragrāfā: </w:t>
            </w:r>
            <w:r w:rsidR="00000000" w:rsidRPr="00000000" w:rsidDel="00000000">
              <w:rPr>
                <w:i w:val="1"/>
                <w:rtl w:val="0"/>
              </w:rPr>
              <w:t xml:space="preserve">“Īstenojot projektu, finansējuma saņēmējs un sadarbības partneri nodrošina sasniegto ilgtspēju vismaz piecus gadus pēc noslēguma maksājuma veikšanas esošo budžeta līdzekļu ietvaros. Ilgtspēja ir noteikta attiecībā uz visu 4.2.1.2. pasākumu kopumā, savukārt attiecībā uz projekta ietvaros iegādātajiem asistīvo tehnoloģiju līdzekļiem tiek ņemts vērā tās ekspluatācijas laiks saskaņā ar Ministru kabineta  2018. gada 13. februāra noteikumos Nr. 87 “Grāmatvedības uzskaites kārtība budžeta iestādēs” noteikto. Finansējuma saņēmējs nodrošina ilgtspēju un rezultātu uzturēšanu vismaz piecus gadus pēc noslēguma maksājuma veikšanas nodrošina valsts budžeta līdzekļu ietvaros. Ņemot vērā, ka asistīvo tehnoloģiju apmaiņas sistēmas apraksts, tajā skaitā tiks noteiktas asistīvas tehnoloģijas, kas veidot asistīvo tehnoloģiju fondu, tiks veidots projekta īstenošanas laikā, pašlaik nav iespējams viennozīmīgi noteikt kā tiks nodrošināta iegādāto tehnoloģiju ilgtspēja un rezultātu uzturēšana. Ilgtspējas nodrošināšanas un rezultātu uzturēšanas alternatīvas tiks vērtētas, izstrādājot asistīvo tehnoloģiju apmaiņas sistēmas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paragrāfā sniegtā informācija, ka pašlaik nav iespējams viennozīmīgi noteikt, kā tiks nodrošināta iegādāto tehnoloģiju ilgtspēja un rezultātu uzturēšana, ir pretrunā ar to, ka finansējuma saņēmējs un sadarbības partneri nodrošina sasniegto ilgtspēju vismaz piecus gadus pēc noslēguma maksājuma veikšanas esošo budžeta līdzekļu ietvaros, kā arī, ka finansējuma saņēmējs ilgtspēju un rezultātu uzturēšanu vismaz piecus gadus pēc noslēguma maksājuma veikšanas nodrošina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20.2.8. apakšpunktā ir noteikts, ka finansējuma saņēmēja </w:t>
            </w:r>
            <w:r w:rsidR="00000000" w:rsidRPr="00000000" w:rsidDel="00000000">
              <w:rPr>
                <w:u w:val="single"/>
                <w:rtl w:val="0"/>
              </w:rPr>
              <w:t xml:space="preserve">vietējā transporta izmaksas</w:t>
            </w:r>
            <w:r w:rsidR="00000000" w:rsidRPr="00000000" w:rsidDel="00000000">
              <w:rPr>
                <w:rtl w:val="0"/>
              </w:rPr>
              <w:t xml:space="preserve"> (maksa par degvielu, maksa par sabiedriskā transporta izmantošanu)  tiek attiecinātas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savukārt noteikumu projekta anotācijā ir minēts, ka: "</w:t>
            </w:r>
            <w:r w:rsidR="00000000" w:rsidRPr="00000000" w:rsidDel="00000000">
              <w:rPr>
                <w:i w:val="1"/>
                <w:rtl w:val="0"/>
              </w:rPr>
              <w:t xml:space="preserve">Lai nodrošinātu atbalstāmo darbību īstenošanu, piemēram, asistīvo tehnoloģiju apmaiņas sistēmas darbības nodrošināšanā iesaistīto speciālistu un izglītības iestāžu darbinieku apmācību, izmēģinājumprojekta izvērtēšanu, ir paredzētas iekšzemes un darba braucienu izmaksas. Iekšzemes komandējumu izmaksas plānots segt atbilstoši Finanšu ministrijas metodikā „Vienas vienības izmaksu standarta likmes aprēķina un piemērošanas metodika iekšzemes komandējumu izmaksām darbības programmas “Izaugsme un nodarbinātība” īstenošanai” iekļautajiem nosacījumiem un papildus šim </w:t>
            </w:r>
            <w:r w:rsidR="00000000" w:rsidRPr="00000000" w:rsidDel="00000000">
              <w:rPr>
                <w:i w:val="1"/>
                <w:u w:val="single"/>
                <w:rtl w:val="0"/>
              </w:rPr>
              <w:t xml:space="preserve">transporta izmaksas </w:t>
            </w:r>
            <w:r w:rsidR="00000000" w:rsidRPr="00000000" w:rsidDel="00000000">
              <w:rPr>
                <w:i w:val="1"/>
                <w:rtl w:val="0"/>
              </w:rPr>
              <w:t xml:space="preserve">plāno, piemērojot Finanšu ministrijas metodiku „Vienas vienības izmaksu standarta likmes aprēķina un piemērošanas metodika 1 km izmaksām darbības programmas “Izaugsme un nodarbinātība” īstenošanai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redakcijas noteikumu projekta anotācijā ar noteikumu projekta 20.2.8. apakšpunktā minēto, tostarp, veicot precizējumus vadošās iestādes metodikas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projektu attiecināt uz izglītojamiem ar speciālajām vajadzībām arī vidējās izglītības posmā, attiecīgi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nosacījumu neierobežo izglītojamo ar speciālām vajadzībām saņemt atbalstu. Papildu skaidrojums ir izziņas 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anotācijas 1.3.apakšsadaļas punktā "Problēmas un risinājumi" ir ņemts vērā, ka jau šobrīd MK 21.12.2021. noteikumi Nr.878 "Tehnisko palīglīdzekļu noteikumi" paredz, ja tehniskais palīglīdzekļis ir nepieciešams mācībām, darbam, iesniedzot izziņu, persona var saņemt otru tehnisko palīglīdzekli? Aicinām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21.12.2021. noteikumi Nr.878 "Tehnisko palīglīdzekļu noteikumi" 14.7. apakšpunkts, nosaka, ka persona, kas apgūst izglītības programmu izglītības iestādē var saņemt otru pārvietošanās tehnisko palīglīdzekli. Tomēr 4.2.1.2.pasākuma atbalsta ietvaros nav plānots sniegt atbalstu pārvietošanas tehniskajiem līdzekļiem. Projekta ietvaros tiks nodrošināta demarkācija ar minētajos MK noteikumos noteiktajiem tehniskajiem līdzekļiem, iegādājoties cita veida palīglīdzekļus, kas tiešā veidā kalpos kā palīgs izglītības satura apguvē. Asistīvo tehnoloģiju izglītības programmu apguvei klāsts tiks noteikts pēc attiecīgās izpētes veikšanas projekta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tika precizēts pasākuma nosaukums, svītrojot "(tehnisko palīglīdzekļu)", lai nemaldinātu par asistīvo tehnoloģiju veidu, kas tiks nodrošināts atbalsta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ieguldījumi plānoti publiskās pārvaldes īpašumā esošajos digitālajos risinājumos, t.sk. finansējuma saņēmēja īpašumā atradīsies pirmkodi, intelektuālā īpašuma tiesības, t.sk. risinājuma modificēšanas tiesības, lai novērstu gadījumus, kad tiek kropļota konkurence, veicot publiskus ieguldījumus kāda konkrēta komersanta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anotācijā norādītos intervences kodus ar ES kohēzijas politikas programmas 2021-2027 pielikumos norādītajiem intervences laukumiem.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kā tiks nodrošināta demarkācija ne tikai asistīvo tehnoloģiju līmenī ("projekta ietvaros netiks iegādātas asistīvās tehnoloģijas, kurām tiek nodrošināts finansējums no citu finansēšanas avotiem"), bet arī personu līmenī - lai viena persona nesaņem vienu un to pašu līdzekli no dažādiem finanšu avotiem. Lūdzam paredzēt atbilstošus pārbaudes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apsvērt papildināt anotāciju ar informāciju, kas norāda papildināmību ar AF plānoto 3.1.2.6.i. investīciju "Tehnisko palīglīdzekļu pieejamības sekmēšana".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skaidrojam, ka atbalsta ietvaros nav plānots iegādāties tehniskos līdzekļus, kas ir minēti ar Atveseļošanas fonda ietvaros plānotās 3.1.2.6.i. investīcijas "Tehnisko palīglīdzekļu pieejamības sekmēšana"  noteikumu projektā (24-TA-3046) un MK 21.12.2021. noteikumos Nr.878 „Tehnisko palīglīdzekļu noteikumi”, kā arī veidojot AST apmaiņas sistēmas darbības aprakstu, tiks izvērtēta iespēja un nepieciešamība noteikt demarkācijas principus personu līmenī, ņemot vērā, ka atkarībā no palīgtehnoloģijas veida var rasties nepieciešamība piešķirt divas vienības – vienu lietošanai izglītības iestādē un otro lietošanai mājās, lai nodrošinātu mācību uzdevumu izpildei. Piemēram, divu pārvietošanas līdzekļu piešķiršanu pieļauj MK 21.12.2021. noteikumos Nr.878 „Tehnisko palīglīdzekļu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tika precizēts pasākuma nosaukums, svītrojot "(tehnisko palīglīdzekļu)", lai nemaldinātu par asistīvo tehnoloģiju veidu, kas tiks nodrošināts atbalsta ietvaros, un papildinot ar akcentu, ka tehnoloģijas ir paredzētas izglītības programmu apguvei. Ņemot vērā, ka izveidota sistēma nepiederēs izglītības iestādēm, attiecīgi ir svītrots arī šis uzsvars.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pasākuma nosaukuma precizējumu, tehniski precizēts arī nacionālais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svītrot informāciju, ka nacionālā rādītāja uzraudzību veic atbildīgā iestāde, ņemot vēra, ka ES fondu vadošās iestādes vadlīniju "Nr. 1.4. Vadlīnijas Ministru kabineta noteikumu par specifiskā atbalsta mērķa īstenošanu izstrādei Eiropas Savienības fondu 2021.—2027. gada plānošanas periodā" 5.punktā noteikts, ka gadījumā, ja pasākumam/kārtai nevar piemērot ES Kohēzijas politikas programmas 2021.-2027.gadam (turpmāk – Programma) SAM līmenī noteikto rādītāju, tad Ministru Kabineta noteikumos nosaka atbilstošu nacionālo rādītāju, kura uzraudzību nodrošina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svītrot teikumu “Tika plānots nodrošināt asistīvo tehnoloģiju (tehnisko palīglīdzekļu) apmaiņu izglītības iestāžu izglītojamiem, kā arī sagatavot priekšlikumus asistīvo tehnoloģiju (tehnisko palīglīdzekļu) apmaiņas sistēmas pilnveidošanai.” ņemot vērā, ka Ministru kabineta 2015. gada 20. oktobra noteikumi Nr. 601 “Darbības programmas "Izaugsme un nodarbinātība" 9.1.4. specifiskā atbalsta mērķa "Palielināt diskriminācijas riskiem pakļauto iedzīvotāju integrāciju sabiedrībā un darba tirgū" 9.1.4.2. pasākuma "Funkcionēšanas novērtēšanas sistēmas izveide un ieviešana un asistīvo tehnoloģiju (tehnisko palīglīdzekļu) pieejamības un pielietojuma Latvijas izglītības iestādēs izpēte" īstenošanas noteikumi” neparedz šādas darbības vai skaidrot kāda pasākuma/finansējuma ietvaros tika plānots īstenot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ir precizēta, iekļaujot Labklājības ministrijas ierosināto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norādīts, ka projekta īstenošanai, izvērtējot esošo cilvēkresursu kapacitāti, var tikt veidota jauna štata vieta, lūdzam izvērtēt nepieciešamību noteikumu projektu saskaņot arī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sekretāru 2023. gada 30. marta sanāksmes protokola Nr. 12 4. § 1., 2. un 3. punkts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Tiesību aktu projekti, kuru turpmākai ieviešanai būs nepieciešama papildu pastāvīgu amata vietu izveide vai arī tie paredz ar nodarbināto atlīdzību saistītus jautājumus, obligāti saskaņojami ar Valsts kanceleju (Valsts pārvaldes politikas departamentu).</w:t>
            </w:r>
            <w:r w:rsidR="00000000" w:rsidRPr="00000000" w:rsidDel="00000000">
              <w:rPr>
                <w:i w:val="1"/>
                <w:rtl w:val="0"/>
              </w:rPr>
              <w:t xml:space="preserve">2. Veidojot jaunu pastāvīgu amata vietu (projekta ieviešanai vai arī pēc projekta rezultātu uzturēšanai), informācija par to norādāma Ministru kabineta sēdes protokollēmumā kā atsevišķs punkts.</w:t>
            </w:r>
            <w:r w:rsidR="00000000" w:rsidRPr="00000000" w:rsidDel="00000000">
              <w:rPr>
                <w:i w:val="1"/>
                <w:rtl w:val="0"/>
              </w:rPr>
              <w:t xml:space="preserve">3. Lai nodrošinātu sekmīgu projektu (t.sk. Eiropas Savienības kohēzijas politikas programmas 2021.–2027. gadam, Eiropas Savienības Atveseļošanas un noturības mehānisma plāna u.c. ) ieviešanu, ministrijas un padotības iestādes var veidot projektu ieviešanai nepieciešamās amata vietas uz noteiktu laiku. Minētajā gadījumā papildu saskaņojums ar Valsts kanceleju (Valsts pārvaldes politikas departamentu)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projektu ieviešanai nepieciešamās amata vietas tiks veidotas uz noteiktu laiku. Minētajā gadījumā papildu saskaņojums ar Valsts kanceleju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finansējuma saņēmējs un sadarbības partneri nodrošinās komunikācijas un vizuālās identitātes prasības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2021.–2027.gada plānošanas periodā, </w:t>
            </w:r>
            <w:r w:rsidR="00000000" w:rsidRPr="00000000" w:rsidDel="00000000">
              <w:rPr>
                <w:u w:val="single"/>
                <w:rtl w:val="0"/>
              </w:rPr>
              <w:t xml:space="preserve">kā arī ievēros Eiropas Savienības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norādītās informācijas ir secināms, ka noteikumu projekta 16.1., 16.2. un 16.3.apakšpunktā norādītie sadarbības partneri netiks norādīti projekta iesniegumā un sadarbības līgumi ar tiem tiks slēgti projekta īstenošanas laikā. Ņemot vērā minēto, lūdzam papildināt anotāciju un nepieciešamības gadījumā arī noteikumu projektu ar informāciju par to, kā sadarbības līgumu slēgšanai tiks izvēlēti 16.1., 16.2. un 16.3.punktā norādītie sadarbības partneri. Lūdzam anotācijā skaidrot, kā attiecībā uz šiem partneriem tiks veikta Eiropas Savienības fondu 2021.—2027. gada plānošanas perioda vadības likumā noteikto izslēgšanas nosacījumu pārbaude, kā arī to projekta iesnieguma vērtēšanas kritēriju pārbaude, kuros tiek vērtēta sadarbības partneru iesaiste.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tehniskus precizējumus 1.3.apakšsadaļas punktā "Problēmas un risinājumi"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un sadarbības partneri nodrošina sasniegto rezultātu ilgtspēju vismaz piecus gadus pēc noslēguma maksājuma veikšanas. Ilgtspēja ir noteikta attiecībā uz visu 4.2.1.2. pasākumu kopumā, savukārt attiecībā uz projekta ietvaros iegādātajiem asistīvo tehnoloģiju līdzekļiem tiek ņemts vērā tās ekspluatācijas laiks saskaņā ar Ministru </w:t>
            </w:r>
            <w:r w:rsidR="00000000" w:rsidRPr="00000000" w:rsidDel="00000000">
              <w:rPr>
                <w:u w:val="single"/>
                <w:rtl w:val="0"/>
              </w:rPr>
              <w:t xml:space="preserve">kabineta </w:t>
            </w:r>
            <w:r w:rsidR="00000000" w:rsidRPr="00000000" w:rsidDel="00000000">
              <w:rPr>
                <w:rtl w:val="0"/>
              </w:rPr>
              <w:t xml:space="preserve"> 2018. gada 13. februāra noteikumos Nr. 87 “Grāmatvedības uzskaites kārtība budžeta iestādēs” noteikto. Finansējuma saņēmējs </w:t>
            </w:r>
            <w:r w:rsidR="00000000" w:rsidRPr="00000000" w:rsidDel="00000000">
              <w:rPr>
                <w:u w:val="single"/>
                <w:rtl w:val="0"/>
              </w:rPr>
              <w:t xml:space="preserve">nodrošina</w:t>
            </w:r>
            <w:r w:rsidR="00000000" w:rsidRPr="00000000" w:rsidDel="00000000">
              <w:rPr>
                <w:rtl w:val="0"/>
              </w:rPr>
              <w:t xml:space="preserve"> ilgtspēju un rezultātu uzturēšanu vismaz piecus gadus pēc noslēguma maksājuma veikšanas nodrošina valsts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1.3.apakšsadaļas punktā "Problēmas un risinājumi" ("Mērķa grupa") papildināt redakciju aiz vārda “izglītojamie” ar vārdiem “ar speciālām vajadzībām” atbilstoši 2019. gada 19. novembra Ministru kabineta noteikumiem Nr. 556 “Prasības vispārējās izglītības iestādēm, lai to īstenotajās izglītības programmās uzņemtu izglītojamos ar speciālām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izglītības iestāžu izglītojamie ar speciālām vajadzībām no 5 gadu vecuma līdz pamatizglītības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ir sniegts izziņas 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1.Aicinām 1.3. sadaļas apakšsadaļu “Pašreizējā situācija” rindkopu “Izglītības programmu ietvaros /…/ un prognozēt asistīvo tehnoloģiju nodrošinājuma vajadzības.” papildināt ar statistikas datiem un pētījumu rezultātiem par MK noteikumu projekta 3.3.apakšpunktā minētas pasākuma mērķa grupas aprakstu, ieskaitot skaitliskas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visus datus, kur vien tas ir iespējams, sniegt dalījumā pēc  dzimuma, vecuma un invaliditātes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4.2.1.2.pasākuma projekta ietvaros sākotnēji tiks izstrādāts asistīvo tehnoloģiju apmaiņas sistēmas, t.sk. veicot izpēti par mērķa grupas tvērumu, tās vajadzībām un asistīvo tehnoloģiju piedāvājumu dažādu izglītības satura apguves vajadzību risināšanai. Līdz ar to, anotācija netiek papildināta ar statistikas datiem par 3.3.apakšpunktā minētas pasākuma mērķa grupas aprakstu, ieskaitot skaitliskas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vēstījums būtu nepārprotams, lūdzam redakcionāli precizēt 1.3.apakšpunkta sadaļas "Pašreizējā situācija" pirmās rindkopas pēdējo teikumu un izteikt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Asistīvo tehnoloģiju apmaiņas fonds ir asistīvo tehnoloģiju apmaiņas sistēma, </w:t>
            </w:r>
            <w:r w:rsidR="00000000" w:rsidRPr="00000000" w:rsidDel="00000000">
              <w:rPr>
                <w:u w:val="single"/>
                <w:rtl w:val="0"/>
              </w:rPr>
              <w:t xml:space="preserve">kas nodrošina izglītojamiem ar speciālām vajadzībām piekļuvi mācību procesā nepieciešamajām asistīvajām tehnoloģijām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ir sniegts izziņas 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2.1.sadaļā "Ietekmes apraksts" norādīt, ka Izglītības un zinātnes ministrija pildīs atbildīgās iestādes funkcijas un Valsts izglītības satura centrs un tā saistību un funkciju pārņēmējs pildīs finansējuma saņēmēja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1.Aicinām 2.1.sadaļā Fizisko personu sarakstā mainīt vārdu “skolēni” uz “izglītojamie ar speciālām vajadzībām” atbilstoši 2019. gada 19. novembra Ministru kabineta noteikumiem Nr. 556 “Prasības vispārējās izglītības iestādēm, lai to īstenotajās izglītības programmās uzņemtu izglītojamos ar speciālām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ir sniegts izziņas 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tehnisku precizējumu 2.2.1.apakšsadaļā: rindkopā “2) Bērnu un jauniešu /…/ mērķis 28” aiz cipara “28” pievienot zīmi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un jauniešu ar speciālām vajadzībām, kas turpina izglītību pēc obligātās izglītības iegūšanas, īpatsvars - bāze (2019) 28 %, 2027.gada mērķis </w:t>
            </w:r>
            <w:r w:rsidR="00000000" w:rsidRPr="00000000" w:rsidDel="00000000">
              <w:rPr>
                <w:u w:val="single"/>
                <w:rtl w:val="0"/>
              </w:rPr>
              <w:t xml:space="preserve">28%</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2.2.6.apakšsadaļu ar informāciju, ka pasākumam ir netieša pozitīva ietekme uz nodarbinātību un ka veikto ERAF investīciju netieša pozitīva ietekme paredzama ilgtermiņā, jo izglītojamie ar speciālām vajadzībām varēs pilnvērtīgi iesaistīties mācību procesā un apgūt izglītības programmu, integrēties sabiedrībā, palielināt iespēju turpināt studijas augstākās izglītības iestādēs, nākotnē attīstīt savu karjeru un iesaistīsies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6.1.apakšsadaļā norādītās iestādes nosaukumu, aizstājot vārdu “attīstības” ar vārdu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6.4.apakšsadaļā norādīto atsauci uz Ministru kabineta 2023. gada 20. aprīļa rīkojuma Nr. 200 “Par Valdības rīcības plānu Deklarācijas par Artura Krišjāņa Kariņa vadītā Ministru kabineta iecerēto darbību īstenošanai”. Vēršam uzmanību, ka minētais rīkojums ir zaudējis spēku un nav aktuāls.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8.1.2.apakšsadaļā “uz valsts un pašvaldību informācijas un komunikācijas tehnoloģiju attīstību” minēto ar informāciju, no kāda finansējuma avota Izglītības un zinātnes ministrija nepieciešamības gadījumā plāno nodrošināt Valsts izglītības informācijas sistēmas (VIIS) pilnveidi, neizmantojot projekta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paredzot VIIS uzlabojumus veikt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8.1.2. apakšsadaļu, jo no MK noteikumu 18.1. un 20.2.2.punktiem secināms, ka pasākumā ir plānota informācijas un tehnoloģijas sistēmas izveide un/vai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2021. gada vadlīnijās sākotnējās ietekmes novērtēšanai un novērtējuma ziņojuma sagatavošanai vienotajā tiesību aktu izstrādes un saskaņošanas portālā noteiktajam, aicinām anotācijas 8.1.13. apakšpunktā ietvert skaidru un saprotamu informāciju par noteikumu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saskaņā ar noteikumu projektu paredzēts apstrādāt,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precizēti, ņemot vērā Datu valsts inspekcijas komentāru (izziņas 20.punkts).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Pieņiemt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1.punktu, aizstājot tajā vārdu “Pieņiemt” ar vārdu “Pieņemt”.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Izglītības un zinātnes ministrija normatīvajos aktos noteiktajā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4.2.1.2. pasākuma “Izveidot asistīvo tehnoloģiju  apmaiņas sistēmu izglītības iestādēm”  īstenošanai 2025. gadā līdz vienošanās noslēgšanai par projekta īstenošanu Valsts izglītības attīstības aģentūrai kā plānotajam finansējuma saņēmējam attiecināmo izmaksu segšanai nepieciešamo finansējumu līdz 150 000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2018. gada 17. jūlija Ministru kabineta noteikumu Nr. 421 "Kārtība, kādā veic gadskārtējā valsts budžeta likumā noteiktās apropriācijas izmaiņas" 24.2. apakšpunktu, no 80.00.00. programmas līdzekļus </w:t>
            </w:r>
            <w:r w:rsidR="00000000" w:rsidRPr="00000000" w:rsidDel="00000000">
              <w:rPr>
                <w:b w:val="1"/>
                <w:rtl w:val="0"/>
              </w:rPr>
              <w:t xml:space="preserve">izņēmuma kārtā</w:t>
            </w:r>
            <w:r w:rsidR="00000000" w:rsidRPr="00000000" w:rsidDel="00000000">
              <w:rPr>
                <w:rtl w:val="0"/>
              </w:rPr>
              <w:t xml:space="preserve">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Ņemot vērā minēto, lūdzam papildināt anotāciju ar risku analīzi, kā arī ar detalizētiem aprēķiniem nepieciešamajam priekšfinansējumam 150 000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Izglītības un zinātnes ministrija normatīvajos aktos noteiktajā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4.2.1.2. pasākuma “Izveidot asistīvo tehnoloģiju  apmaiņas sistēmu izglītības iestādēm”  īstenošanai 2025. gadā līdz vienošanās noslēgšanai par projekta īstenošanu Valsts izglītības attīstības aģentūrai kā plānotajam finansējuma saņēmējam attiecināmo izmaksu segšanai nepieciešamo finansējumu līdz 150 000 euro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24-TA-3307</w:t>
    </w:r>
    <w:r>
      <w:br/>
    </w:r>
    <w:r w:rsidR="00000000" w:rsidRPr="00000000" w:rsidDel="00000000">
      <w:rPr>
        <w:rtl w:val="0"/>
      </w:rPr>
      <w:t xml:space="preserve">26.03.2025. 15.58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24-TA-3307</w:t>
    </w:r>
    <w:r>
      <w:br/>
    </w:r>
    <w:r w:rsidR="00000000" w:rsidRPr="00000000" w:rsidDel="00000000">
      <w:rPr>
        <w:rtl w:val="0"/>
      </w:rPr>
      <w:t xml:space="preserve">26.03.2025. 15.58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Izziņa_24-TA-3307.docx</dc:title>
</cp:coreProperties>
</file>

<file path=docProps/custom.xml><?xml version="1.0" encoding="utf-8"?>
<Properties xmlns="http://schemas.openxmlformats.org/officeDocument/2006/custom-properties" xmlns:vt="http://schemas.openxmlformats.org/officeDocument/2006/docPropsVTypes"/>
</file>