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24-TA-1109: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Noteikumi par valsts nodevu par migrācijas pakalpojumiem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ārzemnieks un viņa uzaicinātājs, ja atbrīvošana no valsts nodevas samaksas atbilst Latvijas Republikai saistošajiem starptautiskajiem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skaidrot projekta 8.1. apakšpunkta tvērumu un piemērošanu, tostarp, ja nepieciešams, sniedzot piemērus. Citastarp aicinām izvērtēt, vai nebūtu precizējama norma vai anotācijā ietvertais skaidrojums atkarībā no normas mērķa un iecerētā tvēruma. Proti, anotācijā attiecīgā norma skaidrota šādi: "</w:t>
            </w:r>
            <w:r w:rsidR="00000000" w:rsidRPr="00000000" w:rsidDel="00000000">
              <w:rPr>
                <w:i w:val="1"/>
                <w:rtl w:val="0"/>
              </w:rPr>
              <w:t xml:space="preserve">[..] par jebkādu migrācijas pakalpojumu saņemšanu, ja tas noteikts starptautiskajos līgumos</w:t>
            </w:r>
            <w:r w:rsidR="00000000" w:rsidRPr="00000000" w:rsidDel="00000000">
              <w:rPr>
                <w:rtl w:val="0"/>
              </w:rPr>
              <w:t xml:space="preserve">". Pirmšķietami nosacījums "ja tas noteikts [Latvijas Republikai saistošajos] starptautiskajos līgumos" un nosacījums "ja [tas] atbilst Latvijas Republikai saistošajiem starptautiskajiem līgumiem" nav saturiski viens un tas pats, un pēdējais, šķiet, varētu būt plašāka tvēruma. Attiecīgi lūdzam izvērtēt iespēju un nepieciešamību precizēt vai nu projekta 8.1. apakšpunktu, vai anotāciju atkarībā no normas mērķa. Alternatīvi, ja tas nav nepieciešams, lūdzam sniegt atbilstošu skaidrojumu par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un sniegts papildu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Republikai saistošie starptautiskie līgumi var saturēt tiešu norādi uz atbrīvojumu no valsts nodevas samaksas, piemēram, Latvijas Republikas valdības un Amerikas Savienoto Valstu valdības līguma par privātās izglītības iestādes "Latvijas Starptautiskā skola" darbības nodrošināšanu 3. panta 4.punktā noteikts, ka Latvijas Republikas valdība nodrošina skolas direktoram, administratīvajam personālam, skolotājiem un viņu ģimenes locekļiem iespēju bez nodevas saņemt vīzu un darba atļauju. Citos gadījumos līgumā nav tiešas norādes uz atbrīvojumu, bet līguma mērķa īstenošanai atbrīvojums no valsts nodevas samaksas varētu tikt piemērots.  Piemēram, Latvijas Republikas valdības un Vjetnamas Sociālistiskās Republikas valdības līguma par sadarbību izglītības jomā 8. pants paredz to, ka finansiālais atbalsts līgumā minētajām darbībām tiek nodrošināts katras puses finanšu līdzekļu robežās. Atbilstoši līguma 3. pantā noteiktajam puses veicina tiešu sadarbību starp izglītības un zinātniskajām institūcijām caur skolēnu, studentu, pedagogu, akadēmiskā personāla, zinātnieku, izglītības jomā strādājošo amatpersonu, ekspertu un speciālistu mobilitāti, kopīgajām izglītības un mācību programmām un pētnieciskiem projektiem, kā arī zinātniskajām konferencēm un semināriem. Lai nodrošinātu mobilitāti vai, līguma ietvaros organizējot svarīgas vizītes, varētu tikt piemērots atbrīvojums no valsts nodevas samaksas. Ievērojot iepriekš minēto, tiesību akta projektā saglabāts pašreizējos Noteikumos Nr. 557 lietotais formulējums, kā arī atbilstoši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ārzemnieks un viņa uzaicinātājs, ja atbrīvošana no valsts nodevas samaksas atbilst Latvijas Republikai saistošajiem starptautiskajiem līgumiem;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 sadaļas punktā "Cita informācija" sniegto skaidrojumu un finansējuma mērķi atbilstoši Ministru kabineta 2024. gada 20. augusta sēdē izskatītā informatīvā ziņojuma “Par valsts pamatbudžeta un valsts speciālā budžeta bāzi un izdevumu pārskatīšanas rezultātiem 2025., 2026., 2027. un 2028. gadam”” protokollēmuma 48. punktam, kurā ir noteikts, ka izdevumi no dotācijas no vispārējiem ieņēmumiem 2 039 066 </w:t>
            </w:r>
            <w:r w:rsidR="00000000" w:rsidRPr="00000000" w:rsidDel="00000000">
              <w:rPr>
                <w:i w:val="1"/>
                <w:rtl w:val="0"/>
              </w:rPr>
              <w:t xml:space="preserve">euro </w:t>
            </w:r>
            <w:r w:rsidR="00000000" w:rsidRPr="00000000" w:rsidDel="00000000">
              <w:rPr>
                <w:rtl w:val="0"/>
              </w:rPr>
              <w:t xml:space="preserve">budžeta apakšprogrammā 11.01.00 “Pilsonības un migrācijas lietu pārvalde” </w:t>
            </w:r>
            <w:r w:rsidR="00000000" w:rsidRPr="00000000" w:rsidDel="00000000">
              <w:rPr>
                <w:u w:val="single"/>
                <w:rtl w:val="0"/>
              </w:rPr>
              <w:t xml:space="preserve">paredzēti, lai nodrošinātu samaksas par virsstundu darbu un piemaksas stratēģisko mērķu sasniegšanu</w:t>
            </w:r>
            <w:r w:rsidR="00000000" w:rsidRPr="00000000" w:rsidDel="00000000">
              <w:rPr>
                <w:rtl w:val="0"/>
              </w:rPr>
              <w:t xml:space="preserve">, veselības apdrošināšanas izdevumu un patvēruma procedūru izdevumu segšanu, kā arī attiecīgi ir precizējami anotācijas 3. un 4.pielikumā sniegtie aprēķini.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un anotācijas 3. un 4.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1.2.punktā minēto mērķa aprakstu: "Valsts nodevu likmes pārrēķināt atbilstoši Eiropas Savienības normatīvajos dokumentos noteiktajam un, ievērojot Pilsonības un migrācijas lietu pārvaldes faktisko izdevumu palielinājumu sekmīgai migrācijas procesa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valsts nodevas mērķis saskaņā ar likuma "Par nodokļiem un nodevām" 1.panta 2.punktu ir personu darbības regulēšana (kontrolēšana, veicināšana, ierobežošana) un valsts nodevas apmērs nav tiešā veidā saistāms ar institūcijas veiktās darbības izmaksu segšanu, anotācijas mērķa aprakstā atsauce uz faktisko izdevumu palielinājumu sekmīgai procesa nodrošināšanai nav īsti korekta.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1.2.punkts.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dažas projektā paredzētās normas pamatotas ar nepieciešamību harmonizēt nosacījumus ar Eiropas Savienības regulējumu (sk., piemēram: </w:t>
            </w:r>
            <w:r w:rsidR="00000000" w:rsidRPr="00000000" w:rsidDel="00000000">
              <w:rPr>
                <w:i w:val="1"/>
                <w:rtl w:val="0"/>
              </w:rPr>
              <w:t xml:space="preserve">"[D]</w:t>
            </w:r>
            <w:r w:rsidR="00000000" w:rsidRPr="00000000" w:rsidDel="00000000">
              <w:rPr>
                <w:i w:val="1"/>
                <w:rtl w:val="0"/>
              </w:rPr>
              <w:t xml:space="preserve">i</w:t>
            </w:r>
            <w:r w:rsidR="00000000" w:rsidRPr="00000000" w:rsidDel="00000000">
              <w:rPr>
                <w:i w:val="1"/>
                <w:rtl w:val="0"/>
              </w:rPr>
              <w:t xml:space="preserve">plomātisko un dienesta vīzu saņēmējiem un vīzas pieprasītājiem - gadījumos, kas saistīti ar humāniem apsvērumiem - lai harmonizētu nosacījumus ar Šengenas vīzas pieprasītājiem noteiktajiem vienotajiem kritērijiem, kas ietverti Eiropas Parlamenta un Padomes 2009. gada 13. jūlija Regulā (EK) Nr. 810/2009, ar ko izveido Kopienas Vīzu kodeksu (Vīzu kodekss) (turpmāk - Vīzu kodekss) [..] Pašreizējais regulējums paredz atbrīvojumu bērniem, kas nav sasnieguši 16 gadu vecumu, bet 12 gadu vecuma noteikšana harmonizēs tiesību aktā noteikto ar Vīzu kodeksā paredzēto vecuma slieksni.</w:t>
            </w:r>
            <w:r w:rsidR="00000000" w:rsidRPr="00000000" w:rsidDel="00000000">
              <w:rPr>
                <w:rtl w:val="0"/>
              </w:rPr>
              <w:t xml:space="preserve">"). Saistībā ar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aicinām izvērstāk skaidrot harmonizēšanas nepieciešamību, tostarp konkrēti norādot attiecīgā Eiropas Savienības tiesību akta nosacījumus (tostarp norādot konkrētu tiesību akta vienību vai vienības), ar kuriem attiecīgā projekta norma tiek harmonizēta;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lūdzam izvērtēt, vai projektā nav ieviestas vai pārņemtas kādas anotācijā minēto Eiropas Savienības tiesību aktu prasības, un vai nu aizpildīt anotācijas 5.1. sadaļu un 5.4. sadaļas 1. tabulu, ietverot informāciju par projektā pārņemtajām vai ieviestajām Eiropas Savienības tiesību aktu prasībām, vai arī sniegt skaidrojumu,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 skaidrojot, ka attiecīgās Eiropas Savienības tiesību normas neuzliek dalībvalstīm pienākumu par līdzīgu pakalpojumu sniegšanu noteikt analogas valsts nodevas likmes, tomēr likmju pielīdzināšanu atbalsta gan Ārlietu ministrija, gan Iekšlietu ministrija, uzskatot, ka par līdzīgu pakalpojumu nebūtu pamatoti noteikt būtiski atšķirīgas valsts nodevas likmes. Eiropas Savienības tiesību normas neuzliek arī pienākumu noteikt atbrīvojumu no valsts nodevas samaksas par ilgtermiņa vīzas pieteikuma izskatīšanu, tomēr atsevišķas atbrīvojamo personu kategorijas ir iekļautas šobrīd spēkā esošajā nacionālajā normatīvajā aktā - Noteikumos Nr. 557 un tiek saglabātas arī šajā tiesību akta projektā (diplomātisko un dienesta vīzu turētāji - lai veicinātu starptautisko attiecību veidošanu un humāni apsvērumi - lai risinātu situācijas, kad valsts nodevas iekasēšana par vīzas pieteikuma izskatīšanu būtu nesamērīga).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aprēķinus par papildu nepieciešamo finansējumu, lai segtu potenciālos izdevumus par virsstundu darbu, kā arī piemaksu par iestādes stratēģisko mērķu sasniegšanu  nodarbinātajiem, kuru amata pienākumos ir migrācijas jautājumu risināšana, lēmumu pieņemšana, atsevišķiem amatiem norādītā mēnešalga 2024.gadā ir zem attiecīgās mēnešalgu grupas skalas intervāla minimuma.  Vienlaikus vēršama uzmanība, ka 2025.gadā algu skalas pieaugums ir paredzēts vēl par 2,6% (līdzšinējo plānoto 6% ) apmērā. Vēršam uzmanību, ka jau 2023.gada 13.janvāra MK sēdes protokols paredzēja, ka nodarbinātajam mēnešalga nedrīkst būt zemākā kā attiecīgās mēnešalgu grupas skalas intervāla minimums (izņemot ja tas ir nodarbinātais uz pārbaudes laiku, kas ir terminēts laika periods). Norādāms, ka šobrīd amatiem: nodaļas vadītājs, 12. mēnešalgu grupa – mēnešalga 2285 euro; nodaļas vadītāja vietnieks, 11.mēnešalgu grupa – mēnešalga 1835 euro un nodaļas vadītāja vietnieks,11.mēnešalgu grupa – mēnešalga 1550 euro ir zemāka nekā attiecīgās mēnešalgu grupas skalas intervāla minimums. Lūdzam norādīt korektus mēnešalgu apmērus, ievērojot arī 2023.gada 26.septembra protokola Nr.47 #43 15.2 un 15.3. punktos noteikto. Attiecīgi lūdzam precizēt visus aprēķinus, jo izdevumi atlīdzībai ir daļa no kopējiem plānotajiem izdevumiem.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4. pielikums.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 ir noteiktas anotācijas 3. sadaļas 6.1. apakšpunkta 2. tabulā 3.1. un 3.2. punktos norādītās nodevu likmes, ņemot vērā, ka atbilstoši Ministru kabineta noteikumu projektam 3.1. punktā noteiktās nodevas apmērs ir 14 </w:t>
            </w:r>
            <w:r w:rsidR="00000000" w:rsidRPr="00000000" w:rsidDel="00000000">
              <w:rPr>
                <w:i w:val="1"/>
                <w:rtl w:val="0"/>
              </w:rPr>
              <w:t xml:space="preserve">euro, </w:t>
            </w:r>
            <w:r w:rsidR="00000000" w:rsidRPr="00000000" w:rsidDel="00000000">
              <w:rPr>
                <w:rtl w:val="0"/>
              </w:rPr>
              <w:t xml:space="preserve">3.2. punktā - 7 </w:t>
            </w:r>
            <w:r w:rsidR="00000000" w:rsidRPr="00000000" w:rsidDel="00000000">
              <w:rPr>
                <w:i w:val="1"/>
                <w:rtl w:val="0"/>
              </w:rPr>
              <w:t xml:space="preserve">euro</w:t>
            </w:r>
            <w:r w:rsidR="00000000" w:rsidRPr="00000000" w:rsidDel="00000000">
              <w:rPr>
                <w:rtl w:val="0"/>
              </w:rPr>
              <w:t xml:space="preserve">, 3.3. punktā - 7 </w:t>
            </w:r>
            <w:r w:rsidR="00000000" w:rsidRPr="00000000" w:rsidDel="00000000">
              <w:rPr>
                <w:i w:val="1"/>
                <w:rtl w:val="0"/>
              </w:rPr>
              <w:t xml:space="preserve">euro </w:t>
            </w:r>
            <w:r w:rsidR="00000000" w:rsidRPr="00000000" w:rsidDel="00000000">
              <w:rPr>
                <w:rtl w:val="0"/>
              </w:rPr>
              <w:t xml:space="preserve">un 3.4. punktā noteiktās nodevas likmes apmērs ir 77 </w:t>
            </w:r>
            <w:r w:rsidR="00000000" w:rsidRPr="00000000" w:rsidDel="00000000">
              <w:rPr>
                <w:i w:val="1"/>
                <w:rtl w:val="0"/>
              </w:rPr>
              <w:t xml:space="preserve">euro, </w:t>
            </w:r>
            <w:r w:rsidR="00000000" w:rsidRPr="00000000" w:rsidDel="00000000">
              <w:rPr>
                <w:rtl w:val="0"/>
              </w:rPr>
              <w:t xml:space="preserve">līdz ar to lūdzam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nodevu likmes aprēķinātas vidēji, ņemot vērā to, ka ielūguma vai izsaukuma pieteikuma izskatīšana ir vienīgais tiesību akta projektā iekļautais pakalpojums, kur kopējais valsts nodevas apmērs veidojas no trīs elementiem: pamatlikmes par pieteikumu, valsts nodevas summas, kas atkarīga no ielūguma vai izsaukuma pieteikumā iekļauto personu skaita (no vienas personas līdz vairākiem desmitiem personu vienā pieteikumā) un no tā, vai attiecīgajā gadījumā ir nepieciešams izskatīt arī tiesību uz nodarbinātību pieprasījumu. Lai aprēķinātu anotācijas 3. sadaļas 6.1. apakšpunkta 2. tabulā 3.1. un 3.2. punktos norādītās vidējās nodevu likmes, analizēts 2023. gadā un 2024. gadā faktiski saņemto pieteikumu skaits un kopējā valsts nodevas summa, kāda iekasēta par pakalpojumu. Tādējādi aprēķināta vidējā valsts nodevas summa, kādu iesniedzēji maksājuši par vienu pakalpojumu, un pēc analoģijas aprēķināta vidējā likme, kāda varētu tikt iekasēta par pakalpojumu, ņemot vērā tiesību akta projektā paredzēto valsts nodevas likmes palielinājumu.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7.sadaļu, norādot, kuras institūcijas nodrošinās noteikumu projektā paredzētā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7.sadaļa.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2. pielikuma "Nodevas veida un nodevas likmes izmaiņu salīdzinājums" 5.1.1. apakšpunkta un 5.3. punkta ailē "Valsts nodevas likmes palielinājums" iekļauto nodevas likmes palielinājumu, ņemot vērā, ka norādītajam palielinājumam pieskaitot pašreiz spēkā esošo likmes apmēru, skaitliski nesanāk ar Ministru kabineta noteikumu projektu noteiktais jaunais likmes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 pielikuma "Nodevas veida un nodevas likmes izmaiņu salīdzinājums" tabulas 6. kolonna "Valsts nodevas likmes palielinājums".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2. pielikuma "Nodevas veida un nodevas likmes izmaiņu salīdzinājums" 2.1. punkta ailē "Normatīvā akta projektā paredzētais valsts nodevas veids" norādīto nodevas likmes apmēru, ņemot vērā, ka Ministru kabineta noteikumu projektā 2.1. punktā ir noteikts, ka likmes apmērs ir palielināts uz 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Summa precizēta anotācijas 2. pielikuma "Nodevas veida un nodevas likmes izmaiņu salīdzinājums" 2.1.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4.pielikuma aprēķinu papildus finansējuma atlīdzības nodrošināšanai formulas, paskaidrojot, kāpēc pozīcijās: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Piemaksas (par papildus darbu un citas), 5% no mēnešalgu kopsummas; 2) Prēmijas un naudas balvas, 10% no mēnešalgu kopsummas; 3) Atvaļinājuma pabalsts, 5% no mēnešalgu kopsummas; 4) Darba devēja valsts sociālās apdrošināšanas iemaksas 23,59%, ir iekļauts papildu finansējuma uzrēķins - 0,2 līdz 0,53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 pielikums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ministrijai 2024. gada izdevumu pārskatīšanas procesā iesniegt Finanšu ministrijā fiskāli neitrālu priekšlikumu par valsts pamatbudžeta ieņēmumu no valsts nodevas par vīzas, uzturēšanās atļaujas vai Eiropas Savienības pastāvīgā iedzīvotāja statusa Latvijas Republikā pieprasīšanai nepieciešamo dokumentu izskatīšanu un ar to saistītajiem pakalpojumiem 2025. gadā un turpmāk ik gadu 2 092 300 euro apmērā, kā arī dotācijas no vispārējiem ieņēmumiem un izdevumu palielinājumu Iekšlietu ministrijas valsts pamatbudžeta apakšprogrammā 11.01.00 “Pilsonības un migrācijas lietu pārvalde” 2025. gadā un turpmāk ik gadu 2 039 066 euro apmērā, tai skaitā 1 911 641 euro (atlīdzība), lai nodrošinātu  atlīdzības palielinājumu migrācijas jomā nodarbinātajiem, un 127 425 euro (preces un pakalpojumi),  lai nodrošinātu patvēruma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Iekšlietu ministrijas priekšlikums par valsts pamatbudžeta ieņēmumu no valsts nodevas par vīzas, uzturēšanās atļaujas vai Eiropas Savienības pastāvīgā iedzīvotāja statusa Latvijas Republikā pieprasīšanai nepieciešamo dokumentu izskatīšanu un ar to saistītajiem pakalpojumiem un dotācijas no vispārējiem ieņēmumiem un izdevumu, lai nodrošinātu samaksas par virsstundu darbu un piemaksas stratēģisko mērķu sasniegšanu, veselības apdrošināšanas izdevumu un patvēruma procedūru izdevumu segšanu, palielinājumu 2025. gadā un turpmāk ik gadu 2 092 300 </w:t>
            </w:r>
            <w:r w:rsidR="00000000" w:rsidRPr="00000000" w:rsidDel="00000000">
              <w:rPr>
                <w:i w:val="1"/>
                <w:rtl w:val="0"/>
              </w:rPr>
              <w:t xml:space="preserve">euro </w:t>
            </w:r>
            <w:r w:rsidR="00000000" w:rsidRPr="00000000" w:rsidDel="00000000">
              <w:rPr>
                <w:rtl w:val="0"/>
              </w:rPr>
              <w:t xml:space="preserve">apmērā Iekšlietu ministrijas valsts pamatbudžeta apakšprogrammā 11.01.00 “Pilsonības un migrācijas lietu pārvalde” ir jau iekļauts informatīvajā ziņojumā “Par valsts pamatbudžeta un valsts speciālā budžeta bāzi un izdevumu pārskatīšanas rezultātiem 2025., 2026., 2027. un 2028. gadam””, kurš jau ir izskatīts un pieņemts Ministru kabinetā šī gada 20. augusta sēdē, lūdzam svītrot Ministru kabineta noteikumu projektam pievienotajā protokollēmuma projektā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Ministru kabineta sēdes protokollēmuma projekta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nodevas likmes par ilgtermiņa vīzas pieprasīšanai nepieciešamo dokumentu izskatīšanu ir šādas: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pārskatīt noteikumu projekta 2.punktā iekļauto normu teksta (ievaddaļa un 2.2.apakšpunkts) korelāciju ar 2.1.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2.2.apakšpunkts.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nodevas likmes par ilgtermiņa vīzas pieprasīšanai nepieciešamo dokumentu izskatīšanu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Personu kategorijas, kuras atbrīvotas no valsts nodevas samaksas: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projektā paredzētajiem grozījumiem no Ministru kabineta 2017. gada 12. septembra noteikumu Nr. 557 "Noteikumi par valsts nodevu par vīzas, uzturēšanās atļaujas vai Eiropas Savienības pastāvīgā iedzīvotāja statusa Latvijas Republikā pieprasīšanai nepieciešamo dokumentu izskatīšanu un ar to saistītajiem pakalpojumiem" (turpmāk - MK noteikumi Nr.557) 11. punkta izslēgti tajā paredzētie atbrīvojumi no valsts nodevas samaksas vairākām personu kategorijām, tostarp: Valkā dzīvojošajiem Igaunijas nepilsoņiem - Latvijas pilsoņu vai nepilsoņu ģimenes locekļiem (MK noteikumu Nr. 557 11.9.apakšpunkts); ārzemniekam, kurš sniedz palīdzību Latvijas Republikas valsts vai pašvaldību institūcijām, un viņa ģimenes loceklim (MK noteikumu Nr. 557 11.15.apakšpunkts); vērtētājam, kurš novērtē, akreditē un uzrauga laboratorijas, sertificēšanas un inspicēšanas institūcijas (MK noteikumu Nr. 557 11.21.2.apakšpunkts). Kā pamatojums šādām izmaiņām ir norādīts apstāklis, ka konkrētie atbrīvojumi pēdējos trīs gados nav piemēroti ne reizi vai tiek tiek izmantoti ļoti reti, līdz ar to uzskatāmi par neaktuāliem. Tomēr jāņem vērā, ka minētie atbrīvojumi no valsts nodevas ir noteikti ar pamatotu mērķi un neuzliek nekādus pienākumus ne iestādēm, ne privātpersonām, kas varētu radīt nepamatotu administratīvu slogu, kura dēļ tie būtu atceļami kā neaktuāli. Līdz ar to nav saskatāms pietiekams pamatojums, lai šādus atbrīvojumus atceltu. Tādējādi lūdzam izvērtēt iespēju minētos atbrīvojumus noteikumu projektā saglabāt.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papildu skaidrojums anotācijā, tai skaitā pamatojot  atbrīvojumu no valsts nodevas samaksas atcelšanu. Vienlaikus projektā saglabāts atbrīvojums vērtētājam, kurš novērtē, akreditē un uzrauga laboratorijas, sertificēšanas un inspicēšanas institūcijas.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Personu kategorijas, kuras atbrīvotas no valsts nodevas samaksas: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Noteikumi stājas spēkā 2024. gada 1. oktobrī.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projekta spēkā stāšanās termiņu, ņemot vērā, ka projekts ir saskaņošanas stadijā un tas vēl ir jāizskata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spēkā stāšanās datums noteikts 01.01.2025.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Noteikumi stājas spēkā 2025. gada 1. janvārī.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iespēju papildināt noteikumu projekta anotāciju, izvērstāk skaidrojot valsts nodevu likmju izmaiņas, kuras anotācijā pašreiz pamatotas ar tādiem apsvērumiem, kā "dokumentu izvērtēšanas procedūra nav atšķirīga", "šādu pieprasījumu skaits pēdējā laikposmā strauji samazinājies", "informācijas sistēmās veicamās pārbaudes un lēmuma sagatavošanas procedūras neatšķiras" u.tml. Proti, aicinām skaidrot, vai sākotnēji atšķirīgo likmju noteikšanai pamatā nebija kādi citi apsvērumi, un attiecīgi skaidrot, vai ir pamatoti attiecīgo likmi pielīdzināt citai likmei.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papildu skaidrojums anotācijā, papildinot attiecīgās problēmas aprakstu anotācijas 1.3. apakšpunktā.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w:t>
            </w:r>
            <w:r w:rsidR="00000000" w:rsidRPr="00000000" w:rsidDel="00000000">
              <w:rPr>
                <w:i w:val="1"/>
                <w:rtl w:val="0"/>
              </w:rPr>
              <w:t xml:space="preserve">Problēmas apraksts: Valsts nodevas likme par ilgtermiņa vīzas pieteikuma izskatīšanu ir zemāka nekā par īstermiņa vīzas pieteikuma izskatīšanu. Risinājuma apraksts: Noteikt valsts  nodevas likmi par ilgtermiņa vīzas pieteikuma izskatīšanu </w:t>
            </w:r>
            <w:r w:rsidR="00000000" w:rsidRPr="00000000" w:rsidDel="00000000">
              <w:rPr>
                <w:i w:val="1"/>
                <w:u w:val="single"/>
                <w:rtl w:val="0"/>
              </w:rPr>
              <w:t xml:space="preserve">pēc analoģijas</w:t>
            </w:r>
            <w:r w:rsidR="00000000" w:rsidRPr="00000000" w:rsidDel="00000000">
              <w:rPr>
                <w:i w:val="1"/>
                <w:rtl w:val="0"/>
              </w:rPr>
              <w:t xml:space="preserve"> ar nodevu par īstermiņa vīzas pieteikuma izskatīšanu, kāda tā noteikta Komisijas deleģētajā regulā (ES) 2024/1415 (2024. gada 14. marts), ar ko Regulu (EK) Nr. 810/2009 groza attiecībā uz vīzas nodevu apmēru.</w:t>
            </w:r>
            <w:r w:rsidR="00000000" w:rsidRPr="00000000" w:rsidDel="00000000">
              <w:rPr>
                <w:rtl w:val="0"/>
              </w:rPr>
              <w:t xml:space="preserve">" Saistībā ar minēto aicinām izvērstāk skaidrot, kādēļ izvēlēts pēc analoģijas piemērot īstermiņa vīzas pieteikuma izskatīšanai piemērojamo valsts nodevas apmēru arī ilgtermiņa vīzas pieteikuma izskatīšanai un kādi apsvērumi ir pamatā šādai izvēlei. Tostarp aicinām skaidrot, kādi apsvērumi ir bijuši pamatā pašreiz spēkā esošo regulējumu, kas paredz, ka par ilgtermiņa vīzas pieteikuma izskatīšanu pastāv zemāka valsts nodevas likme nekā par īstermiņa vīzas pieteikuma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aicinām izvērtēt un izvērstāk skaidrot arī citas valsts nodevu likmju izmaiņas, salīdzinot ar pašreiz noteiktajām valsts nodevu likmēm Ministru kabineta 2017. gada 12. septembra noteikumos Nr. 557 "Noteikumi par valsts nodevu par vīzas, uzturēšanās atļaujas vai Eiropas Savienības pastāvīgā iedzīvotāja statusa Latvijas Republikā pieprasīšanai nepieciešamo dokumentu izskatīšanu un ar to saistītajiem pakalpojumiem", kuras anotācijā pašreiz pamatotas ar tādiem apsvērumiem, kā "dokumentu izvērtēšanas procedūra nav atšķirīga", "šādu pieprasījumu skaits pēdējā laikposmā strauji samazinājies", "informācijas sistēmās veicamās pārbaudes un lēmuma sagatavošanas procedūras neatšķiras" u.tml. Proti, aicinām skaidrot, vai sākotnēji atšķirīgo likmju noteikšanai pamatā nebija kādi citi apsvērumi, un attiecīgi skaidrot, vai ir pamatoti attiecīgo likmi pielīdzināt citai likmei.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anotācija, skaidrojot, ka sākotnēji likmes par ilgtermiņa vīzas pieteikuma izskatīšanu bijušas analogas likmei par Šengenas īstermiņa vīzas pieteikuma izskatīšanu, bet Eiropas Savienības tiesību akts kopš sākotnējās likmes noteikšanas ticis grozīts vairākkārt, kamēr nacionālā normatīvā akta grozījumi tikuši izstrādāti, bet saskaņošanas problēmu dēļ nav tikuši iesniegti Ministru kabinetā.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precizētais noteikumu projekts ir papildināts ar Ministru kabineta 2024. gada 19. septembra sēdē atbalstīto (prot. Nr.38 2.§ 37.p.) ieņēmumu no nodevas par vīzas, uzturēšanās atļaujas vai Eiropas Savienības pastāvīgā iedzīvotāja statusa Latvijas Republikā pieprasīšanai nepieciešamo dokumentu izskatīšanu un ar to saistītajiem pakalpojumiem palielinājumu 2025.-2028. gadā 1 514 810 </w:t>
            </w:r>
            <w:r w:rsidR="00000000" w:rsidRPr="00000000" w:rsidDel="00000000">
              <w:rPr>
                <w:i w:val="1"/>
                <w:rtl w:val="0"/>
              </w:rPr>
              <w:t xml:space="preserve">euro</w:t>
            </w:r>
            <w:r w:rsidR="00000000" w:rsidRPr="00000000" w:rsidDel="00000000">
              <w:rPr>
                <w:rtl w:val="0"/>
              </w:rPr>
              <w:t xml:space="preserve"> apmērā ik gadu, lūdzam anotācijas 3. sadaļā norādīt arī likumprojektā “Par valsts budžetu 2025. gadam un budžeta ietvaru 2025., 2026. un 2027. gadam” paredzēto vispārējā kārtībā sadalāmās dotācijas no vispārējiem ieņēmumiem un izdevumu palielinājumu 2025., 2026., 2027. un 2028. gadā par 1 475 525 </w:t>
            </w:r>
            <w:r w:rsidR="00000000" w:rsidRPr="00000000" w:rsidDel="00000000">
              <w:rPr>
                <w:i w:val="1"/>
                <w:rtl w:val="0"/>
              </w:rPr>
              <w:t xml:space="preserve">euro </w:t>
            </w:r>
            <w:r w:rsidR="00000000" w:rsidRPr="00000000" w:rsidDel="00000000">
              <w:rPr>
                <w:rtl w:val="0"/>
              </w:rPr>
              <w:t xml:space="preserve">apmērā, atbilstoši precizējot anotācijas 3. sadaļas tabulu.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III sadaļas punktu “Cita informācija”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par valsts pamatbudžeta ieņēmumu no valsts nodevas par vīzas, uzturēšanās atļaujas vai Eiropas Savienības pastāvīgā iedzīvotāja statusa Latvijas Republikā pieprasīšanai nepieciešamo dokumentu izskatīšanu un ar to saistītajiem pakalpojumiem palielinājumu 2025. gadā un turpmāk ik gadu 2 092 300 euro apmērā ir jau iekļauts informatīvajā ziņojumā “Par valsts pamatbudžeta un valsts speciālā budžeta bāzi un izdevumu pārskatīšanas rezultātiem 2025., 2026., 2027. un 2028. gadam””, kurš jau ir izskatīts un pieņemts Ministru kabinetā šī gada 20. augusta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3.sadaļas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7.sadaļa.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24-TA-1109</w:t>
    </w:r>
    <w:r>
      <w:br/>
    </w:r>
    <w:r w:rsidR="00000000" w:rsidRPr="00000000" w:rsidDel="00000000">
      <w:rPr>
        <w:rtl w:val="0"/>
      </w:rPr>
      <w:t xml:space="preserve">31.10.2024. 09.34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24-TA-1109</w:t>
    </w:r>
    <w:r>
      <w:br/>
    </w:r>
    <w:r w:rsidR="00000000" w:rsidRPr="00000000" w:rsidDel="00000000">
      <w:rPr>
        <w:rtl w:val="0"/>
      </w:rPr>
      <w:t xml:space="preserve">31.10.2024. 09.34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Izziņa_24-TA-1109.docx</dc:title>
</cp:coreProperties>
</file>

<file path=docProps/custom.xml><?xml version="1.0" encoding="utf-8"?>
<Properties xmlns="http://schemas.openxmlformats.org/officeDocument/2006/custom-properties" xmlns:vt="http://schemas.openxmlformats.org/officeDocument/2006/docPropsVTypes"/>
</file>