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24-TA-3242: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Elektronisko sakaru nozares attīstības plāna 2021.-2027. gadam starpposma izvērtējums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17:18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 tabulas "</w:t>
            </w:r>
            <w:r w:rsidR="00000000" w:rsidRPr="00000000" w:rsidDel="00000000">
              <w:rPr>
                <w:i w:val="1"/>
                <w:rtl w:val="0"/>
              </w:rPr>
              <w:t xml:space="preserve">1. rīcības virziens “Savienojamības paziņojumam atbilstošas platjoslas elektronisko sakaru infrastruktūras attīstīšana</w:t>
            </w:r>
            <w:r w:rsidR="00000000" w:rsidRPr="00000000" w:rsidDel="00000000">
              <w:rPr>
                <w:rtl w:val="0"/>
              </w:rPr>
              <w:t xml:space="preserve">” 1.3. apakšpunktā sniegto informāciju. Vēršam uzmanību, ka "Vidējās jūdzes" investīcija nav plānota ANM plāna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4.1. sadaļā 2. tabulas "1. Rīcības virziens “Savienojamības paziņojumam atbilstošas platjoslas elektronisko sakaru infrastruktūras attīstīšana” 1.3. apakšpunktā sniegtā informācija, norādot, ka investīcija "Vidējās jūdzes" elektronisko sakaru tīklu infrastruktūras attīstībai nav plānota Atveseļošanas un noturības mehānisma (ANM) plāna ietvaros, bet gan Eiropas Reģionālās attīstības fonda (ERAF) programmas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2.sadaļu "Kopsavilkums" papildināt ar informāciju, ka ES Kohēzijas politikas programmas 2021.-2027.gadam (turpmāk - programma) ietvaros netiks īstenots arī </w:t>
            </w:r>
            <w:r w:rsidR="00000000" w:rsidRPr="00000000" w:rsidDel="00000000">
              <w:rPr>
                <w:rtl w:val="0"/>
              </w:rPr>
              <w:t xml:space="preserve">1.4.1.2. pasākums “5G infrastruktūras izbūve, VIA Baltica un Rail Baltica”.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pareizi izteikt programmas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2. sadaļa "Kopsavilkums" ar informāciju, ka  ES Kohēzijas politikas programmas 2021.- 2027.gadam (turpmāk - programma) ietvaros netiks īstenots arī 1.4.1.2. pasākums “5G infrastruktūras izbūve, VIA Baltica un Rail Baltica”.;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programma izteikta: "ES Kohēzijas politikas programma 2021.- 2027.gadam".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par atbildīgo institūciju pasākuma organizēšanā, lai optimizētu frekvenču izmantošanu ar mērķi uzlabot mobilo sakaru pakalpojumu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informatīvā ziņojuma 5.punktā "Jauns pasākums elektronisko sakaru tīklu uzlabošanai" iekļauto uzdevumu</w:t>
            </w:r>
            <w:r w:rsidR="00000000" w:rsidRPr="00000000" w:rsidDel="00000000">
              <w:rPr>
                <w:i w:val="1"/>
                <w:rtl w:val="0"/>
              </w:rPr>
              <w:t xml:space="preserve"> SM sadarbībā ar Sabiedrisko pakalpojumu regulēšanas komisiju, sakaru nozares asociācijām izvērtēt iespējas optimizēt frekvenču izmantošanu ar mērķi uzlabot mobilo sakaru pakalpojumu pieejamību līdz 31.12.2027, </w:t>
            </w:r>
            <w:r w:rsidR="00000000" w:rsidRPr="00000000" w:rsidDel="00000000">
              <w:rPr>
                <w:rtl w:val="0"/>
              </w:rPr>
              <w:t xml:space="preserve">aicinām attiecīgi precizēt arī protokollēmuma uzdevumu, vienlaicīgi iekļautjot tā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uzdevums, norādot tā izpildes termiņu līdz 31.12.2026., attiecībā uz Ziņojuma 5. punktā iekļauto uzdevumu “Jauns pasākums elektronisko sakaru tīklu uzlabošanai” — Satiksmes ministrijai sadarbībā ar Sabiedrisko pakalpojumu regulēšanas komisiju un sakaru nozares asociācijām izvērtēt iespējas optimizēt frekvenču izmantošanu, lai uzlabotu mobilo sakaru pakalpojumu pieejamību. Protokollēmumā precizēts, ka uzdevuma izpildes termiņš ir līdz 31.12.2026. (iepriekš: 31.12.2027.).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Satiksmes ministriju par atbildīgo institūciju pasākuma organizēšanā, lai optimizētu frekvenču izmantošanu ar mērķi uzlabot mobilo sakaru pakalpojumu pieejamību līdz 2026. gada 31. decembrim.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24.09.2025. 18:52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Tet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4.1.1. sadaļā (21.–22. lpp.), aprakstot 1.5. sadaļas pasākumu “Investīciju ieguldījumu progresa izvērtējums un risinājumi nepieciešamā finansējuma piesaistei platjoslas attīstībai”, kā iespējamie risinājumi finansējuma nepietiekamības segšanai ir norādīti trīs avoti: 1) privātais finansējums; 2) publiskās investīcijas – tostarp ERAF, ANM, Eiropas infrastruktūras savienošanas instruments, kā arī papildu publiskā finansējuma piesaiste; un 3) ektronisko sakaru tīklu būvniecības izmaksu samazināšana, balstoties uz administratīvā sloga mazināšanas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minēto, aicinām Ziņojumā skaidrāk iezīmēt, kā tieši plānots piesaistīt un nodrošināt nepieciešamās investīcijas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4.1.1. sadaļā, pasākuma Nr. 1.5. “Investīciju ieguldījumu progresa izvērtējums un risinājumi nepieciešamā finansējuma piesaistei platjoslas attīstībai” aprakstā par “Finansējuma avoti investīciju nepietiekamības segšanai” par turpmāko plānoto rīcību nepieciešamo investīciju un finansējuma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Tet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4.1.1. sadaļā (skat.15.lpp) ir uzskaitīti CEF projekti, tostarp minēts projekts “Uninterrupted 5G Coverage Across Via Baltica Corridor - 5G-BALTICS”, taču atšķirība no citiem minētajiem CEF projektiem, pie šī projekta apraksta nav norādīti tā izpildītāji, kas ir gan SIA Tet, gan SIA Tele2 un vēl 8 citu valstu partneri. Kā arī pie šī projekta minēts CEF finansējums 6,5 milj. EUR apmērā, lai gan 6,5 milj. EUR ir kopējās pasīvās infrastruktūras izbūves izmaksas, no kurām CEF finansē tikai 50%. Papildus norādām, ka visā ziņojumā nav pieminēts Latvijas Valsts radio un televīzijas centrs (LVRTC), lai gan LVRTC aktīvi līdzdarbojas projektos, kas saistīti ar VIA Baltica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4.1.1. sadaļa par CEF projektiem, norādot projekta “Uninterrupted 5G Coverage Across Via Baltica Corridor - 5G-BALTICS” izpildītājus; 2) Ziņojumā nav pieminēts LVRTC, jo LVRTC nav ticis piešķirts publisks finansējums projektos, kas saistīti ar VIA Baltica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Tet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 sadaļā izteikti apgalvojumi, kas pamatoti ar infografikām (attēls Nr.3 un attēls Nr.5),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vislielākais mobilo datu patēriņš uz abonentu”,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“Mobilo datu patēriņa pieaugums ir saistāms ar faktu, ka Latvijā ir sasniegts augsts pakalpojumu digitalizācijas līmenis – gan attiecībā uz sabiedriskajiem pakalpojumiem iedzīvotājiem (88,2 %), gan uzņēmumiem (87,2 %)“.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Tet ieskatā šādi apgalvojumi un secinājumi, analizējot datus par mobilo datu patēriņa pieaugumu uz abonentu, varētu nebūt patiesi, jo nav ņemts vērā būtisks faktors, kas ietekmē mobilo datu patēriņa pieaugumu. Proti, Latvijā atšķirībā no citām Eiropas valstīm nav fiksēto mobilo tīklu (FMT), kā rezultātā mobilo sakaru operatori piedāvā platjoslas pakalpojumus kā aizstājēju fiksētai platjoslai.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ievērojamais mobilo datu patēriņa pieaugums uz abonentu Latvijā saistāms ne tikai ar iespējams augstu pakalpojumu digitalizācijas līmeni, bet gan arī ar FMT neesamību, ko kompensē ar platjoslas pakalpojumiem, kā rezultātā būtiski pieaug mobilo datu lietojums uz abonentu.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3. sadaļas “Nacionālā un ES politika” attēla Nr. 5. apraksts ar papildus faktoru par to, kas varētu būt ietekmējis ievērojamo mobilo datu patēriņu uz vienu abonentu.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4.1.1. apakšsadaļas "Īstenotā politika, pasākumi un darbības" iekļautās 2. tabulas "1. rīcības virziens “Savienojamības paziņojumam atbilstošas platjoslas elektronisko sakaru infrastruktūras attīstīšana” pasākumam Nr. 1.4. "Tehniskās palīdzības mehānismi, tostarp platjoslas kompetences centra darbības attīstība Latvijā, ar kuriem stiprina vietējo ieinteresēto personu spējas un konsultē projektu virzītājus" pie finansējuma avota norādīts, ka indikatīvi nepieciešams valsts budžeta finansējums 100 tūkst. EUR gadā, vienlaikus sadaļā "Informācija par izpildi" norādīts, ka pasākums nav līdz šim īstenots, jo valsts budžeta likumprojekta sagatavošanas procesā nav piešķirts finansējums. Vēršam uzmanību, ka likumprojekta “Par valsts budžetu 2026. gadam un budžeta ietvaru 2026., 2027. un 2028. gadam” sagatavošanas ietvaros valdības politiskās diskusijas par valsts budžeta likumprojektā iekļaujamiem izdevumiem ir noslēgušās un Ministru kabineta 22.09.2025. sēdē (prot. Nr.38 1.§) izskatīts un atbalstīts informatīvais ziņojums “Par valsts budžeta likumprojektā  iekļaujamiem prioritārajiem pasākumiem 2026., 2027. un 2028. gadam”, ar kuru atbalstīti jauni izdevumi un izdevumus kompensējoši pasākumi, kas tai skaitā rasti, izpildot valdības dotos uzdevumus par nepieciešamību veikt publiskā sektora efektivizācijas un vispārējās valdības izdevumu samazinājumu (MK 13.05.2025. sēdes prot. Nr.19 50. § 7.punkts). Attiecīgi ar Ministru kabineta 22.09.2025. sēdē pieņemtajiem lēmumiem nozaru ministrijām ir aprēķināts un apstiprināts maksimāli pieļaujamo valsts budžeta izdevumu apjoms 2026., 2027. un 2028. gadam. Ņemot vērā iepriekš minēto, pasākums Nr. 1.4.  ir jāīsteno Satiksmes ministrijas esošo budžeta ietvaros, līdz ar to lūdzam pārskatīt un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Nr. 1.4. atsaucē “59” iekļauta atsauce uz Ministru kabineta pieņemto lēmumu (MK 22.09.2025. sēdē (prot. Nr.38 1.§)) par maksimāli pieļaujamo valsts budžeta izdevumu apjomu 2026.–2028.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Ziņojuma 4.1.1. apakšsadaļas 2. tabulā (“1. rīcības virziens – Savienojamības paziņojumam atbilstošas platjoslas elektronisko sakaru infrastruktūras attīstīšana”) un 4.2.1. apakšsadaļas 3. tabulā (“2. rīcības virziens – Elektronisko sakaru tīklu izvēršanas atvieglošana un izmaksu samazināšana”) finansējuma kolonna ir dalīta divās atsevišķās kolonnās  – "Plānotais finansējums  (milj. EUR) un tā avots" un "Faktiskais finansējums (EUR), tā avots" , skaidri norādot, ka pasākumam Nr. 1.4. bija plānots 100 000 EUR, bet faktiskie izdevumi ir 0,00 EUR, un pasākums netiek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Sadalījums divās kolonās tiek saglabāts arī pārējiem tabulās norādītajiem pasākumiem, lai nodrošinātu vienotu un precīzu informācijas attēlojumu.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4.1.1. apakšsadaļas 2. tabulas pasākumam Nr. 1.5. plānotajam darbības rezultātam Nr. 2. "Iesniegts MK informatīvais ziņojums par risinājumiem nepieciešamā iztrūkstošā finansējuma piesaistei platjoslas attīstībai" aizpildīt aili "Plānotais finansējums  (milj. EUR) un tā avots/Faktiskais finansējums (EUR), tā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Nr.1.5. plānotajam darbības rezultātam Nr. 2. ir aizpildītas ailes  "Plānotais finansējums  (milj. EUR) un tā avots" un "Faktiskais finansējums (EUR), tā avots" , ka finansējums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Kohēzijas politikas programmas 2021.-2027. gadam 1.4.1. specifiskā atbalsta mērķa “Uzlabot digitālo savienotību" (turpmāk - 1.4.1.SAM) ietvaros šobrīd tiek īstenots tikai 1.4.1.4. pasākums "Vienotā kiberdrošības infrastruktūra", citi 1.4.1.SAM pasākumi vairs nav plānoti. Savukārt Atveseļošanas un noturības mehānisma plāna ietvaros sakaru jomā tiek īstenota tikai viena 2.4.1.2.i. investīcija "Platjoslas jeb ļoti augstas veiktspējas tīklu “pēdējās jūdzes” infrastruktūras attīstība". Tādējādi, lai neradītu nekorektas interpretācijas riskus, lūdzam precizēt ziņojuma projektā iekļautās tabulas, izņemot informāciju par pasākumiem un investīcijām, kuras vairs nav plānotas, minēto informāciju iekļaujot, piemēram, ziņojuma tekstā vai izveidojot atsevišķu tabulu kolonu. Līdzīgi lūdzam pārskatīt un precizēt 2. sadaļā "Kopsavilkums" iekļauto informāciju, atsevišķi norādot pašreiz īstenošanā esošo pasākumu un investīciju un programmas, kuras vairs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 ziņojuma 4.1.1. apakšsadaļas 2. tabulā (“1. rīcības virziens – Savienojamības paziņojumam atbilstošas platjoslas elektronisko sakaru infrastruktūras attīstīšana”) finansējuma kolonna ir dalīta divās atsevišķās kolonnās  – "Plānotais finansējums  (milj. EUR) un tā avots" un "Faktiskais finansējums (EUR), tā avots", skaidri norādot, ka 2. tabulas punktā Nr.1.3.1.: "1. Darbības programmas Latvijai 2021. – 2027. gadam 1.4.1. specifiskā atbalsta mērķis "Uzlabot digitālo savienotību" (1.4.1.3. pasākums "Nākamās paaudzes tīkla izveide lauku teritorijās (vidējā jūdze)" ) (ERAF) un 2. tabulas punktā Nr.1.3.2. "2.Darbības programmas Latvijai 2021. – 2027. gadam 1.4.1. specifiskā atbalsta mērķis "Uzlabot digitālo savienotību" (1.4.1.1. pasākums "Platjoslas infrastruktūras attīstība (pēdējā jūdze)") (ERAF) nav plānots īstenot: 2) 2. sadaļā "Kopsavilkums" iekļauta informācija, atsevišķi norādot pašreiz īstenošanā esošos pasākumus un investīcijas un programmas, kā arī tās, kuras vairs netiek plānotas, atbilstoši ziņojuma 4.1.1. apakšsadaļas 2.tabulā iekļautajai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20. lpp. minētā atsauce "likumprojekta par valsts budžetu kārtējam gadam un likumprojekta par vidēja termiņa budžeta ietvaru" nav korekta, ņemot vērā, ka 2022. gada 3. 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kārtējam gadam un vidēja termiņa budžeta ietvaru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 tabulas pasākuma Nr. 1.4. "Informācija par izpildi" sadaļā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Vēršam uzmanību, ka informatīvajā ziņojumā vienlaicīgi lietotas dažādas pieraksta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"regula Nr. 651/2014" un "regulas Nr. 651/20" vai "ES lēmumā “Digitālā desmitgade 2030”". Lūdzam lietot formu: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Noformētas atsauces uz Eiropas Savienības tiesību aktiem atbilstoši Ministru kabineta 2009. gada 3. februāra noteikumiem Nr. 108 „Normatīvo aktu projektu sagatavošanas noteikumi” 4. nodaļai: norādot šādu informāciju: institūcija (Komisija, Padome, Eiropas Parlaments), kas izdevusi attiecīgo tiesību aktu; tiesību akta pieņemšanas datums; veids (regula, direktīva, lēmums); numurs un nosaukums atbilstoši tiesību akta nosaukumam latviešu valodā EUR-Lex datu bāzē; 2) Ievērotas juridiskās tehnikas prasības attiecībā uz saīsinājumiem, to piesakot pirmajā vietā informatīvā ziņojuma juridiskajā tekstā, kur lietots attiecīgais normatīvā akta nosaukums, tādā veidā izvairoties no vispārinātām atsaucēm uz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nodrošināt pilnīgus un precīzus skaidrojumus.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2. rīcības virzienu informatīvā ziņojuma 4.2.2.apakšpunktā "</w:t>
            </w:r>
            <w:r w:rsidR="00000000" w:rsidRPr="00000000" w:rsidDel="00000000">
              <w:rPr>
                <w:i w:val="1"/>
                <w:rtl w:val="0"/>
              </w:rPr>
              <w:t xml:space="preserve">Ietekme uz politikas rezultātu – secinājumi un rekomendācijas turpmākai rīcībai</w:t>
            </w:r>
            <w:r w:rsidR="00000000" w:rsidRPr="00000000" w:rsidDel="00000000">
              <w:rPr>
                <w:rtl w:val="0"/>
              </w:rPr>
              <w:t xml:space="preserve">", norādīts no Administratīvā sloga mazināšanas informatīvā ziņojuma izrietošais, nevis, piemēram, kādas jaunas turpmākās rīcības rekomendācijas, kas sagaidāms, ņemot vērā apakšpunkta formulējumu. Vēršam uzmanību, ka arī atbilstoši informatīvā ziņojuma mērķim, tam ir jānodrošina "</w:t>
            </w:r>
            <w:r w:rsidR="00000000" w:rsidRPr="00000000" w:rsidDel="00000000">
              <w:rPr>
                <w:i w:val="1"/>
                <w:rtl w:val="0"/>
              </w:rPr>
              <w:t xml:space="preserve">informāciju par Plāna īstenošanas efektivitāti un sniegt jaunus priekšlikumus un rekomendācijas turpmākai rīcībai elektronisko sakaru nozares attīstības uzlabošanai, lai sasniegtu izvirzītos mērķus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informatīvā ziņojuma 4.1.2.apakšpunktā "</w:t>
            </w:r>
            <w:r w:rsidR="00000000" w:rsidRPr="00000000" w:rsidDel="00000000">
              <w:rPr>
                <w:i w:val="1"/>
                <w:rtl w:val="0"/>
              </w:rPr>
              <w:t xml:space="preserve">Ietekme uz politikas rezultātu – secinājumi un rekomendācijas turpmākai rīcībai</w:t>
            </w:r>
            <w:r w:rsidR="00000000" w:rsidRPr="00000000" w:rsidDel="00000000">
              <w:rPr>
                <w:rtl w:val="0"/>
              </w:rPr>
              <w:t xml:space="preserve">" norādīts, ka "</w:t>
            </w:r>
            <w:r w:rsidR="00000000" w:rsidRPr="00000000" w:rsidDel="00000000">
              <w:rPr>
                <w:i w:val="1"/>
                <w:rtl w:val="0"/>
              </w:rPr>
              <w:t xml:space="preserve">[..] papildus jau noteiktajiem investīciju mērķiem un politikas prioritātēm Pamatnostādnēs, nepieciešams plānot rīcību Digitālās dekādes mērķrādītāja “Perifērijas mezgli” attīstīšanai Latvijā, kas ir izvirzīta kā jauna, savienojamības politikas joma ES</w:t>
            </w:r>
            <w:r w:rsidR="00000000" w:rsidRPr="00000000" w:rsidDel="00000000">
              <w:rPr>
                <w:rtl w:val="0"/>
              </w:rPr>
              <w:t xml:space="preserve">", bet nav skaidrots, kā to plānots realizēt, vai arī nav definēta ar to saistītā turpmākā rīcība,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skaidrojot rīcības virzienu pasākumu izpildi, lūdzam sniegt pilnīgu informāciju par to, kā plānots sasniegt izpildi un novērst konstatētās problēmas, piemēram, to, ka "</w:t>
            </w:r>
            <w:r w:rsidR="00000000" w:rsidRPr="00000000" w:rsidDel="00000000">
              <w:rPr>
                <w:i w:val="1"/>
                <w:rtl w:val="0"/>
              </w:rPr>
              <w:t xml:space="preserve">SM rīcībā nav informācijas par elektronisko sakaru komersantu plānotajām privātajām investīcijām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2. rīcības virziena informatīvā ziņojuma 4.2.2. apakšpunkts "Ietekme uz politikas rezultātu – secinājumi un rekomendācijas turpmākai rīcībai" par jaunas turpmākās rīcības rekomendācijām; 2) 4.1.2. apakšpunkts precizēts, iekļaujot norādi uz to, kā plānots īstenot rīcību saistībā ar Digitālās dekādes mērķrādītāja “Perifērijas mezgli” attīstīšanu Latvijā, kā arī sasaisti ar nākotnes politikas plānošanu; 3) Papildināta 2. tabulas pasākuma Nr.1.5. "Investīciju ieguldījumu progresa izvērtējums un risinājumi nepieciešamā finansējuma piesaistei platjoslas attīstībai " apakšsadaļa "Finansējuma avoti investīciju nepietiekamības segšanai" ar to, kā plānots sasniegt izpildi un novērst konstatētās problēmas, piemēram, to, ka "SM rīcībā nav informācijas par elektronisko sakaru komersantu plānotajām privātajām investīcijām".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jaunu pasākumu "Izvērtēt iespējas optimizēt frekvenču izmantošanu ar mērķi uzlabot mobilo sakaru pakalpojumu pieejamību" lūdzam, analoģiski esošajiem pasākumiem, definēt tā darbības rezultātus un rezultatīvos rādītājus. Tāpat iesakām ar jauno pasākumu saistītos uzdevumus atbildīgajai ministrijai uzdot Ministru kabineta protokollēmuma projektā un, nepieciešamības gadījumā, plānot grozījumus arī pašā Ministru kabineta 2021. gada 11. novembra rīkojumā Nr. 826 Par Elektronisko sakaru nozares attīstības plānu 2021.–2027. gadam un tā 2.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informatīvā ziņojuma sadaļa Nr.5 "Jauns pasākums elektronisko sakaru tīklu uzlabošanai" ar 4. tabulu par plānoto darbības rezultātu un rezultatīvo rādītāju,  plānoto izpildes termiņu par paredzēto jauno pasākumu "Izvērtēt iespējas optimizēt frekvenču izmantošanu ar mērķi uzlabot mobilo sakaru pakalpojumu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Attiecīgi papildināts Ministru kabineta protokollēmuma projekts saistībā ar jauno pasākumu.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24-TA-3242</w:t>
    </w:r>
    <w:r>
      <w:br/>
    </w:r>
    <w:r w:rsidR="00000000" w:rsidRPr="00000000" w:rsidDel="00000000">
      <w:rPr>
        <w:rtl w:val="0"/>
      </w:rPr>
      <w:t xml:space="preserve">29.12.2025. 14.01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24-TA-3242</w:t>
    </w:r>
    <w:r>
      <w:br/>
    </w:r>
    <w:r w:rsidR="00000000" w:rsidRPr="00000000" w:rsidDel="00000000">
      <w:rPr>
        <w:rtl w:val="0"/>
      </w:rPr>
      <w:t xml:space="preserve">29.12.2025. 14.01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Izziņa_24-TA-3242.docx</dc:title>
</cp:coreProperties>
</file>

<file path=docProps/custom.xml><?xml version="1.0" encoding="utf-8"?>
<Properties xmlns="http://schemas.openxmlformats.org/officeDocument/2006/custom-properties" xmlns:vt="http://schemas.openxmlformats.org/officeDocument/2006/docPropsVTypes"/>
</file>