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9.1.11.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projektā iekļauto ideju par biomasas (tai skaitā, malkas) apkures katlu uzstādīšanu daudzdzīvokļu mājās, īpaši pilsētvidē. Tas nav ilgtspējīgs un videi draudzīgs risinājums un </w:t>
            </w:r>
            <w:r w:rsidR="00000000" w:rsidRPr="00000000" w:rsidDel="00000000">
              <w:rPr>
                <w:b w:val="1"/>
                <w:rtl w:val="0"/>
              </w:rPr>
              <w:t xml:space="preserve">rada turpmākas gaisa kvalitātes problēmas</w:t>
            </w:r>
            <w:r w:rsidR="00000000" w:rsidRPr="00000000" w:rsidDel="00000000">
              <w:rPr>
                <w:rtl w:val="0"/>
              </w:rPr>
              <w:t xml:space="preserve"> un problēmas Latvijai nodrošināt gaisa kvalitātes normas, kas noteiktas ES tiesību aktos. Aicinām svītrot iespēju daudzdzīvokļu ēkām uzstādīt individuālos apkures katlus un raudzīties tādu risinājumu virzienā, kas nepiesārņos gaisu.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150 par jaunas aktivitātes (16.1.1.</w:t>
            </w:r>
            <w:r w:rsidR="00000000" w:rsidRPr="00000000" w:rsidDel="00000000">
              <w:rPr>
                <w:vertAlign w:val="superscript"/>
                <w:rtl w:val="0"/>
              </w:rPr>
              <w:t xml:space="preserve">1</w:t>
            </w:r>
            <w:r w:rsidR="00000000" w:rsidRPr="00000000" w:rsidDel="00000000">
              <w:rPr>
                <w:rtl w:val="0"/>
              </w:rPr>
              <w:t xml:space="preserve"> apakšpunkts) iekļaušanu attiecībā uz atbalsta sniegšanu biomasas (malkas, brikešu un kombinētu resursu izmantošanu) katlu un kamīnu iegādei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Papildināt ar 16.1.1.</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šādas prasības noteikšanu, ņemot vērā, ka malkas un biomasas kurināšana mājsaimniecībās ir nozīmīgs gaisa piesārņojuma avots un, mūsuprāt, šādu iekārtu uzstādīšana blīvi apdzīvotās teritorijās un teritorijās, kur jau šobrīd pastāv vai ir iespējamas gaisa kvalitātes problēmas </w:t>
            </w:r>
            <w:r w:rsidR="00000000" w:rsidRPr="00000000" w:rsidDel="00000000">
              <w:rPr>
                <w:b w:val="1"/>
                <w:rtl w:val="0"/>
              </w:rPr>
              <w:t xml:space="preserve">nav pieļaujama</w:t>
            </w:r>
            <w:r w:rsidR="00000000" w:rsidRPr="00000000" w:rsidDel="00000000">
              <w:rPr>
                <w:rtl w:val="0"/>
              </w:rPr>
              <w:t xml:space="preserve"> un nerespektē Latvijas normatīvajos aktos noteiktās prasības par atbilstošas gaisa kvalitātes nodrošināšanu un sabiedrības veselības aizsardzību. Turklāt tas ilgtermiņā rada risku ar ES noteikto gaisa kvalitātes jomas mērķu un prasību izpildi un valstij draudošām sankcijām par to neizpildi. Vienlaikus norādām, ka daļa ES pilsētu un valstu virzās prom no malkas kamīnu un apkures katlu uzstādīšanas pilsētās, lai neradītu papildus gaisa piesārņojumu un izpildītu Zaļajā kursā noteiktos mērķus attiecībā uz piesārņojuma samazināšanu. Šajā gadījumā nav izprotams, kādēļ Latvija rīkojas pretēji Zaļajā kursā un Nulles piesārņojuma rīcības plānā nospraustajiem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w:t>
            </w:r>
            <w:r w:rsidR="00000000" w:rsidRPr="00000000" w:rsidDel="00000000">
              <w:rPr>
                <w:b w:val="1"/>
                <w:rtl w:val="0"/>
              </w:rPr>
              <w:t xml:space="preserve">svaigs gaiss ir svarīgs cilvēku veselībai un vides ilgtspējībai</w:t>
            </w:r>
            <w:r w:rsidR="00000000" w:rsidRPr="00000000" w:rsidDel="00000000">
              <w:rPr>
                <w:rtl w:val="0"/>
              </w:rPr>
              <w:t xml:space="preserve">. Gaisa piesārņojams (jo īpaši, smalkās daļiņas, ko rada biomasas dedzināšana) joprojām ir saistāms ar priekšlaicīgas nāves gadījumiem un ievērojamu skaitu slimību, piemēram, astma, sirds un asinsvadu problēmas un plaušu vēzis. Gaisa piesārņojums nemainīgi ir galvenais ar vidi saistītais cēlonis, kas izraisa pāragru nāvi ES. Turklāt gaisa piesārņojums apdraud vidi, veicinot (augsnes un ūdens) paskābināšanos, eitrofikāciju un ozona noārdīšanos, kas rada kaitējumu mežiem, ekosistēmām un kultūraugiem.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150 par jaunas aktivitātes (16.1.1.1 apakšpunkts) iekļaušanu attiecībā uz atbalsta sniegšanu biomasas (malkas, brikešu un kombinētu resursu izmantošanu) katlu un kamīnu iegādei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atbalsta programmas ietvaros pastāv iespēja uzstādīt nelielu saules kolektoru un uzlikt pamatapkurei malkas apkures katlu?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 jā, tad aicinām anotācijā minēto informāciju "MK noteikumu projekta apstiprināšanas gadījumā tiks nodrošināta tādu projektu īstenošana, kas veicina AER iekārtu izmantošanu un pieslēgšanos centralizētajai siltumapgādes sistēmai, tādējādi nepasliktinot gaisa kvalitāti, it īpaši pilsētās, un negatīvi neietekmējot sabiedrības veselību gadījumos, ja netiek izvēlēta biomasas apkures katlu un kamīnu uzstādīšana." izslēgt, jo tā ir maldinoša.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Nr.150 ir spēkā kopš 2022.gada 9.marta un tā ietvaros (uz 16.05.2023.) ir sniegts atbalsts 96 mājsaimniecībām (1,5% no kopējā īstenoto projektu skaita), kurās ir iegādātas un uzstādītas biomasas iekārtas. Noteikumu projekts neparedz izmaiņas nosacījumos attiecībā uz iekārtu uzstādīto jaudu vai pieslēgšanos centralizētajai siltumapgādes sistēmai. Projekta īstenotājs pats izvēlas tehniskos risinājumus savas mājsaimniecības siltumapgādes un/vai elektroapgādes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atbalsta nelielu (līdz 50 kW) biomasas iekārtu uzstādīšana, kas nozīmē, ka jo īpaši daudzdzīvoklu mājās tiek veicināta alternatīvo bezemisiju apkures iekārtu uzstādīšana un izmantošana vai pieslēgšanās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paredzētās izmaiņas normās, kas skar de minimis atbalsta sniegšanu un attiecīgi Komisijas 2013. gada 18. decembra Regulas (ES) Nr. 1407/2013 par Līguma par Eiropas Savienības darbību 107. un 108. panta piemērošanu de minimis atbalstam piemērošanas jautājumus, lūdzam anotācijā skaidrot, vai paredzētās izmaiņas atbilst minētās regulas prasībām. Līdzīgi lūdzam skaidrot arī noteikumu 18. punktā paredzēto izmaiņu (iekārtu papildinājumu) atbilstību Eiropas Savienības prasībām, kā arī 18.3. apakšpunktā minētās regulas piemērojamību 18. punktā minētajām iekārtām. Papildus norādām, ka, ja noteikumu projektā ir ieviestas kādas Eiropas Savienības regulu prasības (sk., piemēram, noteikumu projekta 29. punktā (noteikumu 18.3. apakšpunktā) ievietoto atsauci), nepieciešams aizpildīt anotācijas 5. sadaļu, tostarp 1. tabulu. Attiecīgi lūdzam izvērtēt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8.1.6. sadaļā minēto informāciju par biomasas iekārtu (malkas, brikešu) iegādi vienlaikus ar citu atjaunojamo energoresursu iekārtu iegādi ievietot arī anotācijas 1.3. sadaļā, skaidrojot noteikumu projekta regulējumu. Papildus lūdzam izvērstāk skaidrot minēto normu (noteikumu projekta 19. punktā paredzētā 16.1.1.</w:t>
            </w:r>
            <w:r w:rsidR="00000000" w:rsidRPr="00000000" w:rsidDel="00000000">
              <w:rPr>
                <w:vertAlign w:val="superscript"/>
                <w:rtl w:val="0"/>
              </w:rPr>
              <w:t xml:space="preserve">1</w:t>
            </w:r>
            <w:r w:rsidR="00000000" w:rsidRPr="00000000" w:rsidDel="00000000">
              <w:rPr>
                <w:rtl w:val="0"/>
              </w:rPr>
              <w:t xml:space="preserve"> apakšpunkta 2. teikumu), īpaši skaidrojot to, kāpēc aktivitāte atbalstāma tikai tad, ja iekārtu iegāde tiek veikta kopā ar kādu no šo noteikumu 16.1.2. vai 16.1.3. apakšpunktā minētajām iekārtām, bet ne, piemēram, gadījumā, kad kāda no 16.1.2. vai 16.1.3. apakšpunktā minētajām iekārtām jau ir iepriekš iegādāta ne projekta ietvaros vai pat iepriekš projekta ietvaros. Attiecīgi lūdzam sniegt skaidrojumu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noteikumu regulējums paredz, ka konkursa ietvaros atbalstu nevarēja saņemt, ja dzīvojamā mājā tiek veikta saimnieciskā darbība, izņemot konkrētus gadījumus. Lūdzam izvērstāk anotācijas 1.3. sadaļā skaidrot, kādēļ projektā paredzēts svītrot attiecīgo regulējumu, vairs neparedzot tādu ierobežojumu atbalsta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 kopumā. Grozījumu veikšana MK noteikumos palielinās atbalsta saņēmēju - iedzīvotāju - loku, kas ir būtiski ņemot vērā esošo ģeopolitisko situāciju un enerģijas cenas.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pēdējo teikumu, jo nevaram garantēt, ka pēc noteikumu spēkā stāšanās visi projekta iesniedzēji nevēlēsies uzstādīt malkas katlus. Tādējādi radot turpmākas problēmas uzņēmumiem, transporta sektoram un citiem gaisa piesārņotājiem, kas būs šī lēmuma rezultātā spiesti piemērot stingrākas prasības, lai samazinātu kopējo piesārņojumu. Aicinām arī šo aspektu pieminēt pie šāda lēmuma radītajām sekām un potenciālajām izmaksām uzņēmējiem. Vienlaikus lūdzam minēt, ka paaugstināts gaisa piesārņojums kopumā rada valstij un uzņēmējiem izmaksas, kas saistītas ar cilvēku biežāku ārstu apmeklējumu, slogu uz veselības aprūpes sistēmu, kā arī darba nepameklēšana veselības problēmu dēļ, darba spēju zaudējums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rēķinot kopējās izmaksas, ko šāds lēmums radīs nav korekti apgalvot, ka biomasas izmantošana ilgtermiņā ir lētākais risinājums.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1.6.sadaļas pēdējais teikums ir esošās situācijas - fakta - konstatācija. MK noteikumi Nr.150 ir spēkā kopš 2022.gada 9.marta un tā ietvaros (uz 16.05.2023.) ir sniegts atbalsts tikai 96 mājsaimniecībām (1,5% no kopējā īstenoto projektu skaita), kurās ir iegādātas un uzstādītas biomasas iekārtas. Līdz ar to nav indikāciju, ka stājoties spēkā minētajiem grozījumiem situācija būtiski mainītos, kā arī kāda būtu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projekta iespējamo ietekmi uz vidi, tostarp gaisa kvalitāti, kā arī iedzīvotāju veselību, lūdzam anotācijā skaidrot, kādēļ tomēr projektā paredzētais risinājums atzīts par nepieciešamu, kā arī detalizētāk skaidrot minētās iespējamās problēmas ar Eiropas Savienības tiesību aktu izpildi un iespējamo rīcību problēmu rašanās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2.1. sadaļā ietverto informāciju un pilnveidot ietekmes aprakstu, ņemot vērā noteikumu projektā paredzēto regulējumu. Piemēram: 1) formulējums "dzīvojamo māju un dzīvokļu īpašnieki", šķiet, nav pilnīgs, ņemot vērā noteikumu projektā paredzēto regulējumu arī attiecībā uz daudzdzīvokļu mājām; 2) biedrības un reliģiskās organizācijas arī ir juridiskas personas, attiecīgi lūdzam precizēt ietekmes aprakstu attiecībā uz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3.sadaļas 6.punktā norādīto valsts budžeta ieņēmumu 2023.gadam apmēru  - 19 500 000 euro, vienlaikus izvērtējot norādīt pieejamo finansējumu KEM valsts pamatbudžeta apakšprogrammā 33.02.00 “Emisijas kvotu izsolīšanas instrumenta projekti” saskaņā ar likumprojekta "Par valsts budžetu 2023. gadam un budžeta ietvaru 2023., 2024. un 2025. gadam"  ietvarā plānoto finansējumu un attiecīgi precizēt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 sadaļā ietverta norāde, ka sabiedrības līdzdalība uz tiesību akta projektu neattiecas, lūdzam iekļaut atbilstošu skaidrojumu. Papildus lūdzam norādīt projekta izstrādē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precizēta un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daudzdzīvokļu māja vai dzīvojamā māja ir pieņemta ekspluatācijā līdz projekta iesnieguma iesniegšanas dienai Vides investīciju fondā, un to apliecina ieraksts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9.2. apakšpunkta redakcija paredz, ka konkursa ietvaros atbalstu piešķir, ja citstarp daudzdzīvokļu māja vai dzīvojamā māja ir nodota ekspluatācijā līdz projekta iesnieguma iesniegšanas dienai Vides investīciju fondā, un to apliecina ieraksts zemesgrāmatā. Noteikumu projekts paredz izmaiņas normā, norādot nevis uz mājas </w:t>
            </w:r>
            <w:r w:rsidR="00000000" w:rsidRPr="00000000" w:rsidDel="00000000">
              <w:rPr>
                <w:u w:val="single"/>
                <w:rtl w:val="0"/>
              </w:rPr>
              <w:t xml:space="preserve">nodošanu</w:t>
            </w:r>
            <w:r w:rsidR="00000000" w:rsidRPr="00000000" w:rsidDel="00000000">
              <w:rPr>
                <w:rtl w:val="0"/>
              </w:rPr>
              <w:t xml:space="preserve"> ekspluatācijā, bet gan </w:t>
            </w:r>
            <w:r w:rsidR="00000000" w:rsidRPr="00000000" w:rsidDel="00000000">
              <w:rPr>
                <w:u w:val="single"/>
                <w:rtl w:val="0"/>
              </w:rPr>
              <w:t xml:space="preserve">pieņemšanu</w:t>
            </w:r>
            <w:r w:rsidR="00000000" w:rsidRPr="00000000" w:rsidDel="00000000">
              <w:rPr>
                <w:rtl w:val="0"/>
              </w:rPr>
              <w:t xml:space="preserve"> ekspluatācijā, to paredzot kā nosacījumu arī citās projektā paredzētajās normās (piemēram, 10. un 11. punktā). Lūdzam anotācijā izvērstāk pamatot minētās izmaiņas, to nepieciešamību un samērīgumu attiecībā uz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tekstā tiek lietots termins "pieņemta ekspluatācijā". Sniegts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daudzdzīvokļu māja vai dzīvojamā māja ir pieņemta ekspluatācijā līdz projekta iesnieguma iesniegšanas dienai Vides investīciju fondā, un to apliecina ieraksts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daudzdzīvokļu māja vai dzīvojamā māja, kurā ir īstenota viena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 nav pieņemta ekspluatācijā līdz projekta iesnieguma iesniegšanas dienai Vides investīciju fondā, ar nosacījumu, ka piecu gadu laikā pēc projekta līguma noslēgšanas ir jānodrošina tās pieņemšana ekspluatācijā, ko apliecina ieraksts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anotācijā izvērstāk skaidrot termina “jānodrošina nodošana ekspluatācijā” maiņu uz terminu “jānodrošina pieņemšana ekspluatācijā” tieši kontekstā ar noteikumu 9.2.</w:t>
            </w:r>
            <w:r w:rsidR="00000000" w:rsidRPr="00000000" w:rsidDel="00000000">
              <w:rPr>
                <w:vertAlign w:val="superscript"/>
                <w:rtl w:val="0"/>
              </w:rPr>
              <w:t xml:space="preserve">1</w:t>
            </w:r>
            <w:r w:rsidR="00000000" w:rsidRPr="00000000" w:rsidDel="00000000">
              <w:rPr>
                <w:rtl w:val="0"/>
              </w:rPr>
              <w:t xml:space="preserve"> apakšpunktu un 52.7. apakšpunktu, kas paredz nosacījumu piecu gadu laikā pēc projekta līguma noslēgšanas nodrošināt mājas </w:t>
            </w:r>
            <w:r w:rsidR="00000000" w:rsidRPr="00000000" w:rsidDel="00000000">
              <w:rPr>
                <w:u w:val="single"/>
                <w:rtl w:val="0"/>
              </w:rPr>
              <w:t xml:space="preserve">pieņemšanu</w:t>
            </w:r>
            <w:r w:rsidR="00000000" w:rsidRPr="00000000" w:rsidDel="00000000">
              <w:rPr>
                <w:rtl w:val="0"/>
              </w:rPr>
              <w:t xml:space="preserve"> ekspluatācijā, ja māja nav pieņemta ekspluatācijā līdz projekta iesnieguma iesniegšanas dienai Vides investīciju fondā. Anotācijā norādīts, ka projekts precizē terminus, tomēr paužam bažas, ka ēkas pieņemšana ekspluatācijā un nodošana ekspluatācijā, šķiet, normatīvajos aktos lietoti kā dažādi termini ar atšķirīgu saturu (sk., piemēram, Ministru kabineta 2014.gada 19.augusta noteikumos Nr.500 "Vispārīgie būvnoteikumi" 80.2. apakšpunktu, 87. un 88. punktu). Attiecīgi lūdzam izvērtēt un anotācijā izvērstāk skaidrot piecu gadu termiņa sasaisti tieši ar mājas pieņemšanu ekspluatācijā, nevis tās nodošanu ekspluatācijā (kā paredz pašreiz spēkā esošā noteikumu 9.2.1 apakšpunkta redakcija), ko persona, šķiet, var ietekmēt daudz tiešāk atšķirībā no pieņemšanas ekspluatācijā. Attiecīgi lūdzam sniegt skaidrojumu.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 MK noteikumos lietoto terminu “nodota ekspluatācijā” vai “nav nodota ekspluatācijā” uz terminu “pieņemta ekspluatācijā” vai “jānodrošina pieņemšana ekspluatācijā”. Tiek precizēts MK noteikumu 9.2. un 9.2.1 apakšpunkts, kas paredz, ka konkursa ietvaros plānotās aktivitātes drīkst īstenot ekspluatācijā nepieņemtā mājā (daudzdzīvokļu mājā vai dzīvojamā mājā), paredzot, ka piecu gadu laikā pēc projekta līguma noslēgšanas tiek nodrošināta ēkas pieņemšana ekspluatācijā, ko apliecina ieraksts zemesgrāmatā. MK noteikumu projekts precizē lietotos terminus, jo, lai ēku pieņemtu ekspluatācijā ir nepieciešams saņemt aktu par ēkas pieņemšanu ekspluatācijā. Pēc šāda akta saņemšanas, būvi (daudzdzīvokļu māju vai dzīvojamo māju) ir atļauts ekspluatēt un ekspluatācijā pieņemto māju var ierakstīt zemesgrāmatā. Līdz ar to šo ierakstu zemesgrāmatā Vides investīciju fonds pārbaudīs, lai konstatētu faktu, ka daudzdzīvokļu māja vai dzīvojamā māja ir pieņemta ekspluatācijā un to, ka ir izpildītas MK noteikumos Nr. 150 noteiktās prasības (piemēram 52. punkts), atbalsta saņemšanai. Minētais nosacījums ir būtisks tiem projektu iesniedzējiem, kuri ir uzsākoši mājas nodošanas ekspluatācijā procesu, bet tās pieņemšana ekspluatācijā ir plānota tuvāko gadu laikā. Tādejādi šāda pieeja ļaus projektu iesniedzējiem pretendēt uz finansējuma saņemšanu atjaunojamo energoresursu iekārtu iegādei vai pieslēguma centralizētai siltumapagādes sistēmai projektēšanai un izbūvei.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daudzdzīvokļu māja vai dzīvojamā māja, kurā ir īstenota viena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 nav pieņemta ekspluatācijā līdz projekta iesnieguma iesniegšanas dienai Vides investīciju fondā, ar nosacījumu, ka piecu gadu laikā pēc projekta līguma noslēgšanas ir jānodrošina tās pieņemšana ekspluatācijā, ko apliecina ieraksts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2</w:t>
            </w:r>
            <w:r w:rsidR="00000000" w:rsidRPr="00000000" w:rsidDel="00000000">
              <w:rPr>
                <w:rtl w:val="0"/>
              </w:rPr>
              <w:t xml:space="preserve"> daudzdzīvokļu māja vai dzīvojamā māja, kurā ir īstenota viena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 ir zemesgrāmatā reģistrēta kā jaunbūve, ar nosacījumu, ka piecu gadu laikā pēc projekta līguma noslēgšanas ir jānodrošina tās pieņemšana ekspluatācijā, ko apliecina ieraksts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projekta 11. punktā (9.2.</w:t>
            </w:r>
            <w:r w:rsidR="00000000" w:rsidRPr="00000000" w:rsidDel="00000000">
              <w:rPr>
                <w:vertAlign w:val="superscript"/>
                <w:rtl w:val="0"/>
              </w:rPr>
              <w:t xml:space="preserve">2</w:t>
            </w:r>
            <w:r w:rsidR="00000000" w:rsidRPr="00000000" w:rsidDel="00000000">
              <w:rPr>
                <w:rtl w:val="0"/>
              </w:rPr>
              <w:t xml:space="preserve"> apakšpunktā) korekti lietoti vārdi "ir īstenota", tādējādi norādot uz jau pabeigtu aktivitāti, kaut arī norma attiecas uz jaunbūvi. Nepieciešamības gadījumā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konkrētu brīdi, kurā nosacījums vērtējams (piemēram, projekta iesnieguma iesniegšanas dienā; salīdzinājumam 9.2.</w:t>
            </w:r>
            <w:r w:rsidR="00000000" w:rsidRPr="00000000" w:rsidDel="00000000">
              <w:rPr>
                <w:vertAlign w:val="superscript"/>
                <w:rtl w:val="0"/>
              </w:rPr>
              <w:t xml:space="preserve">1</w:t>
            </w:r>
            <w:r w:rsidR="00000000" w:rsidRPr="00000000" w:rsidDel="00000000">
              <w:rPr>
                <w:rtl w:val="0"/>
              </w:rPr>
              <w:t xml:space="preserve"> apakšpunktā norādīts "līdz projekta iesnieguma iesniegšanas dienai Vides investīciju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piecu gadu termiņš (tāds pats, kā noteikumu 9.2.</w:t>
            </w:r>
            <w:r w:rsidR="00000000" w:rsidRPr="00000000" w:rsidDel="00000000">
              <w:rPr>
                <w:vertAlign w:val="superscript"/>
                <w:rtl w:val="0"/>
              </w:rPr>
              <w:t xml:space="preserve">1</w:t>
            </w:r>
            <w:r w:rsidR="00000000" w:rsidRPr="00000000" w:rsidDel="00000000">
              <w:rPr>
                <w:rtl w:val="0"/>
              </w:rPr>
              <w:t xml:space="preserve"> apakšpunktā) jaunbūvei ir samērīgs un vai nav nepieciešams noteikt ilgāku termiņu. Nepieciešamības gadījumā lūdzam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konkursa būtība ir sniegt atbalstu iedzīvotājiem pēc konkursa nolikumā noteikto atbalstāmo aktivitāšu īstenošanas, proti, sākotnēji iedzīvotājs (projekta iesniedzējs) iegādājas un uzstāda enerģiju ražojošas iekārtas atbilstoši konkursa nolikumā noteiktajām atbalstāmajām aktivitātēm un tad aizpilda projekta iesnieguma veidlapu un tam pievieno papildu nepieciešamos dokumentus un tos iesniedz SIA "Vides investīciju fonds" vērtēšanai un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piecu gadu periods ir projekta pēcuzraudzības vai monitoringa periods, kad atbalsta saņēmēji iesniedz monitoringa pārskatus Vides investīciju fondam pārbaudei. Līdz ar to monitoringa perioda ietvaros atbalsta saņēmējam ir jānodrošina dzīvojamās mājas vai daudzdzīvokļu mājas pieņemšana ekspluatācijā, ko apliecina ieraksts zemesgrāmatā un ko būs nepieciešams iesniegt SIA "Vides investīciju fonds", lai nodrošinātu šīs prasības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iekārtu uzstāda dzīvojamā mājā vai daudzdzīvokļu mājā dzīvojošo iedzīvotāju vajadzībām uz dzīvojamai mājai vai daudzdzīvokļu mājai blakus pieguļošā nekustamā īpašumā ne tālāk kā 100 m no dzīvojamās mājas vai daudzdzīvokļu mājas, nekustamajam īpašumam ir jābūt projekta iesniedzēja īpašumā vai kopīpašumā, ko apliecina ieraksts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precizētajā noteikumu 9.3.</w:t>
            </w:r>
            <w:r w:rsidR="00000000" w:rsidRPr="00000000" w:rsidDel="00000000">
              <w:rPr>
                <w:vertAlign w:val="superscript"/>
                <w:rtl w:val="0"/>
              </w:rPr>
              <w:t xml:space="preserve">2</w:t>
            </w:r>
            <w:r w:rsidR="00000000" w:rsidRPr="00000000" w:rsidDel="00000000">
              <w:rPr>
                <w:rtl w:val="0"/>
              </w:rPr>
              <w:t xml:space="preserve"> apakšpunktā paredzēti tieši 100 metri kā robeža. Turklāt vēršam uzmanību, ka anotācijas skaidrojums neatbilst normas redakcijai, jo anotācijā norādīts: "</w:t>
            </w:r>
            <w:r w:rsidR="00000000" w:rsidRPr="00000000" w:rsidDel="00000000">
              <w:rPr>
                <w:i w:val="1"/>
                <w:rtl w:val="0"/>
              </w:rPr>
              <w:t xml:space="preserve">[..] projekta iesniedzējs ir iegādājies un uzstādījis AER iekārtas vai izveidojis pieslēgumu centralizētajai siltumapgādes sistēmai dzīvojamā mājā vai daudzdzīvokļu mājā, </w:t>
            </w:r>
            <w:r w:rsidR="00000000" w:rsidRPr="00000000" w:rsidDel="00000000">
              <w:rPr>
                <w:i w:val="1"/>
                <w:u w:val="single"/>
                <w:rtl w:val="0"/>
              </w:rPr>
              <w:t xml:space="preserve">uz zemes</w:t>
            </w:r>
            <w:r w:rsidR="00000000" w:rsidRPr="00000000" w:rsidDel="00000000">
              <w:rPr>
                <w:i w:val="1"/>
                <w:rtl w:val="0"/>
              </w:rPr>
              <w:t xml:space="preserve">, kas saistīta ar dzīvojamo māju vai daudzdzīvokļu māju, ne tālāk kā 100 metrus no dzīvojamās mājas vai daudzdzīvokļu mājas</w:t>
            </w:r>
            <w:r w:rsidR="00000000" w:rsidRPr="00000000" w:rsidDel="00000000">
              <w:rPr>
                <w:rtl w:val="0"/>
              </w:rPr>
              <w:t xml:space="preserve">." Nepieciešamības gadījumā lūdzam precizēt arī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raksturlielums no MK noteikumu projekta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iekārtu uzstāda dzīvojamā mājā vai daudzdzīvokļu mājā dzīvojošo iedzīvotāju vajadzībām uz dzīvojamai mājai vai daudzdzīvokļu mājai blakus pieguļošā nekustamā īpašumā, nekustamajam īpašumam ir jābūt projekta iesniedzēja īpašumā vai kopīpašumā, ko apliecina ieraksts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gadā saražotās elektroenerģijas, kas saražota 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iekārtām, tiek izmantota dzīvojamās mājas vai daudzdzīvokļu mājas dzīvojošo iedzīvotāju pašpatēriņa vajadzībām,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pēc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iekārtu uzstādīšanas neizmanto neto uzskaites vai neto norēķinu sistēmu atbilstoši Elektroenerģijas tirgus likumā noteiktajam un par nodoto elektroenerģiju saņem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šo noteikumu "9.4. apakšpunktā veikti precizējumi, ņemot vērā to, ka Ekonomikas ministrija ir veikusi grozījumus “Elektroenerģijas tirgus likumā" (30.</w:t>
            </w:r>
            <w:r w:rsidR="00000000" w:rsidRPr="00000000" w:rsidDel="00000000">
              <w:rPr>
                <w:vertAlign w:val="superscript"/>
                <w:rtl w:val="0"/>
              </w:rPr>
              <w:t xml:space="preserve">5 </w:t>
            </w:r>
            <w:r w:rsidR="00000000" w:rsidRPr="00000000" w:rsidDel="00000000">
              <w:rPr>
                <w:rtl w:val="0"/>
              </w:rPr>
              <w:t xml:space="preserve">pants), kas paredz divu elektroenerģijas norēķinu sistēmu izveidi: “Neto norēķinu sistēma” un “Neto uzskaites sistēma”. Līdz ar to tikai mājsaimniecībai pie neto uzskaites sistēmas vai neto norēķinu sistēmas izmantošanas nosacījums par vismaz 80% no gadā saražotās elektroenerģijas izmantošanu pašpatēriņam, ir izpildīts." Vēršam uzmanību, ka nosacījumu par vismaz 80% no gadā saražotās elektroenerģijas izmantošanu pašpatēriņam, var uzskatīt kā izpildītu tikai, ja mājsaimniecība izmanto neto uzskaites sistēmu, nevis arī neto norēķinu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noteikumu 9.4. punktu, svītrojot vārdus "vai neto norēķinu". Papildus attiecīgi lūdzam precizēt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informāciju anotācijā, jo Elektroenerģijas tirgus likuma 30</w:t>
            </w:r>
            <w:r w:rsidR="00000000" w:rsidRPr="00000000" w:rsidDel="00000000">
              <w:rPr>
                <w:vertAlign w:val="superscript"/>
                <w:rtl w:val="0"/>
              </w:rPr>
              <w:t xml:space="preserve">.5</w:t>
            </w:r>
            <w:r w:rsidR="00000000" w:rsidRPr="00000000" w:rsidDel="00000000">
              <w:rPr>
                <w:rtl w:val="0"/>
              </w:rPr>
              <w:t xml:space="preserve"> pantā ir paredzēti tikai elektroenerģijas neto norēķinu sistēmas nosacījumi, savukārt, elektroenerģijas neto uzskaites sistēmas nosacījumi iekļauti 30.</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9.4.apakšpunkts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gadā saražotās elektroenerģijas, kas saražota 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iekārtām, tiek izmantota dzīvojamās mājas vai daudzdzīvokļu mājas dzīvojošo iedzīvotāju pašpatēriņa vajadzībām,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pēc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iekārtu uzstādīšanas neizmanto neto uzskaites sistēmu atbilstoši Elektroenerģijas tirgus likumā noteiktajam un par nodoto elektroenerģiju saņem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gadā saražotās elektroenerģijas, kas saražota 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iekārtām, tiek izmantota dzīvojamās mājas vai daudzdzīvokļu mājas dzīvojošo iedzīvotāju pašpatēriņa vajadzībām,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pēc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iekārtu uzstādīšanas neizmanto neto uzskaites sistēmu atbilstoši Elektroenerģijas tirgus likumā noteiktajam un par nodoto elektroenerģiju saņem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palīgteikums "kas saražota ar 16.2. apakšpunktā minētajām iekārtām" projekta 15. punktā (noteikumu 9.4. apakšpunktā) ir korekts (salīdzinājumam lūdzam sk., piemēram, noteikumu 52.2. apakšpunkta redakciju (projekta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vai noteikumu 52.2. apakšpunkts nedublē 9.4. apakšpunktā paredzēto normu. Attiecīgi lūdzam precizēt vai sniegt skaidrojumu par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nosacījums pēc būtības nav projekta izpildes nosacījums, nevis atbalsta piešķiršanas nosacījums, kuru var novērtēt uz atbalsta piešķiršanas brīdi.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9.4. apakšpunktā iekļautā prasība ir izpildāma plānojot elektroenerģiju ražojošu iekārtu jaudu, lai varētu izpildīt noteiktās prasības, respektīvi, projektu iesniedzējam ir jāveic novērtējums starp šobrīd esošo elektroenerģijas patēriņu mājsaimniecībā un plānoto ar elektroenerģiju ražojošo iekārtu saražoto elektroenerģijas apjomu. Līdz ar to šis nosacījums ir izpildāms plānojot dalību konkursa ietvaros, lai projekta iesniedzējs varētu pretendēt uz atbalsta saņemšanu. Attiecīgi projekta pēcuzraudzības vai monitoringa ietvaros projektu iesniedzēji katru gadu Vides investīciju fondam iesniedz monitoringa pārskatu, kurā norāda saražotās elektroenerģijas apjomu ar konkursa ietvaros atbalstāmajām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gadā saražotās elektroenerģijas, kas saražota 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iekārtām, tiek izmantota dzīvojamās mājas vai daudzdzīvokļu mājas dzīvojošo iedzīvotāju pašpatēriņa vajadzībām,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pēc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iekārtu uzstādīšanas neizmanto neto uzskaites sistēmu atbilstoši Elektroenerģijas tirgus likumā noteiktajam un par nodoto elektroenerģiju saņem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gadā saražotās elektroenerģijas, kas saražota 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iekārtām, tiek izmantota dzīvojamās mājas vai daudzdzīvokļu mājas dzīvojošo iedzīvotāju pašpatēriņa vajadzībām,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pēc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iekārtu uzstādīšanas neizmanto neto uzskaites sistēmu atbilstoši Elektroenerģijas tirgus likumā noteiktajam un par nodoto elektroenerģiju saņem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punktā ietvertais nosacījums attiecināms tikai uz subjektiem, kas neveic saimniecisko darbību, lūdzam pēc analoģijas ar šo noteikumu 52.2.punktu, šo noteikumu 9.4.punktu papildināt,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gadā saražotās elektroenerģijas, kas saražota ar 16.2. apakšpunktā minētajām iekārtām, tiek izmantota dzīvojamās mājas vai daudzdzīvokļu mājas dzīvojošo iedzīvotāju pašpatēriņa vajadzībām, </w:t>
            </w:r>
            <w:r w:rsidR="00000000" w:rsidRPr="00000000" w:rsidDel="00000000">
              <w:rPr>
                <w:b w:val="1"/>
                <w:rtl w:val="0"/>
              </w:rPr>
              <w:t xml:space="preserve">izņemot gadījumu, ja projekta iesniedzējs atbilst šo noteikumu 16.</w:t>
            </w:r>
            <w:r w:rsidR="00000000" w:rsidRPr="00000000" w:rsidDel="00000000">
              <w:rPr>
                <w:b w:val="1"/>
                <w:vertAlign w:val="superscript"/>
                <w:rtl w:val="0"/>
              </w:rPr>
              <w:t xml:space="preserve">2</w:t>
            </w:r>
            <w:r w:rsidR="00000000" w:rsidRPr="00000000" w:rsidDel="00000000">
              <w:rPr>
                <w:b w:val="1"/>
                <w:rtl w:val="0"/>
              </w:rPr>
              <w:t xml:space="preserve"> punkta nosacījumiem, un</w:t>
            </w:r>
            <w:r w:rsidR="00000000" w:rsidRPr="00000000" w:rsidDel="00000000">
              <w:rPr>
                <w:rtl w:val="0"/>
              </w:rPr>
              <w:t xml:space="preserve"> ja šo noteikumu 8. punktā minētais projekta iesniedzējs pēc šo noteikumu 16.2. apakšpunktā minēto iekārtu uzstādīšanas neizmanto neto uzskaites sistēmu atbilstoši Elektroenerģijas tirgus likumā noteiktajam un par nodoto elektroenerģiju saņem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15.punkts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gadā saražotās elektroenerģijas, kas saražota 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iekārtām, tiek izmantota dzīvojamās mājas vai daudzdzīvokļu mājas dzīvojošo iedzīvotāju pašpatēriņa vajadzībām,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pēc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iekārtu uzstādīšanas neizmanto neto uzskaites sistēmu atbilstoši Elektroenerģijas tirgus likumā noteiktajam un par nodoto elektroenerģiju saņem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Konkursa ietvaros projekta iesniedzējs var iesniegt ne vairāk kā vienu projekta iesniegumu par katru no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minētajiem atjaunojamo energoresursu iekārtu veidiem vai pieslēguma centralizētajai siltumapgādes sistēmai projektēšanu un siltummezgla izveidi par juridiskās vai fiziskās personas īpašumā vai kopīpašumā esošu vienu daudzdzīvokļu māju vai dzīvojamo māju.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16. punkta (noteikumu 10. punkta) piemērošanu kontekstā ar noteikumu 16.3.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16. punkts precizēts un papildināta anotācija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Konkursa ietvaros projekta iesniedzējs par katru no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atbalstāmajām aktivitātēm var iesniegt ne vairāk kā vienu projekta iesniegumu par juridiskās vai fiziskās personas īpašumā vai kopīpašumā esošu vienu daudzdzīvokļu māju vai dzīvojamo māju.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projekta iesniedzējs ir iegādājies un uzstādījis siltumenerģijas vai elektroenerģijas ražošanas iekārtas vai projektējis pieslēgumu centralizētajai  siltumapgādes sistēmai un izveidojis siltummezglu: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noteikumu projekta 17. punktu (noteikumu papildinājumu ar 11.5. apakšpunktu), izklāstot tajā paredzētos gadījumus un to nepieciešamību. Īpaši lūdzam skaidrot 11.5.2. apakšpunktu un tā piemērošanu ("zeme, kas saistīta"), 11.5.4. apakšpunktā paredzēto normu, kā arī abu minēto normu piemērošanu kontekstā ar citām noteikumu normām (piemēram, 52.1.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vai regulējums vismaz daļēji nedublē jau citas noteikumos paredzētās normas (sk., piemēram, 19.</w:t>
            </w:r>
            <w:r w:rsidR="00000000" w:rsidRPr="00000000" w:rsidDel="00000000">
              <w:rPr>
                <w:vertAlign w:val="superscript"/>
                <w:rtl w:val="0"/>
              </w:rPr>
              <w:t xml:space="preserve">1</w:t>
            </w:r>
            <w:r w:rsidR="00000000" w:rsidRPr="00000000" w:rsidDel="00000000">
              <w:rPr>
                <w:rtl w:val="0"/>
              </w:rPr>
              <w:t xml:space="preserve"> punktā ietverto norādi "un ir uzstādītas uz zemes, dzīvojamā mājā, daudzdzīvokļu mājā vai citās ēkās", kā arī noteikumu 9.3.</w:t>
            </w:r>
            <w:r w:rsidR="00000000" w:rsidRPr="00000000" w:rsidDel="00000000">
              <w:rPr>
                <w:vertAlign w:val="superscript"/>
                <w:rtl w:val="0"/>
              </w:rPr>
              <w:t xml:space="preserve">1 </w:t>
            </w:r>
            <w:r w:rsidR="00000000" w:rsidRPr="00000000" w:rsidDel="00000000">
              <w:rPr>
                <w:rtl w:val="0"/>
              </w:rPr>
              <w:t xml:space="preserve">un 9.3.</w:t>
            </w:r>
            <w:r w:rsidR="00000000" w:rsidRPr="00000000" w:rsidDel="00000000">
              <w:rPr>
                <w:vertAlign w:val="superscript"/>
                <w:rtl w:val="0"/>
              </w:rPr>
              <w:t xml:space="preserve">2</w:t>
            </w:r>
            <w:r w:rsidR="00000000" w:rsidRPr="00000000" w:rsidDel="00000000">
              <w:rPr>
                <w:rtl w:val="0"/>
              </w:rPr>
              <w:t xml:space="preserve"> apakšpunktu (projekta 13. un 14. punktu)). Apstiprinošas atbildes gadījumā lūdzam precizēt projektu, nodrošinot, ka normas nedublē viena otru un ir savstarpēji saskanīgas. Alternatīvi lūdzam anotācijā sniegt skaidrojumu par minēto normu saturu un savstarpējo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aktivitātes veic dzīvojamā mājā vai daudzdzīvokļu mājā, kas tiek izmantots saimnieciskajā darbībā, un ja dzīvojamās mājas vai daudzdzīvokļu mājas īpašnieks pretendē uz atbalstu, kas kvalificējams kā komercdarbības atbalsts, tad atbalstu konkursa ietvaros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projekta 25. punktā (noteikumu 16.</w:t>
            </w:r>
            <w:r w:rsidR="00000000" w:rsidRPr="00000000" w:rsidDel="00000000">
              <w:rPr>
                <w:vertAlign w:val="superscript"/>
                <w:rtl w:val="0"/>
              </w:rPr>
              <w:t xml:space="preserve">2</w:t>
            </w:r>
            <w:r w:rsidR="00000000" w:rsidRPr="00000000" w:rsidDel="00000000">
              <w:rPr>
                <w:rtl w:val="0"/>
              </w:rPr>
              <w:t xml:space="preserve"> punktā) veiktas izmaiņas, svītrojot vārdus "dzīvokļa īpašums" un "dzīvokļa īpašnieks", tādējādi, šķiet, sašaurinot normas tvērumu, tomēr izmaiņas netiek skaidrotas ne izziņā, ne anotācijā. Vēršam uzmanību, ka Tieslietu ministrijas iebildums bija par projektā lietoto formulējumu nekonsekventumu, nevis par 16.</w:t>
            </w:r>
            <w:r w:rsidR="00000000" w:rsidRPr="00000000" w:rsidDel="00000000">
              <w:rPr>
                <w:vertAlign w:val="superscript"/>
                <w:rtl w:val="0"/>
              </w:rPr>
              <w:t xml:space="preserve">2</w:t>
            </w:r>
            <w:r w:rsidR="00000000" w:rsidRPr="00000000" w:rsidDel="00000000">
              <w:rPr>
                <w:rtl w:val="0"/>
              </w:rPr>
              <w:t xml:space="preserve"> punktu kā tādu. Attiecīgi lūdzam izvērtēt un skaidrot izmaiņas vai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precizētā redakcija nesašaurina tiesību normas tvērumu. Minētais punkts paredz, ja dzīvojamās mājas, daudzdzīvokļu mājas vai daudzdzīvokļu mājas dzīvokļa īpašnieks (MK noteikumu Nr.150 8.punktā minētie projektu iesniedzēji) pretendē uz atbalstu, kas kvalificējams kā komercdarbības atbalsts, tad atbalstu konkursa ietvaros sniedz saskaņā ar Komisijas 2013. gada 18. decembra Regulu (ES) Nr. 1407/2013 par Līguma par Eiropas Savienības darbību 107. un 108. panta piemērošanu de minimis atbalstam un normatīvajiem aktiem par de minimis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aktivitātes veic dzīvojamā mājā vai daudzdzīvokļu mājā, kas tiek izmantota saimnieciskajā darbībā, un ja dzīvojamās mājas, daudzdzīvokļu mājas vai daudzdzīvokļu mājas dzīvokļa īpašnieks pretendē uz atbalstu, kas kvalificējams kā komercdarbības atbalsts, tad atbalstu konkursa ietvaros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aktivitātes veic dzīvojamā mājā vai daudzdzīvokļu mājā, kas tiek izmantots saimnieciskajā darbībā, un ja dzīvojamās mājas vai daudzdzīvokļu mājas īpašnieks pretendē uz atbalstu, kas kvalificējams kā komercdarbības atbalsts, tad atbalstu konkursa ietvaros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 noteikumu projekta 8.1. apakšpunkta izriet, ka daudzdzīvokļu mājas dzīvokļu īpašnieks var pieteikties uz atbalstu šo noteikumu ietvaros, aicinām 16</w:t>
            </w:r>
            <w:r w:rsidR="00000000" w:rsidRPr="00000000" w:rsidDel="00000000">
              <w:rPr>
                <w:vertAlign w:val="superscript"/>
                <w:rtl w:val="0"/>
              </w:rPr>
              <w:t xml:space="preserve">.2 </w:t>
            </w:r>
            <w:r w:rsidR="00000000" w:rsidRPr="00000000" w:rsidDel="00000000">
              <w:rPr>
                <w:rtl w:val="0"/>
              </w:rPr>
              <w:t xml:space="preserve"> punkta prasības attiecināt arī uz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aktivitātes veic dzīvojamā mājā vai daudzdzīvokļu mājā, kas tiek izmantota saimnieciskajā darbībā, un ja dzīvojamās mājas, daudzdzīvokļu mājas vai daudzdzīvokļu mājas dzīvokļa īpašnieks pretendē uz atbalstu, kas kvalificējams kā komercdarbības atbalsts, tad atbalstu konkursa ietvaros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aktivitātes veic dzīvojamā mājā, daudzdzīvokļu mājā vai dzīvokļa īpašumā, kas tiek izmantots saimnieciskajā darbībā, un ja dzīvojamās mājas, daudzdzīvokļu mājas vai dzīvokļa īpašnieks pretendē uz atbalstu, kas kvalificējams kā komercdarbības atbalsts, tad atbalstu konkursa ietvaros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normās lietoto norāžu uz nekustamā īpašuma veidiem korektumu un sniegt skaidrojumus vai nepieciešamības gadījumā precizēt, ja formulējumi nav lietoti konsekventi.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24. punktā (noteikumu 16.</w:t>
            </w:r>
            <w:r w:rsidR="00000000" w:rsidRPr="00000000" w:rsidDel="00000000">
              <w:rPr>
                <w:vertAlign w:val="superscript"/>
                <w:rtl w:val="0"/>
              </w:rPr>
              <w:t xml:space="preserve">2</w:t>
            </w:r>
            <w:r w:rsidR="00000000" w:rsidRPr="00000000" w:rsidDel="00000000">
              <w:rPr>
                <w:rtl w:val="0"/>
              </w:rPr>
              <w:t xml:space="preserve"> punktā) lietots formulējums "dzīvojamā mājā, daudzdzīvokļu mājā vai dzīvokļa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26. punktā (noteikumu 16.</w:t>
            </w:r>
            <w:r w:rsidR="00000000" w:rsidRPr="00000000" w:rsidDel="00000000">
              <w:rPr>
                <w:vertAlign w:val="superscript"/>
                <w:rtl w:val="0"/>
              </w:rPr>
              <w:t xml:space="preserve">4</w:t>
            </w:r>
            <w:r w:rsidR="00000000" w:rsidRPr="00000000" w:rsidDel="00000000">
              <w:rPr>
                <w:rtl w:val="0"/>
              </w:rPr>
              <w:t xml:space="preserve"> punktā) - "daudzdzīvokļu mājas dzīvokļa īpašumā vai dzīvojamā mājā" (sk. arī 16.5.</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40. punktā (52.2. apakšpunktā) u.c. punktos - "dzīvojamās mājas vai daudzdzīvokļu mājas".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aktivitātes veic dzīvojamā mājā vai daudzdzīvokļu mājā, kas tiek izmantota saimnieciskajā darbībā, un ja dzīvojamās mājas, daudzdzīvokļu mājas vai daudzdzīvokļu mājas dzīvokļa īpašnieks pretendē uz atbalstu, kas kvalificējams kā komercdarbības atbalsts, tad atbalstu konkursa ietvaros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16.1.1.</w:t>
            </w:r>
            <w:r w:rsidR="00000000" w:rsidRPr="00000000" w:rsidDel="00000000">
              <w:rPr>
                <w:rtl w:val="0"/>
              </w:rPr>
              <w:t xml:space="preserve"> un </w:t>
            </w:r>
            <w:r w:rsidR="00000000" w:rsidRPr="00000000" w:rsidDel="00000000">
              <w:rPr>
                <w:rtl w:val="0"/>
              </w:rPr>
              <w:t xml:space="preserve">16.1.1.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minētajam koksnes biomasas katlam un kamīnam, kas piemērots granulu, brikešu, malkas vai kombinētam koksnes biomasas (malkas, granulu, briketes) kurināmajam,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18. punktā paredzētās izmaiņas (projekta 29. punkts), skaidrojot 18.3. apakšpunkta paredzēšanas nepieciešamību. Lūdzam arī izvērtēt nepieciešamību sadalīt normu divos atsevišķos punktos, ņemot vērā, ka no anotācijā minētās informācijas nav viennozīmīgi skaidrs, vai visas minētās regulas ir piemērojamas visiem 18. punkta ievaddaļā minētajiem koksnes biomasas katlu vai kamīnu veidiem. Attiecīgi lūdzam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teksts precizēts. Papildināta anotācija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16.1.1.</w:t>
            </w:r>
            <w:r w:rsidR="00000000" w:rsidRPr="00000000" w:rsidDel="00000000">
              <w:rPr>
                <w:rtl w:val="0"/>
              </w:rPr>
              <w:t xml:space="preserve">apakšpunktā</w:t>
            </w:r>
            <w:r w:rsidR="00000000" w:rsidRPr="00000000" w:rsidDel="00000000">
              <w:rPr>
                <w:rtl w:val="0"/>
              </w:rPr>
              <w:t xml:space="preserve">​</w:t>
            </w:r>
            <w:r w:rsidR="00000000" w:rsidRPr="00000000" w:rsidDel="00000000">
              <w:rPr>
                <w:rtl w:val="0"/>
              </w:rPr>
              <w:t xml:space="preserve"> minētajam koksnes biomasas katlam, kas piemērots granulu kurināmajam, jāatbilst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Grozījumi šajos noteikumos, kas paredz veikt izmaiņas 1. pielikumā attiecībā uz atbalsta apmēru, piemērojami tiem projekta iesniegumiem, kuru ietvaros siltumenerģijas vai elektroenerģijas ražošanas iekārtu iegāde, kā arī mājsaimniecības pieslēguma centralizētajai siltumapgādes sistēmai projektēšana un siltummezgla izveide veikta pēc šo grozījumu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noteikumu projekta 45. punktu (noteikumu 58. punkts) formulējumu, tā sākuma daļā norādot nevis "grozījumi šajos noteikumos, kas paredz veikt izmaiņas 1. pielikumā", bet konkrēti "grozījumi šo noteikumu 1. pielikumā". Papildus vēršam uzmanību, ka norma anotācijā nav vispār skaidrota, attiecīgi lūdzam anotācijā skaidrot normu un pamatot tās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tekstā izmaiņas attiecībā uz atbalsta apmēru netiks grozītas. Līdz ar to MK noteikumu grozījumu punkts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kādi apsvērumi ņemti vērā, nosakot konkrētos maksimālos atbalsta apmērus projektā jaunā redakcijā izteiktā 1. pielikuma papildinājumos (sk 2. un 3. punktu). Lūdzam arī skaidrot citas izmaiņas, kas veiktas 1. pielikumā (piemēram, papildināta tabula attiecībā uz pieslēguma projektēšanai centralizētajai siltumapgādes sistēmai un siltummezgla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konkursa ietvaros iespējamo granta lielumu 2021./2022.gadā tika veikta tirgus izpēte un komersantu aptauja. Saskaņā ar veikto tirgus tendenču izvērtējumu tika noteikts atbalsta apjoms atkarībā no konkrētās AER iekārtas un tās jaudas parametriem. Apkopojums par maksimālo atbalsta apjomu finansējuma ietvaros atkarībā no konkrētām AER iekārtām un to jaudām ir noteikts šo noteikumu 1. pielikumā. Līdz ar to finansējuma saņēmējs var saņemt atbalstu konkursa ietvaros, atbilstoši nosakot konkrētās AER iekārtas jaudu un iespējamo izmaksu apjomu, kas būtu maksimāli saņemams kā atbalsts konkursa ietvaros pēc AER iekārtas iegādes un uzstādīšanas. Līdzīga pieeja pielietota arī attiecībā uz izmaksu noteikšanu daudzdzīvokļu māju pieslēguma projektēšanai centralizētajai siltumapgādes sistēmai un siltummezgla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 un 22. punktu (noteikumu 16.4. apakšpunkta precizēšanu un 16.5. apakšpunkta svītrošanu), lūdzam izvērtēt, vai noteikumu 2. pielikuma 8. punkta formulējumā ietvertā norāde uz mājsaimniecību (savukārt 9. punktā - norāde uz daudzdzīvokļu māju) ir korekta. Nepieciešamības gadījumā lūdzam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2.pielikuma 8.punkts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pamatot noteikumu 1. pielikumā paredzētās izmaiņas attiecībā uz atbalsta apmēru diferencēšanu atkarībā no atrašanās vietas, kā arī to atbilstību vienlīdzības principam. Vēršam uzmanību, ka anotācijas skaidrojumā tiek pretnostatīti Rīgas reģiona un pārējo Latvijas reģionu mājsaimniecību ienākumi, bet ne savstarpēji visu Latvijas reģionu mājsaimniecību ienākumi. Papildus paužam bažas, ka nav pilnīgi saprotama šī paša kritērija (vidējie ienākumi uz vienu mājsaimniecības locekli) izmantošana kā pamatojums projekta iesniedzējiem, kuri ir saimnieciskās darbības veicēji. Papildus norādām, ka no anotācijā ietvertās informācijas izriet, ka vērtēta tiek nekustamā īpašuma atrašanās vieta, taču no 1. pielikuma redakcijas tas skaidri neizriet (drīzāk var noprast, ka vērtējama ir iegādes vieta). Attiecīgi lūdzam sniegt izvērstāku pamatojumu.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tekstā izmaiņas attiecībā uz atbalsta apmēru netiks grozītas.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atkārtoto saskaņošanu projektā svītrotas normas par jaunbūvi, lūdzam attiecīgi precizēt jaunā redakcijā izteiktā 2. pielikuma 5.7.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 pielikuma 5.7.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2. pielikuma 5. sadaļas 5.9. apakšpunkta redakcijas atbilstību noteikumu projektā paredzētajam regulējumam (sk., piemēram, noteikumu 9.4. un 52.2. apakšpunktu) un attiecīgi precizēt vai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 pielikuma 5. sadaļas 5.9.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2. pielikuma 5. sadaļas 5.7. apakšpunkta redakcija neatbilst noteikumu projekta 9.-11.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 pielikuma 5. sadaļas 5.7.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9.1.11.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nepieciešami precizējumi noteikumiem 9.1.11., 9.1.12., 9.1.13., 9.1.14. un 9.1.15.apakšpunktos. Skaidrojam, ka būvju klasifikācijas kods 9.1.9.apakšpunktā (triju vai vairāku dzīvokļu mājas; triju vai vairāku dzīvokļu māju dzīvojamo telpu grupa, 1122) ietver visus noteikumos turpmāk uzskaitītos būvju kodus, tai skaitā, ja būve vēl nav nodota ekspluatācijā.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Nr.150 attiecībā uz ēku kodiem ir nepieciešami, lai saskaņotu MK noteikumu 9.punkta redakciju (vienādu pieeju starp visiem šī punkta apakšpunktiem) un, lai minētā norma ir lietotājam - mājsaimniecībai skaidri saprotama.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16.4.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paplašināt atbalstāmās darbības daudzdzīvokļu dzīvojamām ēkām, ja tās pieslēdz centralizētajai siltumapgādes sistēmai, ar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-apkures sadales sistēmas pilnīga atjaunošana, pārbūve vai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-apkures sadales sistēmas pilnīga atjaunošana, pārbūve vai izveide un karstā ūdens sadales sistēmas pilnīga atjaunošana, pārbūve vai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darbības vairumā gadījumu būs neatraujami saistītas un nepieciešamas projekta veiksmīgai īstenošanai, tomēr šobrīd šo darbību izmaksas atbalsta programmā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kopējās izmaksas pieslēguma centralizētajai siltumapgādes izveidei, iekļaujot minēto iekšējo inženiertīklu pārbūves, atjaunošanas vai izveidošanas izmaksas, piemēram, 50 kW siltumapgādes jaudas nodrošināšanai, var sasniegt vairāk kā 25 000 eiro, kas, ņemot vērā noteikumu 1.pielikumā iespējamo maksimālo atbalsta apjomu (6100 eiro), kopā var sastādīt atbalstu tikai ~ 25% apmērā, pie nosacījuma, ka tikai siltummezgla projektēšana un siltummezgla izveides atbalsts 70% apmērā sasniedz maksimālā atbalsta vērtību, pretējā gadījumā atbalsta apjoms pret kopējām izmaksām var sasniegt vēl mazāku procentuālo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ņemot vērā daudzdzīvokļu dzīvojamo māju īpašnieku problemātiku pieņemt lēmumus par dzīvojamā mājā nepieciešamajām investīcijām, atbalsts darbībai tikai 25% apmērā var nebūt pietiekoši motivējošs šāda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Gaisa piesārņojuma samazināšanas rīcības plānam 2020.-2030. gadam, Latvijas Nacionālajam enerģētikas un klimata plānam 2021.-2030. gadam un citiem plānošanas dokumentiem pieslēgumi centralizētajām siltumapgādes sistēmām ir īpaši veicināmi un atbalstāmi, tādējādi aicinām izvērtēt iespējas papildināt atbalstāmās darbības, vai arī radīt citu risinājumu, lai būtiski veicinātu un palielinātu noteikumu projekta anotācijas 1.3. sadaļā norādīto projektu skaitu - Mājsaimniecības pieslēguma centralizētajai siltumapgādes sistēmai projektēšana un siltummezgla izveide – 11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nav paredzētas aktivitātes saistībā ar energoefektivitātes paaugstināšanu, t.i. iekšējo inženiertīklu izbūvi, pārbūvi vai atjaunošanu. Vienlaikus, lai izvērtētu šādu darbību iekļaušanu konkursa nolikumā ir nepeiciešama papildus analīze, iegūstot un apstrādājot nepieciešamos datus, t.i. potenciālās izmaksas un atbalsta apmēru dažāda veida tehniskajiem risinājumiem un pieslēguma jaudai.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pilnīgāk skaidrot projekta 16.1.1.1 apakšpunktu, ņemot vērā tā redakciju un citstarp to, ka norma paredz, ka "a</w:t>
            </w:r>
            <w:r w:rsidR="00000000" w:rsidRPr="00000000" w:rsidDel="00000000">
              <w:rPr>
                <w:i w:val="1"/>
                <w:rtl w:val="0"/>
              </w:rPr>
              <w:t xml:space="preserve">ktivitāte ir atbalstāma, ja projekta ietvaros šo iekārtu iegāde tiek veikta kopā ar kādu no šo noteikumu 16.1.2. vai 16.1.3. apakšpunktā minētajām iekārtām, kas iegādātas no komersantiem, vai 16.1.2. vai 16.1.3. apakšpunktā minētās iekārtas ir iepriekš iegādātas, uzstādītas un izmantotas dzīvojamās mājās vai daudzdzīvokļu mājās iedzīvotāju vajadzībā</w:t>
            </w:r>
            <w:r w:rsidR="00000000" w:rsidRPr="00000000" w:rsidDel="00000000">
              <w:rPr>
                <w:rtl w:val="0"/>
              </w:rPr>
              <w:t xml:space="preserv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r w:rsidR="00000000" w:rsidRPr="00000000" w:rsidDel="00000000">
              <w:rPr>
                <w:vertAlign w:val="superscript"/>
                <w:rtl w:val="0"/>
              </w:rPr>
              <w:t xml:space="preserve">1</w:t>
            </w:r>
            <w:r w:rsidR="00000000" w:rsidRPr="00000000" w:rsidDel="00000000">
              <w:rPr>
                <w:rtl w:val="0"/>
              </w:rPr>
              <w:t xml:space="preserve"> jaunas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vai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minētās siltumenerģijas ražošanas iekārtas iegāde, ja daudzdzīvokļu māja vai dzīvojamā māja ir reģistrēta zemesgrāmatā kā jaunbūve un tajā nav esošas siltumapgādes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20. punktu (noteikumu papildinājumu ar 16.1.</w:t>
            </w:r>
            <w:r w:rsidR="00000000" w:rsidRPr="00000000" w:rsidDel="00000000">
              <w:rPr>
                <w:vertAlign w:val="superscript"/>
                <w:rtl w:val="0"/>
              </w:rPr>
              <w:t xml:space="preserve">1 </w:t>
            </w:r>
            <w:r w:rsidR="00000000" w:rsidRPr="00000000" w:rsidDel="00000000">
              <w:rPr>
                <w:rtl w:val="0"/>
              </w:rPr>
              <w:t xml:space="preserve">apakšpunktu), aicinām izvērtēt, vai nav nepieciešamas izmaiņas citās noteikumu normās (piemēram, 16.3. apakšpunktā, 19.1. apakšpunktā u.c.).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šo noteikumu </w:t>
            </w:r>
            <w:r w:rsidR="00000000" w:rsidRPr="00000000" w:rsidDel="00000000">
              <w:rPr>
                <w:rtl w:val="0"/>
              </w:rPr>
              <w:t xml:space="preserve">​</w:t>
            </w:r>
            <w:r w:rsidR="00000000" w:rsidRPr="00000000" w:rsidDel="00000000">
              <w:rPr>
                <w:rtl w:val="0"/>
              </w:rPr>
              <w:t xml:space="preserve">16.4.</w:t>
            </w:r>
            <w:r w:rsidR="00000000" w:rsidRPr="00000000" w:rsidDel="00000000">
              <w:rPr>
                <w:rtl w:val="0"/>
              </w:rPr>
              <w:t xml:space="preserve">​</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minētā siltumapgādes veida projektēšanas un pieslēguma izveides izmaksas, ja to veic eksperti siltumapgādes sistēmu projektēšanā, kas reģistrējušies Valsts ieņēmumu dienestā kā saimnieciskās darbības veicēji, un komersanti, kas reģistrēti Latvijas Republikas Uzņēmumu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31. punktā jaunā redakcijā izteiktajā noteikumu 19.2. apakšpunktā nav nepieciešama norāde ne tikai uz projektēšanu un pieslēguma izveidi, bet arī uz siltummezgla izveidi. Nepieciešamības gadījumā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19.2.apakšpunkts.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šo noteikumu </w:t>
            </w:r>
            <w:r w:rsidR="00000000" w:rsidRPr="00000000" w:rsidDel="00000000">
              <w:rPr>
                <w:rtl w:val="0"/>
              </w:rPr>
              <w:t xml:space="preserve">​</w:t>
            </w:r>
            <w:r w:rsidR="00000000" w:rsidRPr="00000000" w:rsidDel="00000000">
              <w:rPr>
                <w:rtl w:val="0"/>
              </w:rPr>
              <w:t xml:space="preserve">16.4.</w:t>
            </w:r>
            <w:r w:rsidR="00000000" w:rsidRPr="00000000" w:rsidDel="00000000">
              <w:rPr>
                <w:rtl w:val="0"/>
              </w:rPr>
              <w:t xml:space="preserve">​</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minētā pieslēguma centralizētajai siltumapgādes sistēmai projektēšanas un siltummezgla izveides izmaksas, ja to veic eksperti siltumapgādes sistēmu projektēšanā, kas reģistrējušies Valsts ieņēmumu dienestā kā saimnieciskās darbības veicēji, un komersanti, kas reģistrēti Latvijas Republikas Uzņēmumu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ražotāja apliecinājumu par granulu, brikešu, malkas vai kombinētam (granulu, malkas, briketes) kurināmajam piemērota koksnes biomasas katla un kamīna atbilstību ekodizaina prasībām attiecībā uz pieļaujamām emisijām un atbilstību noteiktajai energoefektivitātes klasei atbilstoši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minētajām prasībām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projektā lietoto saikļu "un" un "vai" lietojumu (piemēram, noteikumu 24.9. apakšpunktā (projekta 36. punkts) starp vārdiem "katla" un "kamīna", šķiet, lietojams saiklis "vai", nevis "un"). Vēršam uzmanību, ka saikļu lietojums ir būtisks normu korektai piemērošanai. Attiecīgi aicinām izvērtēt un,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24.9.apakšpunkts.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ražotāja apliecinājumu par granulu kurināmajam piemērota koksnes biomasas katla atbilstību ekodizaina prasībām attiecībā uz pieļaujamām emisijām un atbilstību noteiktajai energoefektivitātes klasei atbilstoši šo noteikumu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prasībām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projekta 16.4. apakšpunktā, aicinām konsekventi veikt attiecīgas terminoloģiskas izmaiņas arī citviet projektā (sk., piemēram,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korekti noteikumu 2. pielikuma 2.2. sadaļā svītrota aile "Esošais karstā ūdens saražošanas veids". Nepieciešamības gadījumā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2.pielikums, minētā aile netiek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22-TA-2519</w:t>
    </w:r>
    <w:r>
      <w:br/>
    </w:r>
    <w:r w:rsidR="00000000" w:rsidRPr="00000000" w:rsidDel="00000000">
      <w:rPr>
        <w:rtl w:val="0"/>
      </w:rPr>
      <w:t xml:space="preserve">08.06.2023. 10.39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22-TA-2519</w:t>
    </w:r>
    <w:r>
      <w:br/>
    </w:r>
    <w:r w:rsidR="00000000" w:rsidRPr="00000000" w:rsidDel="00000000">
      <w:rPr>
        <w:rtl w:val="0"/>
      </w:rPr>
      <w:t xml:space="preserve">08.06.2023. 10.39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Izziņa_22-TA-2519.docx</dc:title>
</cp:coreProperties>
</file>

<file path=docProps/custom.xml><?xml version="1.0" encoding="utf-8"?>
<Properties xmlns="http://schemas.openxmlformats.org/officeDocument/2006/custom-properties" xmlns:vt="http://schemas.openxmlformats.org/officeDocument/2006/docPropsVTypes"/>
</file>