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4. augusta noteikumos Nr. 618 "Noteikumi par mantojuma reģistra un mantojuma lietu vešanu"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4. augusta noteikumos Nr. 618 "Noteikumi par mantojuma reģistra un mantojuma lietu vešanu"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w:t>
            </w:r>
            <w:r w:rsidR="00000000" w:rsidRPr="00000000" w:rsidDel="00000000">
              <w:rPr>
                <w:b w:val="1"/>
                <w:rtl w:val="0"/>
              </w:rPr>
              <w:t xml:space="preserve">uztur iebildumus, kas izteikti ar LPS 29.10.24. un 30.10.24. atzinumiem un kurus</w:t>
            </w:r>
            <w:r w:rsidR="00000000" w:rsidRPr="00000000" w:rsidDel="00000000">
              <w:rPr>
                <w:rtl w:val="0"/>
              </w:rPr>
              <w:t xml:space="preserve">, atbilstoši izziņai pēc saskaņošanas sanāksmes (word dokuments, kas ievietots pie tiesību akta lietas sadaļā "Papildus dokumenti"), </w:t>
            </w:r>
            <w:r w:rsidR="00000000" w:rsidRPr="00000000" w:rsidDel="00000000">
              <w:rPr>
                <w:b w:val="1"/>
                <w:rtl w:val="0"/>
              </w:rPr>
              <w:t xml:space="preserve">TM nav ņēmusi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faktu, ka visi šie </w:t>
            </w:r>
            <w:r w:rsidR="00000000" w:rsidRPr="00000000" w:rsidDel="00000000">
              <w:rPr>
                <w:b w:val="1"/>
                <w:rtl w:val="0"/>
              </w:rPr>
              <w:t xml:space="preserve">iebildumi attiecas uz mantojuma reģistru, kas ir valsts informāciju sistēma, tādējādi Ministru kabineta noteikumi nevar būt pretrunā Valsts informācijas sistēmu likumam! </w:t>
            </w:r>
            <w:r w:rsidR="00000000" w:rsidRPr="00000000" w:rsidDel="00000000">
              <w:rPr>
                <w:rtl w:val="0"/>
              </w:rPr>
              <w:t xml:space="preserve">Konkrēti-  </w:t>
            </w:r>
            <w:r w:rsidR="00000000" w:rsidRPr="00000000" w:rsidDel="00000000">
              <w:rPr>
                <w:b w:val="1"/>
                <w:rtl w:val="0"/>
              </w:rPr>
              <w:t xml:space="preserve">projekts nenodrošina</w:t>
            </w:r>
            <w:r w:rsidR="00000000" w:rsidRPr="00000000" w:rsidDel="00000000">
              <w:rPr>
                <w:rtl w:val="0"/>
              </w:rPr>
              <w:t xml:space="preserve"> Valsts informācijas sistēmu likuma</w:t>
            </w:r>
            <w:r w:rsidR="00000000" w:rsidRPr="00000000" w:rsidDel="00000000">
              <w:rPr>
                <w:b w:val="1"/>
                <w:rtl w:val="0"/>
              </w:rPr>
              <w:t xml:space="preserve"> 6.panta pirmās, otrās un trešās daļas noteikumu ievērošanu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Valsts informācijas sistēmas apvieno integrētā valsts informācijas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Aizliegts vākt no datu subjektiem un ievadīt valsts informācijas sistēmu datu bāzēs datus, kas ir pieejami integrētā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Valsts informācijas sistēmu darbības gaitā informācija par datu subjektu un tam piekritīgajiem reģistrējamiem objektiem reģistrējama tikai vienu reizi atbilstošajā reģistrā</w:t>
            </w:r>
            <w:r w:rsidR="00000000" w:rsidRPr="00000000" w:rsidDel="00000000">
              <w:rPr>
                <w:rtl w:val="0"/>
              </w:rPr>
              <w:t xml:space="preserve"> — integrētā valsts informācijas sistēmā normatīvajos aktos noteikto reģistrējamo objektu identificēšanai,</w:t>
            </w:r>
            <w:r w:rsidR="00000000" w:rsidRPr="00000000" w:rsidDel="00000000">
              <w:rPr>
                <w:b w:val="1"/>
                <w:rtl w:val="0"/>
              </w:rPr>
              <w:t xml:space="preserve"> nodrošinot datu aktualizāciju un iekļaušanu citā valsts informācijas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Deklarācijā par Evikas Siliņas vadītā Ministru kabineta iecerēto darbību ir norādīts:  </w:t>
            </w:r>
            <w:r w:rsidR="00000000" w:rsidRPr="00000000" w:rsidDel="00000000">
              <w:rPr>
                <w:b w:val="1"/>
                <w:rtl w:val="0"/>
              </w:rPr>
              <w:t xml:space="preserve">"Konkurētspējas pamatā ir" .. "spēja izmantot tehnoloģiju sniegtās iespējas"</w:t>
            </w:r>
            <w:r w:rsidR="00000000" w:rsidRPr="00000000" w:rsidDel="00000000">
              <w:rPr>
                <w:rtl w:val="0"/>
              </w:rPr>
              <w:t xml:space="preserve">. LPS ieskatā ir nepieņemami neievērot Valsts informācijas sistēmu likumu, kā arī valdības deklarāciju, neizmantojot tehnoloģiju sniegtās iespējas, tādējādi nenodrošinot pašvaldības kā nekustamā īpašuma nodokļa administratores ar mašīnlasāmiem un automatizēti saņemamiem datiem par Latvijā esošu nekustamo īpašumu mantiniekiem, lai gan šos datus notāri rada tikai un vienīgi izmantojot datorus, nevis rokrakstā. TM paustais izziņā pēc saskaņošanas sanāksmes (word dokuments, kas ievietots pie tiesību akta lietas sadaļā "Papildus dokumenti") par LPS iebildumu noraidīšanu, mūsu ieskatā norāda uz TM neizpratni par tehnoloģiju sniegtajām iespējām, kuru izmantošanas uzsākšanu var nodrošināt pat ar informāciju tehnoloģiju pamatzināšanām.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apsvērumi iebilduma neņemšanai vērā iekļauti pie turpmāk atspoguļotajiem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mantojuma reģistrs tika izveidots 2005. gadā un tā mērķis bija un ir uzkrāt, uzskaitīt un pārvaldīt informāciju par uzsāktajām mantojumu lietām, ņemot vērā Notariāta likuma 258. panta pirmajā daļā noteikto, ka mantojumu reģistrā ieraksta mantojuma atstājēja vārdu, uzvārdu, personas kodu, tā zvērināta notāra vārdu, uzvārdu un prakses vietas adresi, kurš ved mantojuma lietu. Tādējādi mantojuma reģistra izveides mērķa sasniegšanai tajā ir iekļautas noteiktas ziņas, nodrošinot arī šo ziņu izsniegšanas kārtību ieinteresētajām personām. Tāpat būtiski norādīt, ka mantojumu reģistrs ir sasaistīts ar zvērinātu notāru aktu un apliecinājumu reģistru (AUAR), kas satur datus, kuri nav izpaužami trešajām personām. Līdz ar to, ņemot vērā nākamajos punktos paustos apsvērumus, šis reģistrs nav papildināms ar citām ziņām, kas pārsniedz tā izveides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4. augusta noteikumos Nr. 618 "Noteikumi par mantojuma reģistra un mantojuma lietu vešanu"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Mantojuma reģistru veido, izmantojot datorprogrammu, kas nodrošina, lai mantojuma lietas numurs un datums reģistrā parādītos automātiski un nebūtu labojams.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mantojuma reģistra dati būtu mašīnlasāmi un automatizēti nododami un saņemami citās valsts un pašvaldību informāciju sistēmās. Nav pieļaujama valsts un pašvaldību budžeta tērēšana, lai manuāli saņemtu un atkārtoti ievadītu valsts un pašvaldību informācijas sistēmās datus no mantojuma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reģistru veido, izmantojot datorprogrammu, kas nodrošina, lai mantojuma lietas numurs un datums reģistrā parādītos automātiski un nebūtu labojams, </w:t>
            </w:r>
            <w:r w:rsidR="00000000" w:rsidRPr="00000000" w:rsidDel="00000000">
              <w:rPr>
                <w:b w:val="1"/>
                <w:u w:val="single"/>
                <w:rtl w:val="0"/>
              </w:rPr>
              <w:t xml:space="preserve">kā arī nodrošinot visu datu esību mašīnlasāmos formātos, kā arī to automātisku nodošanu valsts un pašvaldību informāciju sistēmām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mantojumu reģistrs ir piereģistrēts kā valsts informācijas sistēma, satur Notariāta likumā noteiktās ziņas (258. panta pirmā daļa), proti, ziņas, ka nepieciešamas un saistītas ar konkrēto mantojuma lietu. Tādējādi mantojumu reģistrā nav iekļaujama informācija, kas nav saistīta ar konkrēto mantojuma lietu. Turklāt šajā reģistrā arī nav nepieciešams iekļaut un dublēt visu mantojuma lietā esošo informāciju. Tāpat norādāms, ka Notariāta likums strikti definē notariālo lietu glabāšanas un ziņu izpaušanas noteikumus, proti, ziņas no notāra lietām, tajā skaitā, reģistriem ir pieejamas tikai likumā definētiem subjektiem noteiktos gadījumos un kartībā. Attiecīgi arī normatīvi ir nostiprināta iespēja un praksē tiek realizēta ziņu saņemšana no mantojumu reģistra noteiktā apjomā un kārtībā. Tāpat saskaņā ar Notariāta likuma 258. panta trešo un ceturto daļu noteikts, ka ieinteresētās personas var ieskatīties mantojumu reģistrā un saņemt no tā izrakstus. Tādējādi personām ir iespēja saņemt noteikta veida informāciju Ministru kabineta noteiktā kārtībā, ieskatoties mantojumu reģistrā globālajā datoru tīklā (internetā) vai pieprasot Latvijas Zvērinātu notāru padomei izziņu no mantojumu reģistra. Vienlaikus saskaņā ar Informācijas atklātības likuma 10. panta piekto daļu, kas noteic, ka iestāde var vienoties ar informācijas pieprasītāju par pastāvīgu sadarbību tās rīcībā esošās informācijas nodošanā atkalizmantošanai, praksē ir radīta iespēja noslēgt sadarbības līgumu ar Latvijas Zvērinātu notāru padomi par ziņu no mantojumu reģistra saņemšanai. Norādāms, ka pašvaldības prakse šo iespēju arī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svarīgi vērst uzmanību, ka likumprojektu saskaņošanas laikā tika panākta vienošanās ar LPS, ka Tieslietu ministrijai tiek noteikts uzdevums pēc grozījumiem Civillikumā spēkā stāšanās izvērtēt mantojuma procesa digitalizācijas iespējas ieviest automatizētus procesa elementus. Attiecīgi saskaņā ar Ministru prezidentes 2023. gada 8. novembra rezolūciju Nr. 2023-1.1.1./18-36 tieslietu ministrei, cita starp, uzdots pēc likumprojekta "Grozījumi Civillikumā" (22-TA-694; 331/Lp14) spēkā stāšanās atbilstoši Saeimā pieņemtajam regulējumam izvērtēt mantojuma procesa digitalizācijas iespējas, kā ieviest automatizētus procesa elementus, kā arī, ja nepieciešams, precizēt Bāriņtiesu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nepieciešamības gadījumā iniciējot atbilstošus nepieciešamos grozījumus mantojuma reģistra attīstībā. Vienlaikus norādāms, ka minētā uzdevuma izpilde noteikti būs saistīta ar atbilstošu finanšu līdzekļu piesaisti, kas būs nepieciešami sistēmu pilnveidēm. Ņemot vērā minēto, LPS iebildums pašreiz nav ņemams vērā, bet ir izvērtējams dotā Ministru prezidentes uzdevuma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Mantojuma reģistru sadala ailēs, un tās satur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faktam, ka mantojuma reģistrs ir valsts informāciju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reģistrs </w:t>
            </w:r>
            <w:r w:rsidR="00000000" w:rsidRPr="00000000" w:rsidDel="00000000">
              <w:rPr>
                <w:b w:val="1"/>
                <w:u w:val="single"/>
                <w:rtl w:val="0"/>
              </w:rPr>
              <w:t xml:space="preserve">ir valsts informācijas sistēma</w:t>
            </w:r>
            <w:r w:rsidR="00000000" w:rsidRPr="00000000" w:rsidDel="00000000">
              <w:rPr>
                <w:rtl w:val="0"/>
              </w:rPr>
              <w:t xml:space="preserve"> </w:t>
            </w:r>
            <w:r w:rsidR="00000000" w:rsidRPr="00000000" w:rsidDel="00000000">
              <w:rPr>
                <w:strike w:val="1"/>
                <w:rtl w:val="0"/>
              </w:rPr>
              <w:t xml:space="preserve">sadala ailēs,</w:t>
            </w:r>
            <w:r w:rsidR="00000000" w:rsidRPr="00000000" w:rsidDel="00000000">
              <w:rPr>
                <w:rtl w:val="0"/>
              </w:rPr>
              <w:t xml:space="preserve"> un tas satur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iebilduma neņemšanai vērā ietverti pie iebilduma Nr.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mantojuma atklāšanās izsludināšana, tai skaitā pilns sludinājuma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atklāšanās izsludināšana, tai skaitā pilns sludinājuma teksts strukturētu datu lauku veidā, kas mašīnlasāmā formātā iesniegts Latvijas vēstnesim;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norādāms, ka praksē tieši šādā kārtībā ziņas oficiālajam izdevumam "Latvijas Vēstnesis" tiek iesniegtas. Vienlaikus uzskatāms, ka spēkā esošā norma pieļauj rīcības brīvību ziņu iesniegšanas kārtībai, piemēram, kas var būt būtiski kādos gadījumos, kad strukturēto datu lauku kārtībā šādas ziņas iesniegt nebūtu iespējams, un tas būtu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LPS iebildums pašreiz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piezīmes.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mantojuma reģistru ar šādiem datu laukiem, kas nepieciešami nekustamā īpašuma nodokļa administrēšanai, kā arī citos procesos. Uzsveram, ka nav pieņemami valsts informāciju sistēmā  mantojuma reģistrā nenodrošināt mašīnlasāmus datus, kas nepieciešami citos valsts un pašvaldību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4.9.termiņš mantojuma pieņemšanai, kas noteikts sludinājumā par mantojuma atklāšanos;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mantojuma atstājējam piederošie nekustamie īpašumi Zemesgrāmatā un Nekustamā īpašuma valsts kadastra informācijas sistēmā, par katru nekustamo īpašumu: kadastra numurs, īpašumā ietilpstošo nekustamā īpašuma objektu kadastra apzīmējumi, kā arī mantojuma atstājēja īpašuma tiesību daļas uz katru no objektiem, minētos datus izgūst minētajām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mantojuma atstājēja nekustamā īpašuma nodokļa parāda apjoms, ja tāds eksistē, minētos datus izgūst no nekustamā īpašuma nodokļa administrēšanas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4.12.katra mantojuma atstājēja mantinieka, kas pieņēmis mantojumu un pierādījis tiesības mantot, vārds, uzvārds, personas kods, ja tāds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ja mantojuma sarakstā ir nekustamie īpašumi Latvijā, katra mantinieka mantotās daļas no  katra nekustamā īpašuma, vai mantotās daļas no katra īpašumā ietilpstošā nekustamā īpašuma objekta, ja īpašuma sastāvā esošie objekti tiek mantoti dažādās daļās, norādot kadastra numurus un kadastra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iebilduma neņemšanai vērā ietverti pie iebilduma Nr. 2. Papildus norādāms, ka mantojumu reģistrā nav iekļaujama informācija, kas nav saistīta ar konkrēto mantojuma lietu. Piemēram, Notariāta likums neparedz pienākumu notāram apzināt mantojuma atstājēja nodokļu parādus. Tādējādi arī šādām ziņām nav pamata būt mantojumu reģistrā. Turklāt informācija par mantojuma atstājējam piederējušo mantu pieejama mantojuma lietā mantojuma sarakstā. Ņemot vērā minēto, LPS iebildums pašreiz nav ņemams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Zvērināts notārs mantojuma lietai pievieno mantojuma reģistra izdruku.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punktu šādā redakcijā, lai novērstu manuālās darbības un taupītu publiskos resursus, netērējot cilvēkstundas datu saņemšanai un ievadei nekustamā īpašuma nodokļa administrēšanas programmatūrā, kurus elektroniski rada notāri un kuriem jābūt valsts informācijas sistēmā Mantojuma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mantojuma atstājējam ir piederoši nekustamie īpašumi Zemesgrāmatā un Nekustamā īpašuma valsts kadastra informācijas sistēmā, Mantojuma reģistra dati, kas nepieciešami nekustamā īpašuma nodokļa administrēšanai,  automatizēti tiek nodoti pašvaldībai, kuras teritorijā atrodas nekustamais īpašums, t.sk. par datumu līdz kuram jāiesniedz kreditora pretenzija par nekustamā īpašuma nodokļa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iebilduma neņemšanai vērā ietverti pie iebilduma Nr. 2 un Nr.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LPS iebildums pašreiz nav ņemams vērā, bet ir izvērtējams dotā Ministru prezidentes uzdevuma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nav zināma adresāta oficiālā elektroniskā adrese, zvērināts notārs to saņem no oficiālo elektronisko adrešu informācijas sistēmas. Ja personai nav aktivizēts elektroniskās adreses konts, zvērināts notārs nosūta rakstisku paziņojumu uz fiziskās personas deklarēto dzīvesvietu vai citu Fizisko personu reģistrā reģistrēto 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deklarēto dzīvesvietu un citu mantojuma lietā zināmo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likums 8. panta otro daļu oficiālo elektronisko adrešu katalogā iekļauj informāciju par izveidotajām oficiālajām elektroniskajām adresēm. Proti, zvērināts notārs par fiziskas personas e-adreses esamību var pārliecināties pec personas koda, par juridiskas personas - pēc Latvijas Republikas Uzņēmumu reģistra reģistrācijas numura.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pirmo daļu - "Ja ir aktivizēts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Proti, nav piemērojama paralēla saziņa arī uz fizisko adresi, ja personai ir oficiālā elektroniskā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precizētu redakciju un vienlaikus lūdzam atbilstoši labot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un informāciju saskaņā ar Notariāta likuma 259.1 panta 2. punktu, zvērināts notārs nosūta uz personas oficiālo elektronisko adresi. Ja personai nav aktivizēts elektroniskās adreses konts, zvērināts notārs nosūta rakstisku paziņojumu uz fiziskās personas deklarēto dzīvesvietu vai citu Fizisko personu reģistrā reģistrēto adresi, bet juridiskai personai – uz komercreģistrā reģistrēto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Notariāta likumā, kas stāsies spēkā 2025. gada 1. janvārī, 259.</w:t>
            </w:r>
            <w:r w:rsidR="00000000" w:rsidRPr="00000000" w:rsidDel="00000000">
              <w:rPr>
                <w:vertAlign w:val="superscript"/>
                <w:rtl w:val="0"/>
              </w:rPr>
              <w:t xml:space="preserve">1</w:t>
            </w:r>
            <w:r w:rsidR="00000000" w:rsidRPr="00000000" w:rsidDel="00000000">
              <w:rPr>
                <w:rtl w:val="0"/>
              </w:rPr>
              <w:t xml:space="preserve"> panta 2. punktu noteikts, ka pēc mantojuma lietas uzsākšanas zvērināts notārs noskaidro fizisko personu reģistrā mantot aicinātos līdz trešajai šķirai ieskaitot un pārdzīvojušo laulāto un informē viņus par mantojuma izsludināšanu ar elektroniski parakstītu vēstuli, ja ir aktivizēta oficiālā elektroniskā adrese, kā arī nosūtot vēstuli uz deklarēto dzīvesvietu un citu mantojuma lietā zināmo adresi. Tādējādi tā bija likumdevēja griba atkāpties no principa, ka, ja ir aktivizēta e-adrese, valsts ar personu sazinās tikai šajā kanālā, un šādai atkāpei ir mērķis - maksimāla mantinieku sasniedzamība un tā bija likumdevēja apzināta atkāpšanās no šī principa, speciālajā regulējumā paredzot šādu atkāpi. Mantojuma pilnvērtīga atgriešana civiltiesiskajā apritē ir svarīga no tiesiskās noteiktības principa un ir saistīta ar daudz iesaistīto personu tiesībām un pienākumiem, un, lai to sasniegtu augstākajā mēra nepieciešama atkāpe no vispārīgā regulējuma, bet tas nekādā veidā nemazina elektroniskās adreses svarīgumu vai nozīmību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ar ko paralēlas informēšanas pienākums ir ietverts likumā, kas bija likumdevēja izšķiršanās un apzināta izvēle un Ministru kabineta noteikumos nav iespējams paredzēt atšķirīgu regulējumu, kas būtu pretēji likumdevēja pieņemtajam.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redakcija precizēta atbilstoši Oficiālās elektroniskās adreses likuma, Fizisko personu reģistra likuma un Dzīvesvietas deklarēšanas likuma regulējumam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tā ir aktivizēta, par to pārliecinoties oficiālo elektronisko adrešu informācijas sistēmā. Ja personai nav aktivizēts elektroniskās adreses konts, zvērināts notārs nosūta rakstisku paziņojumu uz fiziskās personas Fizisko personu reģistrā  deklarēto, reģistrēto vai personas norādīto dzīvesvietas adresi, kā arī papildadresi,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tā ir aktivizēta, par to pārliecinoties oficiālo elektronisko adrešu informācijas sistēmā. Ja personai nav aktivizēts elektroniskās adreses konts, zvērināts notārs nosūta rakstisku paziņojumu uz fiziskās personas Fizisko personu reģistrā  deklarēto, reģistrēto vai personas norādīto dzīvesvietas adresi, kā arī papildadresi,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nav zināma adresāta oficiālā elektroniskā adrese, zvērināts notārs to saņem no oficiālo elektronisko adrešu informācijas sistēmas. Ja personai nav aktivizēts elektroniskās adreses konts, zvērināts notārs nosūta rakstisku paziņojumu uz fiziskās personas deklarēto dzīvesvietu vai citu Fizisko personu reģistrā reģistrēto 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deklarēto dzīvesvietu un citu mantojuma lietā zināmo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Oficiālās elektroniskās adreses likuma regulējumam. Kā arī Fizisko personu reģistra likumā un Dzīvesvietas deklarēšanas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parakstītus paziņojumus mantojuma lietā zvērināts notārs nosūta uz personas oficiālo elektronisko adresi,</w:t>
            </w:r>
            <w:r w:rsidR="00000000" w:rsidRPr="00000000" w:rsidDel="00000000">
              <w:rPr>
                <w:b w:val="1"/>
                <w:u w:val="single"/>
                <w:rtl w:val="0"/>
              </w:rPr>
              <w:t xml:space="preserve"> ja tā ir aktivizēta</w:t>
            </w:r>
            <w:r w:rsidR="00000000" w:rsidRPr="00000000" w:rsidDel="00000000">
              <w:rPr>
                <w:rtl w:val="0"/>
              </w:rPr>
              <w:t xml:space="preserve">. </w:t>
            </w:r>
            <w:r w:rsidR="00000000" w:rsidRPr="00000000" w:rsidDel="00000000">
              <w:rPr>
                <w:strike w:val="1"/>
                <w:rtl w:val="0"/>
              </w:rPr>
              <w:t xml:space="preserve">Ja nav zināma adresāta oficiālā elektroniskā adrese</w:t>
            </w:r>
            <w:r w:rsidR="00000000" w:rsidRPr="00000000" w:rsidDel="00000000">
              <w:rPr>
                <w:rtl w:val="0"/>
              </w:rPr>
              <w:t xml:space="preserve">, Zvērināts notārs </w:t>
            </w:r>
            <w:r w:rsidR="00000000" w:rsidRPr="00000000" w:rsidDel="00000000">
              <w:rPr>
                <w:strike w:val="1"/>
                <w:rtl w:val="0"/>
              </w:rPr>
              <w:t xml:space="preserve">to saņem no</w:t>
            </w:r>
            <w:r w:rsidR="00000000" w:rsidRPr="00000000" w:rsidDel="00000000">
              <w:rPr>
                <w:rtl w:val="0"/>
              </w:rPr>
              <w:t xml:space="preserve"> oficiālo elektronisko adrešu informācijas sistēm</w:t>
            </w:r>
            <w:r w:rsidR="00000000" w:rsidRPr="00000000" w:rsidDel="00000000">
              <w:rPr>
                <w:b w:val="1"/>
                <w:u w:val="single"/>
                <w:rtl w:val="0"/>
              </w:rPr>
              <w:t xml:space="preserve">ā</w:t>
            </w:r>
            <w:r w:rsidR="00000000" w:rsidRPr="00000000" w:rsidDel="00000000">
              <w:rPr>
                <w:strike w:val="1"/>
                <w:rtl w:val="0"/>
              </w:rPr>
              <w:t xml:space="preserve">as</w:t>
            </w:r>
            <w:r w:rsidR="00000000" w:rsidRPr="00000000" w:rsidDel="00000000">
              <w:rPr>
                <w:b w:val="1"/>
                <w:u w:val="single"/>
                <w:rtl w:val="0"/>
              </w:rPr>
              <w:t xml:space="preserve"> pirms jebkura dokumenta nosūtīšanas pārliecinās par oficiālās alektroniskās adreses aktivizāciju</w:t>
            </w:r>
            <w:r w:rsidR="00000000" w:rsidRPr="00000000" w:rsidDel="00000000">
              <w:rPr>
                <w:rtl w:val="0"/>
              </w:rPr>
              <w:t xml:space="preserve">. Ja personai nav aktivizēts elektroniskās adreses konts, zvērināts notārs nosūta rakstisku paziņojumu uz fiziskās personas </w:t>
            </w:r>
            <w:r w:rsidR="00000000" w:rsidRPr="00000000" w:rsidDel="00000000">
              <w:rPr>
                <w:strike w:val="1"/>
                <w:rtl w:val="0"/>
              </w:rPr>
              <w:t xml:space="preserve">deklarēto dzīvesvietu vai citu</w:t>
            </w:r>
            <w:r w:rsidR="00000000" w:rsidRPr="00000000" w:rsidDel="00000000">
              <w:rPr>
                <w:rtl w:val="0"/>
              </w:rPr>
              <w:t xml:space="preserve"> Fizisko personu reģistrā </w:t>
            </w:r>
            <w:r w:rsidR="00000000" w:rsidRPr="00000000" w:rsidDel="00000000">
              <w:rPr>
                <w:b w:val="1"/>
                <w:u w:val="single"/>
                <w:rtl w:val="0"/>
              </w:rPr>
              <w:t xml:space="preserve"> deklarēto, reģistrēto vai personas norādīto dzīvesvietas </w:t>
            </w:r>
            <w:r w:rsidR="00000000" w:rsidRPr="00000000" w:rsidDel="00000000">
              <w:rPr>
                <w:rtl w:val="0"/>
              </w:rPr>
              <w:t xml:space="preserve">adresi, </w:t>
            </w:r>
            <w:r w:rsidR="00000000" w:rsidRPr="00000000" w:rsidDel="00000000">
              <w:rPr>
                <w:b w:val="1"/>
                <w:u w:val="single"/>
                <w:rtl w:val="0"/>
              </w:rPr>
              <w:t xml:space="preserve">kā arī papildadresi</w:t>
            </w:r>
            <w:r w:rsidR="00000000" w:rsidRPr="00000000" w:rsidDel="00000000">
              <w:rPr>
                <w:rtl w:val="0"/>
              </w:rPr>
              <w:t xml:space="preserve">,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w:t>
            </w:r>
            <w:r w:rsidR="00000000" w:rsidRPr="00000000" w:rsidDel="00000000">
              <w:rPr>
                <w:b w:val="1"/>
                <w:u w:val="single"/>
                <w:rtl w:val="0"/>
              </w:rPr>
              <w:t xml:space="preserve">Fizisko personu reģistrā  deklarēto, reģistrēto vai personas norādīto dzīvesvietas adresi, kā arī papildadresi</w:t>
            </w:r>
            <w:r w:rsidR="00000000" w:rsidRPr="00000000" w:rsidDel="00000000">
              <w:rPr>
                <w:rtl w:val="0"/>
              </w:rPr>
              <w:t xml:space="preserve">  un citu mantojuma lietā zināmo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precizēts atbilstoši Oficiālās elektroniskās adreses likuma, Fizisko personu reģistra likuma un Dzīvesvietas deklarēšanas likuma regulējumam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tā ir aktivizēta, par to pārliecinoties oficiālo elektronisko adrešu informācijas sistēmā. Ja personai nav aktivizēts elektroniskās adreses konts, zvērināts notārs nosūta rakstisku paziņojumu uz fiziskās personas Fizisko personu reģistrā  deklarēto, reģistrēto vai personas norādīto dzīvesvietas adresi, kā arī papildadresi,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tā ir aktivizēta, par to pārliecinoties oficiālo elektronisko adrešu informācijas sistēmā. Ja personai nav aktivizēts elektroniskās adreses konts, zvērināts notārs nosūta rakstisku paziņojumu uz fiziskās personas Fizisko personu reģistrā  deklarēto, reģistrēto vai personas norādīto dzīvesvietas adresi, kā arī papildadresi,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nosūta tiem paziņojumus šo noteikumu 14. punktā noteiktajā kārtībā. Ja iesniegumu par mantojuma pieņemšanu jau ir iesnieguši tuvāki mantinieki, tālākiem mantiniekiem zvērināts notārs Notariāta likuma 259.</w:t>
            </w:r>
            <w:r w:rsidR="00000000" w:rsidRPr="00000000" w:rsidDel="00000000">
              <w:rPr>
                <w:vertAlign w:val="superscript"/>
                <w:rtl w:val="0"/>
              </w:rPr>
              <w:t xml:space="preserve">1</w:t>
            </w:r>
            <w:r w:rsidR="00000000" w:rsidRPr="00000000" w:rsidDel="00000000">
              <w:rPr>
                <w:rtl w:val="0"/>
              </w:rPr>
              <w:t xml:space="preserve"> pantā noteikto paziņojumu nesūta. Ja iesniegumu par mantojuma pieņemšanu iesniedzis testamentārais vai līgumiskais mantinieks, Notariāta likuma 259.</w:t>
            </w:r>
            <w:r w:rsidR="00000000" w:rsidRPr="00000000" w:rsidDel="00000000">
              <w:rPr>
                <w:vertAlign w:val="superscript"/>
                <w:rtl w:val="0"/>
              </w:rPr>
              <w:t xml:space="preserve">1</w:t>
            </w:r>
            <w:r w:rsidR="00000000" w:rsidRPr="00000000" w:rsidDel="00000000">
              <w:rPr>
                <w:rtl w:val="0"/>
              </w:rPr>
              <w:t xml:space="preserve"> panta 2. punkta prasības ir izpildītas, ja zvērināts notārs ir nosūtījis paziņojumu visām pēdējās gribas rīkojumā minētajām personām, neatņemamās daļas tiesīgajiem un Civillikuma 637. pantā noteiktajiem mantiniekiem.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apakšpunktā ietvertais 14.</w:t>
            </w:r>
            <w:r w:rsidR="00000000" w:rsidRPr="00000000" w:rsidDel="00000000">
              <w:rPr>
                <w:vertAlign w:val="superscript"/>
                <w:rtl w:val="0"/>
              </w:rPr>
              <w:t xml:space="preserve">1</w:t>
            </w:r>
            <w:r w:rsidR="00000000" w:rsidRPr="00000000" w:rsidDel="00000000">
              <w:rPr>
                <w:rtl w:val="0"/>
              </w:rPr>
              <w:t xml:space="preserve"> punkts nosaka, ka  zvērināts notārs noskaidro Fizisko personu reģistrā mantot aicināmos līdz trešajai šķirai. Vēlamies norādīt, ka var pastāvēt situācija, ka Fizisko personu reģistrā nebūs konstatējama radniecība līdz trešajai šķirai, piemēram, personas datu iekļaušanas brīdī var nenorādīt ziņas par tās pilngadīgajiem bērniem (Fizisko personu reģistra likuma 11.panta piektā daļa) vai arī var pastāvēt situācija, kad personas bērniem, vecākiem vai laulātajam nav piešķirts personas kods, jo personai nav noteikts tiesiskais statuss Latvijas Republikā un nav tiesiskas saiknes ar Latviju. Līdz ar to pastāv iespējamība, ka konstatēt radniecību ar citām personām attiecīgajā radniecības šķirā Fizisko personu reģistrā nebūs iespējams. Tādējādi tiks veikta plaša personas datu apstrāde, kas rezultātā var nesasniegt paredzēto mērķi. Līdz ar to ir nepieciešams paredzēt iespēju par šo informāciju zvērinātam notāram pārliecināties arī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noteikumu projekta 1.4. apakšpunktā ietvertais 14.</w:t>
            </w:r>
            <w:r w:rsidR="00000000" w:rsidRPr="00000000" w:rsidDel="00000000">
              <w:rPr>
                <w:vertAlign w:val="superscript"/>
                <w:rtl w:val="0"/>
              </w:rPr>
              <w:t xml:space="preserve">1</w:t>
            </w:r>
            <w:r w:rsidR="00000000" w:rsidRPr="00000000" w:rsidDel="00000000">
              <w:rPr>
                <w:rtl w:val="0"/>
              </w:rPr>
              <w:t xml:space="preserve"> 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mantojuma lietu vešanas procesu atbilstoši grozījumiem Notariāta likumā un Civillikumā, kas stāsies spēkā 2025. gada 1. janvārī. Citi grozījumi, kas noteiktu zvērināta notāra pienākumus atšķirīgus no likumos noteiktā nav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Notariāta likumā, kas stāsies spēkā 2025. gada 1. janvārī 259.</w:t>
            </w:r>
            <w:r w:rsidR="00000000" w:rsidRPr="00000000" w:rsidDel="00000000">
              <w:rPr>
                <w:vertAlign w:val="superscript"/>
                <w:rtl w:val="0"/>
              </w:rPr>
              <w:t xml:space="preserve">1</w:t>
            </w:r>
            <w:r w:rsidR="00000000" w:rsidRPr="00000000" w:rsidDel="00000000">
              <w:rPr>
                <w:rtl w:val="0"/>
              </w:rPr>
              <w:t xml:space="preserve"> panta 2. punktu noteikts, ka pēc mantojuma lietas uzsākšanas zvērināts notārs noskaidro fizisko personu reģistrā mantot aicinātos līdz trešajai šķirai ieskaitot un pārdzīvojušo laulāto un informē viņus par mantojuma izsludināšanu ar elektroniski parakstītu vēstuli, ja ir aktivizēta oficiālā elektroniskā adrese, kā arī nosūtot vēstuli uz deklarēto dzīvesvietu un citu mantojuma lietā zināmo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likums skaidri definē zvērināta notāra pienākumu apjomu, Iekšlietu ministrijas iebildums nevar tik ņemts vērā, jo Ministru kabineta noteikumi nevar nedz paplašināt, nedz sašaurināt likumā noteikto regulējumu, proti, nav iespējams paredzēt atšķirīgu regulējumu, kas būtu pretēji likumdevēja pieņemtajam.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nosūta tiem paziņojumus šo noteikumu 14. punktā noteiktajā kārtībā. Ja iesniegumu par mantojuma pieņemšanu jau ir iesnieguši tuvāki mantinieki, tālākiem mantiniekiem zvērināts notārs Notariāta likuma 259.</w:t>
            </w:r>
            <w:r w:rsidR="00000000" w:rsidRPr="00000000" w:rsidDel="00000000">
              <w:rPr>
                <w:vertAlign w:val="superscript"/>
                <w:rtl w:val="0"/>
              </w:rPr>
              <w:t xml:space="preserve">1</w:t>
            </w:r>
            <w:r w:rsidR="00000000" w:rsidRPr="00000000" w:rsidDel="00000000">
              <w:rPr>
                <w:rtl w:val="0"/>
              </w:rPr>
              <w:t xml:space="preserve"> pantā noteikto paziņojumu nesūta. Ja iesniegumu par mantojuma pieņemšanu iesniedzis testamentārais vai līgumiskais mantinieks, Notariāta likuma 259.</w:t>
            </w:r>
            <w:r w:rsidR="00000000" w:rsidRPr="00000000" w:rsidDel="00000000">
              <w:rPr>
                <w:vertAlign w:val="superscript"/>
                <w:rtl w:val="0"/>
              </w:rPr>
              <w:t xml:space="preserve">1</w:t>
            </w:r>
            <w:r w:rsidR="00000000" w:rsidRPr="00000000" w:rsidDel="00000000">
              <w:rPr>
                <w:rtl w:val="0"/>
              </w:rPr>
              <w:t xml:space="preserve"> panta 2. punkta prasības ir izpildītas, ja zvērināts notārs ir nosūtījis paziņojumu visām pēdējās gribas rīkojumā minētajām personām, neatņemamās daļas tiesīgajiem un Civillikuma 637. pantā noteiktajiem mantiniekiem.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Mantojuma atstājēja un mantinieka radniecības faktu apliecina ieraksts Fizisko personu reģistrā vai dzimtsarakstu iestādes izsniegta dzimšanas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reģistra likuma 11.pantā noteiktajam Fizisko personu reģistrā par personu netiek iekļautas ziņas par personas radniecības faktu un radniecības veidu - brālis (pusbrālis), māsa (pusmāsa) un vecvecākiem. Šādas ziņas ir iegūstamas, apstrādājot personas abu vecāku datus, secīgi ziņas par vecāku bērniem un vecākiem, ja nepieciešams apzināt personas vecvecāku vai brāli (pusbrāli), vai māsu (pusmāsu) un attiecīgu radniecību līdz trešajai radniecības šķirai.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ir papildināms ar jaunu punktu, izsakot Ministru kabineta 2008. gada 4. augusta noteikumu Nr. 618 "Noteikumi par mantojuma reģistra un mantojuma lietu vešanu"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kas izsaka noteikumu 25. punktu jaunā redakcijā atbilstoši iebildumā izteiktajam ierosinājumam.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precizēta atbilstoši Fizisko personu reģitra likumā un Dzīvesvietas deklarēšanas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atstājēja pēdējo </w:t>
            </w:r>
            <w:r w:rsidR="00000000" w:rsidRPr="00000000" w:rsidDel="00000000">
              <w:rPr>
                <w:b w:val="1"/>
                <w:u w:val="single"/>
                <w:rtl w:val="0"/>
              </w:rPr>
              <w:t xml:space="preserve">Fizisko personu reģistrā  deklarēto, reģistrēto vai personas norādīto </w:t>
            </w:r>
            <w:r w:rsidR="00000000" w:rsidRPr="00000000" w:rsidDel="00000000">
              <w:rPr>
                <w:rtl w:val="0"/>
              </w:rPr>
              <w:t xml:space="preserve">dzīvesvietu </w:t>
            </w:r>
            <w:r w:rsidR="00000000" w:rsidRPr="00000000" w:rsidDel="00000000">
              <w:rPr>
                <w:b w:val="1"/>
                <w:u w:val="single"/>
                <w:rtl w:val="0"/>
              </w:rPr>
              <w:t xml:space="preserve">vai papildadresi </w:t>
            </w:r>
            <w:r w:rsidR="00000000" w:rsidRPr="00000000" w:rsidDel="00000000">
              <w:rPr>
                <w:rtl w:val="0"/>
              </w:rPr>
              <w:t xml:space="preserve">apliecina valsts vai pašvaldības iestādes izziņa vai izdruka no Fizisko personu reģistra. Mantinieka dzīvesvietu mantojuma atklāšanās brīdī apliecina pašvaldības iestādes izziņa vai izdruka no Fizisko personu reģistra p</w:t>
            </w:r>
            <w:r w:rsidR="00000000" w:rsidRPr="00000000" w:rsidDel="00000000">
              <w:rPr>
                <w:b w:val="1"/>
                <w:u w:val="single"/>
                <w:rtl w:val="0"/>
              </w:rPr>
              <w:t xml:space="preserve">ar Fizisko personu reģistrā  deklarēto, reģistrēto vai personas norādīto dzīvesvietu vai papildadresi </w:t>
            </w:r>
            <w:r w:rsidR="00000000" w:rsidRPr="00000000" w:rsidDel="00000000">
              <w:rPr>
                <w:rtl w:val="0"/>
              </w:rPr>
              <w:t xml:space="preserve">,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Notariāta likuma 252.- 253.</w:t>
            </w:r>
            <w:r w:rsidR="00000000" w:rsidRPr="00000000" w:rsidDel="00000000">
              <w:rPr>
                <w:vertAlign w:val="superscript"/>
                <w:rtl w:val="0"/>
              </w:rPr>
              <w:t xml:space="preserve">1</w:t>
            </w:r>
            <w:r w:rsidR="00000000" w:rsidRPr="00000000" w:rsidDel="00000000">
              <w:rPr>
                <w:rtl w:val="0"/>
              </w:rPr>
              <w:t xml:space="preserve"> pantu mantošanas iesniegumu iesniedz zvērinātam notāram, kas praktizē tajā apgabaltiesas darbības teritorijā, kur bija mantojuma atstājēja pēdējā deklarētā dzīvesvieta, bet, ja tā nav zināma, — pēc mantojamās mantas vai tās galvenās daļas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Mantošanas iesniegumā iesniedzējs norāda mantojuma atstājēja vārdu un uzvārdu, personas kodu, viņa nāves dienu un pēdējo deklarēto dzīvesvietu, bet, ja tā nav zināma, — mantojamās mantas vai tās galvenās daļas atrašanās vietu.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Notariāta likums attiecībā uz mantojuma atstājēju skaidri noteic, ka vērā ņemama ir tieši pēdējā deklarētā dzīvesvieta, Ministru kabineta noteikumu projekts nevar paredzēt atšķirīgu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Tiklīdz uzsākta mantojuma lieta zvērināts notārs izsludina mantojuma atklāšanos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Vēstnesis ir elektronisks, tāpēc sludinājumam ir iespējams un ir nepieciešams nodrošināt strukturētu datu lauku formātu, kas atļauj samazināt manuālās darbības visiem iesaistītajiem un ieinteresētajiem.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uzsākta mantojuma lieta zvērināts notārs izsludina mantojuma atklāšanos oficiālajā izdevumā “Latvijas Vēstnesis”, </w:t>
            </w:r>
            <w:r w:rsidR="00000000" w:rsidRPr="00000000" w:rsidDel="00000000">
              <w:rPr>
                <w:u w:val="single"/>
                <w:rtl w:val="0"/>
              </w:rPr>
              <w:t xml:space="preserve">nosūtot sludinājumu strukturētu datu lauku veidā, atbilstoši "Latvijas Vēstneša"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punkts, par kuru izteikts iebildums,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iebilduma neņemšanai vērā ietverti pie iebilduma Nr. 2 un Nr.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LPS iebildums pašreiz nav ņemams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Tiklīdz uzsākta mantojuma lieta zvērināts notārs izsludina mantojuma atklāšanos oficiālajā izdevumā “Latvijas Vēstnesis”.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w:t>
            </w:r>
            <w:r w:rsidR="00000000" w:rsidRPr="00000000" w:rsidDel="00000000">
              <w:rPr>
                <w:vertAlign w:val="superscript"/>
                <w:rtl w:val="0"/>
              </w:rPr>
              <w:t xml:space="preserve">3</w:t>
            </w:r>
            <w:r w:rsidR="00000000" w:rsidRPr="00000000" w:rsidDel="00000000">
              <w:rPr>
                <w:rtl w:val="0"/>
              </w:rP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un personai, pēc kuras iesnieguma mantojuma lieta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86.punkta redakciju paredzot, ka informāciju izsniedz arī tiem kreditoriem, par kuriem ziņas mantojuma lietā iekļāvis notārs.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grozījumi paredz, ka par kreditoriem, kuru prasījumi nodrošināti ar hipotēku vai komercķīlu, mantiniekus informē notārs, kurš ved mantojuma lietu (CL 705.pants), proti, nodrošinātajiem kreditoriem nav jāpiesaka savas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Notariāta likuma 259.</w:t>
            </w:r>
            <w:r w:rsidR="00000000" w:rsidRPr="00000000" w:rsidDel="00000000">
              <w:rPr>
                <w:vertAlign w:val="superscript"/>
                <w:rtl w:val="0"/>
              </w:rPr>
              <w:t xml:space="preserve">3</w:t>
            </w:r>
            <w:r w:rsidR="00000000" w:rsidRPr="00000000" w:rsidDel="00000000">
              <w:rPr>
                <w:rtl w:val="0"/>
              </w:rPr>
              <w:t xml:space="preserve"> pants, kas nosaka kādas ziņas zvērināts notārs izsniedz kreditoriem, nodala kreditorus, kas iesnieguši pretenzijas mantojuma lietā, no nodrošinātajiem kreditoriem jeb kreditoriem, par kuriem ziņas mantojuma lietā iekļāvis notārs.  Vadoties no šīs normas teksta, nodrošinātajiem kreditoriem neskaidru iemeslu dēļ nav paredzēts izsniegt mantojuma apliecībā ietvertās ziņas, kaut attiecīgā informācija ir nepieciešama kreditoru tiesību realizācijai. Šādā gadījumā savu tiesību un interešu aizsardzībai nodrošinātie kreditori būs spiesti pieteikt kreditoru pretenzijas, kas neatbilst Augstākās tiesas sniegtajai interpretācijai, ka ir jāpiesaka tie kreditoru prasījumi, kuri mantiniekam nav zināmi un Zemesgrāmatā ierakstītie hipotekārie prasījumi ir uzskatāmi par mantiniekam zināmiem.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nodrošinātajiem kreditoriem, par kuriem ziņas mantojuma lietā iekļāvis notārs, būtu jāsaņem attiecīgā informācija bez atsevišķa lūguma izteikšanas.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w:t>
            </w:r>
            <w:r w:rsidR="00000000" w:rsidRPr="00000000" w:rsidDel="00000000">
              <w:rPr>
                <w:u w:val="single"/>
                <w:rtl w:val="0"/>
              </w:rPr>
              <w:t xml:space="preserve">vai par kuriem ziņas mantojuma lietā iekļāvis notār</w:t>
            </w:r>
            <w:r w:rsidR="00000000" w:rsidRPr="00000000" w:rsidDel="00000000">
              <w:rPr>
                <w:rtl w:val="0"/>
              </w:rPr>
              <w:t xml:space="preserve">s,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259.3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w:t>
            </w:r>
            <w:r w:rsidR="00000000" w:rsidRPr="00000000" w:rsidDel="00000000">
              <w:rPr>
                <w:u w:val="single"/>
                <w:rtl w:val="0"/>
              </w:rPr>
              <w:t xml:space="preserve">vai par kuriem ziņas mantojuma lietā iekļāvis notārs</w:t>
            </w:r>
            <w:r w:rsidR="00000000" w:rsidRPr="00000000" w:rsidDel="00000000">
              <w:rPr>
                <w:rtl w:val="0"/>
              </w:rPr>
              <w:t xml:space="preserve">, un personai, pēc kuras iesnieguma mantojuma lieta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86.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un kreditoriem, par kuriem ziņas mantojuma lietā iekļāvis zvērināts notārs,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w:t>
            </w:r>
            <w:r w:rsidR="00000000" w:rsidRPr="00000000" w:rsidDel="00000000">
              <w:rPr>
                <w:vertAlign w:val="superscript"/>
                <w:rtl w:val="0"/>
              </w:rPr>
              <w:t xml:space="preserve">3</w:t>
            </w:r>
            <w:r w:rsidR="00000000" w:rsidRPr="00000000" w:rsidDel="00000000">
              <w:rPr>
                <w:rtl w:val="0"/>
              </w:rP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kreditoriem, par kuriem ziņas mantojuma lietā iekļāvis zvērināts notārs, un personai, pēc kuras iesnieguma mantojuma lieta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un kreditoriem, par kuriem ziņas mantojuma lietā iekļāvis zvērināts notārs,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w:t>
            </w:r>
            <w:r w:rsidR="00000000" w:rsidRPr="00000000" w:rsidDel="00000000">
              <w:rPr>
                <w:vertAlign w:val="superscript"/>
                <w:rtl w:val="0"/>
              </w:rPr>
              <w:t xml:space="preserve">3</w:t>
            </w:r>
            <w:r w:rsidR="00000000" w:rsidRPr="00000000" w:rsidDel="00000000">
              <w:rPr>
                <w:rtl w:val="0"/>
              </w:rP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kreditoriem, par kuriem ziņas mantojuma lietā iekļāvis zvērināts notārs, un personai, pēc kuras iesnieguma mantojuma lieta uzsākta.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termiņu trūkumu novēršanai. Ja kreditors trūkumus nenovērš, uzskatāms, ka pretenzija nav iesniegta termiņā, tā ir dzēšama un nav norādāma mantojuma apliecībā. Kreditora iesniegumu pievieno mantojuma lietai.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w:t>
            </w:r>
            <w:r w:rsidR="00000000" w:rsidRPr="00000000" w:rsidDel="00000000">
              <w:rPr>
                <w:vertAlign w:val="superscript"/>
                <w:rtl w:val="0"/>
              </w:rPr>
              <w:t xml:space="preserve">1</w:t>
            </w:r>
            <w:r w:rsidR="00000000" w:rsidRPr="00000000" w:rsidDel="00000000">
              <w:rPr>
                <w:rtl w:val="0"/>
              </w:rPr>
              <w:t xml:space="preserve"> punktu nosakot, ka trūkumu novēršanai ir jādod </w:t>
            </w:r>
            <w:r w:rsidR="00000000" w:rsidRPr="00000000" w:rsidDel="00000000">
              <w:rPr>
                <w:u w:val="single"/>
                <w:rtl w:val="0"/>
              </w:rPr>
              <w:t xml:space="preserve">saprātīgs</w:t>
            </w:r>
            <w:r w:rsidR="00000000" w:rsidRPr="00000000" w:rsidDel="00000000">
              <w:rPr>
                <w:rtl w:val="0"/>
              </w:rPr>
              <w:t xml:space="preserve"> termiņš. Jēdziens ir lietots arī esošajā tiesiskājā regulējumā (CL) un kā risinājums ir pazīstams tiesību sistēmā un tiesību zinātnē. Tas ļauj izvairīties no gadīījumiem, kad kādu (iespējams) subjektīvu apsvērumu dēļ noteiktais termiņš ir faktiski neadekvāts trūkumu novēršanai, sniedzot arī priekšrakstu (ietvaru) tiesību normas piemērotājam sprātīgai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w:t>
            </w:r>
            <w:r w:rsidR="00000000" w:rsidRPr="00000000" w:rsidDel="00000000">
              <w:rPr>
                <w:u w:val="single"/>
                <w:rtl w:val="0"/>
              </w:rPr>
              <w:t xml:space="preserve">saprātīgu</w:t>
            </w:r>
            <w:r w:rsidR="00000000" w:rsidRPr="00000000" w:rsidDel="00000000">
              <w:rPr>
                <w:rtl w:val="0"/>
              </w:rPr>
              <w:t xml:space="preserve"> termiņu trūkumu novēršanai. Ja kreditors trūkumus nenovērš, uzskatāms, ka pretenzija nav iesniegta termiņā, tā ir dzēšama un nav norādāma mantojuma apliecībā. Kreditora iesniegumu pievieno mantojuma lietai."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86.</w:t>
            </w:r>
            <w:r w:rsidR="00000000" w:rsidRPr="00000000" w:rsidDel="00000000">
              <w:rPr>
                <w:vertAlign w:val="superscript"/>
                <w:rtl w:val="0"/>
              </w:rPr>
              <w:t xml:space="preserve">1</w:t>
            </w:r>
            <w:r w:rsidR="00000000" w:rsidRPr="00000000" w:rsidDel="00000000">
              <w:rPr>
                <w:rtl w:val="0"/>
              </w:rPr>
              <w:t xml:space="preserve">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w:t>
            </w:r>
            <w:r w:rsidR="00000000" w:rsidRPr="00000000" w:rsidDel="00000000">
              <w:rPr>
                <w:vertAlign w:val="superscript"/>
                <w:rtl w:val="0"/>
              </w:rPr>
              <w:t xml:space="preserve">2</w:t>
            </w:r>
            <w:r w:rsidR="00000000" w:rsidRPr="00000000" w:rsidDel="00000000">
              <w:rPr>
                <w:rtl w:val="0"/>
              </w:rPr>
              <w:t xml:space="preserve"> punktu par to, ka notārs pārbauda ierakstus arī VZD Kadastra reģistrā, jo arī tur joprojām ir reģistrēti nekustamie īpašumi, tostarp ķīlas tiesības. Atbilstoši likuma "Par valsts un pašvaldību dzīvojamo māju privatizaciju” 73.</w:t>
            </w:r>
            <w:r w:rsidR="00000000" w:rsidRPr="00000000" w:rsidDel="00000000">
              <w:rPr>
                <w:vertAlign w:val="superscript"/>
                <w:rtl w:val="0"/>
              </w:rPr>
              <w:t xml:space="preserve">8</w:t>
            </w:r>
            <w:r w:rsidR="00000000" w:rsidRPr="00000000" w:rsidDel="00000000">
              <w:rPr>
                <w:rtl w:val="0"/>
              </w:rPr>
              <w:t xml:space="preserve"> panta pirmajai daļai reģistrācija VZD Kadastra reģistrā pēc juridiskām sekām pielīdzināma reģistrācijai zemesgrāmatā. VZD Kadastra reģistrā ir reģistrētas arī ķīlas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w:t>
            </w:r>
            <w:r w:rsidR="00000000" w:rsidRPr="00000000" w:rsidDel="00000000">
              <w:rPr>
                <w:u w:val="single"/>
                <w:rtl w:val="0"/>
              </w:rPr>
              <w:t xml:space="preserve">Valsts zemes dienesta Kadastra reģistrā,</w:t>
            </w:r>
            <w:r w:rsidR="00000000" w:rsidRPr="00000000" w:rsidDel="00000000">
              <w:rPr>
                <w:rtl w:val="0"/>
              </w:rPr>
              <w:t xml:space="preserve">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Notariāta likumā, kas stāsies spēkā 2025. gada 1. janvārī, 259.</w:t>
            </w:r>
            <w:r w:rsidR="00000000" w:rsidRPr="00000000" w:rsidDel="00000000">
              <w:rPr>
                <w:vertAlign w:val="superscript"/>
                <w:rtl w:val="0"/>
              </w:rPr>
              <w:t xml:space="preserve">1</w:t>
            </w:r>
            <w:r w:rsidR="00000000" w:rsidRPr="00000000" w:rsidDel="00000000">
              <w:rPr>
                <w:rtl w:val="0"/>
              </w:rPr>
              <w:t xml:space="preserve"> panta 4. punktu noteikts, ka pēc mantojuma lietas uzsākšanas zvērināts notārs pēc Valsts vienotajā datorizētajā zemesgrāmatā, Komercķīlu reģistrā un Kredītu reģistrā pieejamās informācijas noskaidro mantojuma atstājēja kreditorus, kuru prasījumi ir nodrošināti ar hipotēku vai komercķīlu.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ka likums skaidri definē zvērināta notāra pienākumu apjomu, tajā skaitā, uzskaitot, kurās informācijas sistēmās noskaidrojami mantojuma atstājēja kreditori, kuru prasījumi ir nodrošināti ar hipotēku vai komercķīlu, iebildums nevar tik ņemts vērā, jo Ministru kabineta noteikumi nevar nedz paplašināt, nedz sašaurināt likumā noteikto regulējumu, proti, nav iespējams paredzēt atšķirīgu regulējumu, kas būtu pretēji likumdevēja pieņemtajam.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pieprasīts sastādīt mantojuma sarakstu zvērinātam tiesu izpildītājam, tad mantojuma lietā noskaidroto mantu un tās vērtību ir noteikti jāizsniedz, nevis jāparedz papildus birokrātiskais logs, ka šie dati ir atsevišķi jāpieprasa.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kāds no mantiniekiem vai kreditoriem pieprasa zvērināta tiesu izpildītāja sastādītu mantojuma sarakstu, zvērināts notārs izsniedz attiecīgu aicinājumu, kā arī </w:t>
            </w:r>
            <w:r w:rsidR="00000000" w:rsidRPr="00000000" w:rsidDel="00000000">
              <w:rPr>
                <w:strike w:val="1"/>
                <w:rtl w:val="0"/>
              </w:rPr>
              <w:t xml:space="preserve">pēc zvērināta tiesu izpildītāja pieprasījuma ir tiesīgs tam</w:t>
            </w:r>
            <w:r w:rsidR="00000000" w:rsidRPr="00000000" w:rsidDel="00000000">
              <w:rPr>
                <w:rtl w:val="0"/>
              </w:rPr>
              <w:t xml:space="preserve"> izsnie</w:t>
            </w:r>
            <w:r w:rsidR="00000000" w:rsidRPr="00000000" w:rsidDel="00000000">
              <w:rPr>
                <w:b w:val="1"/>
                <w:u w:val="single"/>
                <w:rtl w:val="0"/>
              </w:rPr>
              <w:t xml:space="preserve">dz</w:t>
            </w:r>
            <w:r w:rsidR="00000000" w:rsidRPr="00000000" w:rsidDel="00000000">
              <w:rPr>
                <w:rtl w:val="0"/>
              </w:rPr>
              <w:t xml:space="preserve"> </w:t>
            </w:r>
            <w:r w:rsidR="00000000" w:rsidRPr="00000000" w:rsidDel="00000000">
              <w:rPr>
                <w:strike w:val="1"/>
                <w:rtl w:val="0"/>
              </w:rPr>
              <w:t xml:space="preserve">gt</w:t>
            </w:r>
            <w:r w:rsidR="00000000" w:rsidRPr="00000000" w:rsidDel="00000000">
              <w:rPr>
                <w:rtl w:val="0"/>
              </w:rPr>
              <w:t xml:space="preserve"> ziņas par mantojuma lietā noskaidroto mantu un tās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šajā normā runa nav par datiem, bet strīdu novēršanu. Proti, strīdus situācijas iespējamas tieši par pašu mantinieku mantojuma sarakstā, kas iesniegts zvērinātam notāram, ietverto novērtējumu un mantas sarakstu. Attiecīgi šādos gadījumos regulējums paredz zvērināta tiesu izpildītāja iesaisti, kurš apzina un novērtē mantu neatkarīgi no jau zvērinātam notāram iesniegtās informācijas. Zvērināts tiesu izpildītājs darbojas patstāvīgi ar mantiniekiem, kuri viņam iesniedz visu informāciju, bet tikai tad, ja rodas nepieciešamība, tiesu izpildītājs sazinās ar notāru, tas ir, mantojuma atstājējam piederējušas mantas ārvalstīs gadījumā – zvērināts tiesu izpildītājs lūgs zvērinātu notāram izdarīt attiecīgus pieprasījumus ārvalstu institūcijām, atbilstoši Eiropas Parlamenta un Padomes Regulai (ES) Nr. 650/2012 (2012. gada 4. jūlijs) par jurisdikciju, piemērojamiem tiesību aktiem, nolēmumu atzīšanu un izpildi un publisku aktu akceptēšanu un izpildi mantošanas lietās un par Eiropas mantošanas apliecības izveidi (zvērināti tiesu izpildītāji nav šīs regulas tvērumā, līdz ar ko nav tiesīgi izdarīt pieprasījumus, pamatojoties uz to). Tādējādi šiem gadījumiem attiecīgais noteikumu punkts izstrādāts, lai noteiktu zvērināta notāra tiesības, pamatojoties uz zvērināts tiesu izpildītājs lūgumu izsniegt tā rīcībā esošās ziņas par mantojuma atstājējam piederošu mantu, kas atrodas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grozījumi Civillikumā, kas stāsies spēkā 2025. gada 1. janvārī, paredz, ka šie saraksti ir veidojami atsevišķi, proti, noteiktas divas iespējas sastādīt mantojuma sarakstu – vai nu mantiniekiem vai zvērinātam tiesu izpildītājam. Tādējādi zvērināta tiesu izpildītāja mantojuma saraksts ir atsevišķs, uz to pilnvarotas amatpersonas sastādīts akts, par kura saturu atbild pats zvērināts tiesu izpildītājs. Norādāms, ka  Civillikums neparedz nekādu apvienoto kopsarakstu, par kuru neviens neatbild, jo neviens nav tā īstais sagatavotājs. Attiecīgi Ministru kabineta noteikumi nevar nedz paplašināt, nedz sašaurināt likumā noteikto regulējumu, proti, nav iespējams paredzēt atšķirīgu regulējumu, kas būtu pretēji likumdevēja pieņemtajam.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Ministru kabineta noteikumu projektā "Grozījumi Ministru kabineta 2019. gada 19. novembra noteikumos Nr. 543 "Mantojuma inventāra saraksta sastādīšanas kārtība"" noteiks, ka zvērināts notārs aicinājumam sastādīt mantojuma sarakstu pievienos arī informācijai mantinieku sastādītu mantojuma sarakstu, ko zvērināts tiesu izpildītājs varēs izmantot vai neizmantot pēc saviem ieskatiem.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notārs apstiprina mantiniekus mantojuma tiesībās </w:t>
            </w:r>
            <w:r w:rsidR="00000000" w:rsidRPr="00000000" w:rsidDel="00000000">
              <w:rPr>
                <w:b w:val="1"/>
                <w:u w:val="single"/>
                <w:rtl w:val="0"/>
              </w:rPr>
              <w:t xml:space="preserve">visos gadījumos, kad mantinieki izteikuši gribu pieņemt mantojumu un  tiesības mantot ir pierādītas, izdarot attiecīgu ierakstu Mantojuma reģistrā,  </w:t>
            </w:r>
            <w:r w:rsidR="00000000" w:rsidRPr="00000000" w:rsidDel="00000000">
              <w:rPr>
                <w:rtl w:val="0"/>
              </w:rPr>
              <w:t xml:space="preserve">arī gadījumos, ja nav konstatēta mantojuma atstājējam piederoša manta, bet mantinieks lūdzis mantojuma apliecības izsniegšanu. </w:t>
            </w:r>
            <w:r w:rsidR="00000000" w:rsidRPr="00000000" w:rsidDel="00000000">
              <w:rPr>
                <w:b w:val="1"/>
                <w:u w:val="single"/>
                <w:rtl w:val="0"/>
              </w:rPr>
              <w:t xml:space="preserve">Mantojuma apliecību var izsniegt tikai pēc mantinieka apstiprināšanas mantojuma tiesībās un attiecīga ieraksta izdarīšanas Mantojuma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izteiktā iebilduma nav skaidrs tā mērķis, jo jau pašreiz mantojuma apliecība tiek izsniegta pēc mantojuma pieņemšanas termiņa beigām un mantojuma tiesībās apstiprina mantiniekus, kuri noteiktajā termiņā un kārtībā izteikuši gribu pieņemt mantojumu un pierādījuši savas mantojuma tiesības. Mantinieki, kuri nav pierādījuši savas mantojuma tiesības, mantojuma tiesībās netiek apstiprināti un netiek ņemti vērā, nosakot mantojuma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Civillikuma 694. pants redakcijā, kas stāsies spēkā 2025. gada 1. janvārī noteic, ja mantinieks izteicis gribu notāram un pierādījis savas tiesības, pēc sludinājumā par mantojuma atklāšanos norādītā termiņa notecējuma atzīstams, ka viņš mantojumu pieņēmis. Tādējādi šādas personas būs uzskatāmas par mantiniekiem un apstiprināšana šī iebilduma kontekstā būs formāla. Proti, ar mantojuma apliecību mantinieki tikai leģitimizē savu mantinieku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vērst uzmanību, ka Notariāta likuma 259.</w:t>
            </w:r>
            <w:r w:rsidR="00000000" w:rsidRPr="00000000" w:rsidDel="00000000">
              <w:rPr>
                <w:vertAlign w:val="superscript"/>
                <w:rtl w:val="0"/>
              </w:rPr>
              <w:t xml:space="preserve">3</w:t>
            </w:r>
            <w:r w:rsidR="00000000" w:rsidRPr="00000000" w:rsidDel="00000000">
              <w:rPr>
                <w:rtl w:val="0"/>
              </w:rPr>
              <w:t xml:space="preserve"> pants (redakcijā, kas stāsies spēkā 2025. gada 1. janvārī) paredz, ka zvērināts notārs kreditoriem, kas iesnieguši pretenzijas mantojuma lietā, izsniedz mantojuma apliecībā ietvertās ziņas par apstiprinātajiem mantiniekiem, mantojuma sarakstu un nedzēstajām kreditoru pretenzijām. Nodokļus administrējošām iestādēm, pamatojoties uz to pieprasījumu sakarā ar nodokļu administrēšanu, un kreditoriem, kuri iesnieguši pretenzijas mantojuma lietā vai par kuriem ziņas mantojuma lietā iekļāvis notārs, pamatojoties uz pieprasījumu sakarā ar mantojuma atstājēja saistību izpildi, zvērināts notārs izsniedz ziņas par personām, kuras izteikušas gribu pieņemt mantojumu un pierādījušas savas mantojuma tiesības, kā arī, ja iespējams, ziņas par to domājamo daļu apmēru mantojumā.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2025. gada 1. janvāri normatīvi ir nostiprinātas kreditoru tiesības, tajā skaitā, pirms mantojuma apliecības izsniegšanas jau saņemt ziņas no notāra par mantiniekiem un to domājamo daļu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 Mantojuma 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1.pantā noteikto: "Nekustamo īpašumu ierakstīšana un lietu tiesību nostiprināšana ir obligāta" , lūdzam noteikumus papildināt ar jaunu nodaļu šādā redakcijā, lai mazinātu birokrātisko slogu mantoto nekustamo īpašumu ierakstīšanā Zemesgrāmatā, jo mantinieki gribu mantot nekustamo īpašumu jau ir izteikuši.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arī jaunu Ministru kabineta protokollēmuma projektu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w:t>
            </w:r>
            <w:r w:rsidR="00000000" w:rsidRPr="00000000" w:rsidDel="00000000">
              <w:rPr>
                <w:vertAlign w:val="superscript"/>
                <w:rtl w:val="0"/>
              </w:rPr>
              <w:t xml:space="preserve">1</w:t>
            </w:r>
            <w:r w:rsidR="00000000" w:rsidRPr="00000000" w:rsidDel="00000000">
              <w:rPr>
                <w:rtl w:val="0"/>
              </w:rPr>
              <w:t xml:space="preserve"> Nostiprinājuma lūguma par Mantošanas procesā iegūto īpašuma tiesību uz nekustamo īpašumu nosūtīšana uz Zemesgrāmatu                                                                                                                                                                                                                                  __. Ja mantojuma atstājējam ir Zemesgrāmatā nostiprinātas īpašuma tiesības uz nekustamo īpašumu, notārs elektroniski sagatavo un nosūta nostiprinājuma lūgumu Zemesgrāmatai, vienlaikus ar mantojuma apliecības izsniegšanu, par to informējot mantinieku.                                                                                                                                                                                 ___Ja mantinieki, kas apstiprināti mantojuma tiesībās, dala mantoto nekustamo īpašumu tiesā, tiesa pēc nolēmuma stāšanās spēkā elektroniski sagatavo un nosūta atbilstošu nostiprinājuma lūgumu Zemesgrāmatai.                                                                                                                                                                                                    Ministru kabineta protokollēmuma projekta jauns punkts:                                                                                                               Tieslietu ministrijai līdz ___________________ izvērtēt nepieciešamību veikt grozījumus citos normatīvajos aktos, lai nodrošinātu  īpašuma tiesību uz mantoto nekustamo īpašumu, kas ierakstīts Zemesgrāmatā, obligātu nostiprināšanu mantiniekiem ar vismazāko birokrātisko slogu un saprātīgā laikā pēc mantinieka apstiprināšanas mantojuma tiesībās, kā arī mantojumā ietilpstoša un Zemesgrāmatā ierakstīta nekustamā īpašuma sadales starp mantiniekiem.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mantojuma lietu vešanas procesu atbilstoši grozījumiem Notariāta likumā un Civillikumā, kas stāsies spēkā 2025. gada 1. janvārī. Tādējādi nepieciešams nekavējoši virzīties ar šiem grozījumiem, lai nodrošinātu likuma piemērošanai nepieciešamo kārtību, kurai jāstājas spēkā 2025. gada 1. janvārī. Ievērojot minēto, papildu grozījumi, kas saistīti ar jautājumiem, kas prasa papildu izvērtējumu, nebūtu virzāmi šī projekta ietvaros, lai nekavētu projekta kopējo virzību. Vienlaikus norādāms, ka iebildumā paustais skar arī finanšu jautājumus, kas ir atsevišķi vērtējams jautājums.  Tādējādi arī konkrēta satura uzdevuma došana pašreiz nebūtu atbalstāma, jo sākotnēji nepieciešama diskusija par iespējamo risinājumu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projekts neregulē tiesu procesu un darbību, līdz ar to šajā projektā nevar tikt risināti jautājumi, kas attiecas uz tiesas kompetenci vai pilnvarām.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 Mantojuma dalīšana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asototo daļu,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Lūdzam skaidrot anotācijā dzīvesvietas informācijas iegūšanas dokumentu kārtību, ievērojot augstāk minēto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nemaina kārtību ziņu par mantojuma atstājēja  pēdējās deklarētās dzīvesvietas noskaidrošanu, bet papildina ar to, kā zvērināts notārs konstatē to, ka mantinieks dzīvojis kopā ar mantojuma atstājēju, kā arī mantojuma atstājēja pēdējo dzīvesvietu pārrobežu mantojuma lietā, jo spēkā esošā noteikumu redakcija pašreiz neregulē jautājumu par mantojuma atstājēja pēdējās dzīvesvietas noteikšanu pārrobežo mantojuma lietā, kā arī to, kā nosakāms fakts, ka mantinieks dzīvojis kopā ar mantojuma atstājēju.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Notariāta likuma 253.</w:t>
            </w:r>
            <w:r w:rsidR="00000000" w:rsidRPr="00000000" w:rsidDel="00000000">
              <w:rPr>
                <w:vertAlign w:val="superscript"/>
                <w:rtl w:val="0"/>
              </w:rPr>
              <w:t xml:space="preserve">1</w:t>
            </w:r>
            <w:r w:rsidR="00000000" w:rsidRPr="00000000" w:rsidDel="00000000">
              <w:rPr>
                <w:rtl w:val="0"/>
              </w:rPr>
              <w:t xml:space="preserve"> pantu noteikts,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personu reģistra. Tādējādi likums jau paredz primāri Fizisko personu reģistra datu izmantošanu. Turklāt Ministru kabineta 2008. gada 4. augusta noteikumos Nr. 618 "Noteikumi par mantojuma reģistra un mantojuma lietu vešanu" ietvertais regulējums precizē pierādījumus, kas apliecina tiesības mantot.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apakšpunkta ietvertajā  29. punktā ir noteikts, ka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sadarbības līgumā “Par Fizisko personu reģistrā iekļauto datu sniegšanu tiešsaistes datu pārraides režīmā”,  kas noslēgts starp Pilsonības un migrācijas lietu pārvaldi un Latvijas Zvērinātu notāru padomi, kā arī Fizisko personu reģistra informācijas sistēmas funkcionalitātē nav paredzēta izdruku veidošana. Līdz ar to, ja notāru funkciju veikšanai izdruku nepieciešamība ir obligāts nosacījums, noteikumu projekta 1.5. apakšpunktā ietvertais 29. punkts ir attiecīgi precizējams, norādot, ka izdrukas tiek veiktas nevis no Fizisko personu reģistra, bet no Notāru informācijas sistēmas, kas satur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septembrī tika pieņemti Ministru kabineta noteikumi Nr. 540 "Grozījumi Ministru kabineta 2008. gada 4. augusta noteikumos Nr. 618 "Noteikumi par mantojuma reģistra un mantojuma lietu vešanu"", kas precizēja šo noteikumu 29. punktu. Vēršam uzmanību, ka šie noteikumi tika saskaņoti ar Iekšlietu ministriju, kas atbalstīja šo noteikumu 29. punkta izteikšanu spēkā esošajā redakcijā (https://tapportals.mk.gov.lv/legal_acts/22931780-3708-4bfe-a979-2a6096bfc2c4).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norma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termiņu trūkumu novēršanai. Ja kreditors trūkumus nenovērš, uzskatāms, ka pretenzija nav iesniegta termiņā, tā ir dzēšama un nav norādāma mantojuma apliecībā. Kreditora iesniegumu pievieno mantojuma lietai.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1.22. un 1.23.apakšpunkta ievaddaļas, norādot arī noteikumu nodaļu, kurā ietverami piedāvātie 86.</w:t>
            </w:r>
            <w:r w:rsidR="00000000" w:rsidRPr="00000000" w:rsidDel="00000000">
              <w:rPr>
                <w:vertAlign w:val="superscript"/>
                <w:rtl w:val="0"/>
              </w:rPr>
              <w:t xml:space="preserve">1</w:t>
            </w:r>
            <w:r w:rsidR="00000000" w:rsidRPr="00000000" w:rsidDel="00000000">
              <w:rPr>
                <w:rtl w:val="0"/>
              </w:rPr>
              <w:t xml:space="preserve"> un 86.</w:t>
            </w:r>
            <w:r w:rsidR="00000000" w:rsidRPr="00000000" w:rsidDel="00000000">
              <w:rPr>
                <w:vertAlign w:val="superscript"/>
                <w:rtl w:val="0"/>
              </w:rPr>
              <w:t xml:space="preserve">2</w:t>
            </w:r>
            <w:r w:rsidR="00000000" w:rsidRPr="00000000" w:rsidDel="00000000">
              <w:rPr>
                <w:rtl w:val="0"/>
              </w:rPr>
              <w:t xml:space="preserve">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izstrādājot grozījumus, tie tiek izdarīti attiecīgo Ministru kabineta noteikumu konsolidētajā versijā, pēc kā Tiesību aktu portāls pats ģenerē attiecīgos grozījumus. Tādējādi arī noteikumu projekta apakšpunktu ievaddaļas ir sistēmas ģenerētas un tās nav iespējams labot.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1.23.apakšpunktā piedāvāto 86.</w:t>
            </w:r>
            <w:r w:rsidR="00000000" w:rsidRPr="00000000" w:rsidDel="00000000">
              <w:rPr>
                <w:vertAlign w:val="superscript"/>
                <w:rtl w:val="0"/>
              </w:rPr>
              <w:t xml:space="preserve">2</w:t>
            </w:r>
            <w:r w:rsidR="00000000" w:rsidRPr="00000000" w:rsidDel="00000000">
              <w:rPr>
                <w:rtl w:val="0"/>
              </w:rPr>
              <w:t xml:space="preserve"> punkta redakciju, aicinām noteikumu projektu saskaņot arī ar Latvijas Banku.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Notariāta likumā, kas stāsies spēkā 2025. gada 1. janvārī, 259.</w:t>
            </w:r>
            <w:r w:rsidR="00000000" w:rsidRPr="00000000" w:rsidDel="00000000">
              <w:rPr>
                <w:vertAlign w:val="superscript"/>
                <w:rtl w:val="0"/>
              </w:rPr>
              <w:t xml:space="preserve">1</w:t>
            </w:r>
            <w:r w:rsidR="00000000" w:rsidRPr="00000000" w:rsidDel="00000000">
              <w:rPr>
                <w:rtl w:val="0"/>
              </w:rPr>
              <w:t xml:space="preserve"> panta 4. punktu noteikts, ka pēc mantojuma lietas uzsākšanas zvērināts notārs pēc Valsts vienotajā datorizētajā zemesgrāmatā, Komercķīlu reģistrā un Kredītu reģistrā pieejamās informācijas noskaidro mantojuma atstājēja kreditorus, kuru prasījumi ir nodrošināti ar hipotēku vai komercķīlu.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likumā jau ir definēts zvērināta notāra pienākums informāciju pārbaudīt Kredītu reģistrā un noteikumu projekts šo pienākumu apjomu nemaina, tikai precizē Kredītu reģistra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līdz ar minētajiem grozījumiem Notariāta likumā tika izstrādāti grozījumi Kredītu reģistra likumā, kas arī stāsies spēkā 2025. gada 1. janvārī. Šī likumprojekta izstrādes laikā šāda ideja tika saskaņota ar Latvijas Banku (https://tapportals.mk.gov.lv/legal_acts/daebc144-687d-465f-8e9c-9948fc92f209). Tādējādi uzskatāms, ka secīgi arī šajos noteikumos iekļautais regulējums ir ar Latvijas Banku saskaņots.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99.</w:t>
            </w:r>
            <w:r w:rsidR="00000000" w:rsidRPr="00000000" w:rsidDel="00000000">
              <w:rPr>
                <w:vertAlign w:val="superscript"/>
                <w:rtl w:val="0"/>
              </w:rPr>
              <w:t xml:space="preserve">1</w:t>
            </w:r>
            <w:r w:rsidR="00000000" w:rsidRPr="00000000" w:rsidDel="00000000">
              <w:rPr>
                <w:rtl w:val="0"/>
              </w:rPr>
              <w:t xml:space="preserve"> punktu lūdzam apsvērt papildināt anotāciju ar skaidrojumu kādam nolūkam mantinieks var lūgt saņemt mantojuma apliecību, ja nav konstatēta mantojuma atstājējam piederošā manta. It īpaši pie nosacījuma, ka normatīvo aktu plānotie grozījumi paredz mantinieku atbildību aprobežot.  Faktiski veidojas sitācija, ka lai arī svītrota noteikumu XV nodaļa (tai skaitā 99.4.apakšpunkts), tomēr saglabāts 99.4.apakšpunktā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ziņojums papildināts ar šādu informāciju: “Norādāms, ka saskaņā ar  Noteikumu Nr. 618 107. punktu zvērināta notāra izsniegtā mantojuma apliecība apliecina mantinieka mantošanas tiesības,  bet neapliecina īpašuma piederību mantojuma atstājējam. Tādējādi mantiniekam, neskatoties uz to, ka nav konstatēta mantojuma atstājējam piederējusi manta, uzsākot mantojuma lietu, izsakot gribu pieņemt mantojumu un pierādot savas mantojuma tiesības, ir vēlme  apstiprināt savu mantinieka statusu. Tādējādi arī šādos gadījumos saglabājama tiesība personai saņemt mantojuma apliecību. Turklāt mantojuma apliecība ir noslēguma dokuments mantojuma lietas pabeigšanai. Saskaņā ar Civillikuma 382. pantu mantojums ir kopība, kurā ietilpst visa kustamā un nekustamā manta, kā arī citiem atdodamās tiesības un saistības, kas mirušam vai par mirušu izsludinātam piederējušas viņa patiesās vai tiesiski pieņemamās nāves laikā.  Tādējādi mantojuma apliecība var būt nepieciešama arī gadījumos, kad mantojuma atstājējam nāves laikā nav bijusi reģistrēta manta, bet viņš ir bijis, piemēram, iesaistīts tiesvedībā, un mantiniekiem jāpārņem viņa procesuālās tiesības. Tāpat mantinieks var vēlēties vērsties tiesā ar prasību, lai apstrīdētu kādu darījumu, ko mantojuma atstājējs aiz vecuma vieglprātības noslēdzis. Praksē var būt arī citi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1.29.apakšpunkta ievaddaļu, norādot arī noteikumu nodaļu, kurā ietverams piedāvātais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izstrādājot grozījumus, tie tiek izdarīti attiecīgo Ministru kabineta noteikumu konsolidētajā versijā, pēc kā Tiesību aktu portāls pats ģenerē attiecīgos grozījumus. Tādējādi arī noteikumu projekta apakšpunktu ievaddaļas ir sistēmas ģenerētas un tās nav iespējams labot.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105.punktā ietvertā regulējuma lūdzam apsvērt anotācijā skaidrot jautājumu par to, ka nav noteikti termiņi mantojuma apliecību izsniegšanai. Minētais skar gan notārus, gan arī potenciālo mantinieku racionālu un sapratīgu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šobrīd normatīvie akti nenoteic mantiniekam termiņu, kādā jāierodas saņemt mantojuma apliecību, kā arī mantiniekiem ir tiesības ierasties atsevišķi, turklāt katram citā laikā. Būtiski vērst uzmanību, ka šāds termiņš nav svarīgs, jo, atbilstoši Civillikuma 694. pantam redakcijā, kas stāsies spēkā 2025. gada 1. janvārī, ja mantinieks izteicis gribu notāram un pierādījis savas tiesības, pēc sludinājumā par mantojuma atklāšanos norādītā termiņa notecējuma atzīstams, ka viņš mantojumu pieņēmis. Tādējādi šādas personas jau būs uzskatāmas par mantiniekiem.”.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24-TA-2547</w:t>
    </w:r>
    <w:r>
      <w:br/>
    </w:r>
    <w:r w:rsidR="00000000" w:rsidRPr="00000000" w:rsidDel="00000000">
      <w:rPr>
        <w:rtl w:val="0"/>
      </w:rPr>
      <w:t xml:space="preserve">06.12.2024. 15.49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24-TA-2547</w:t>
    </w:r>
    <w:r>
      <w:br/>
    </w:r>
    <w:r w:rsidR="00000000" w:rsidRPr="00000000" w:rsidDel="00000000">
      <w:rPr>
        <w:rtl w:val="0"/>
      </w:rPr>
      <w:t xml:space="preserve">06.12.2024. 15.49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Izziņa_24-TA-2547.docx</dc:title>
</cp:coreProperties>
</file>

<file path=docProps/custom.xml><?xml version="1.0" encoding="utf-8"?>
<Properties xmlns="http://schemas.openxmlformats.org/officeDocument/2006/custom-properties" xmlns:vt="http://schemas.openxmlformats.org/officeDocument/2006/docPropsVTypes"/>
</file>