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15. novembra noteikumos Nr. 722 "Valsts un Eiropas Savienības atbalsta piešķiršanas kārtība pasākumā "Inovācija, pilotprojekti, sadarbība ar zinātni zvejniecībā, akvakultūrā un apstrādē un zināšanu pārnese akvakultūrā""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15:50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Zinātniskā institūcija ar projekta īstenošanu saistītos darījumus atspoguļo atsevišķā grāmatvedības uzskaites sistēmā vai ievieš atbilstošu grāmatvedības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pamatnostādņu 19.punkts paredz, ka "</w:t>
            </w:r>
            <w:r w:rsidR="00000000" w:rsidRPr="00000000" w:rsidDel="00000000">
              <w:rPr>
                <w:i w:val="1"/>
                <w:rtl w:val="0"/>
              </w:rPr>
              <w:t xml:space="preserve">19. Ja viens un tas pats subjekts veic gan saimnieciskas darbības, gan darbības, kam nav saimnieciska rakstura, tad darbību bez saimnieciska rakstura finansēšana no publiskiem līdzekļiem neietilpst Līguma 107. panta 1. punkta darbības jomā, ja abus darbību veidus un to izmaksas, finansējumu un ieņēmumus var skaidri nodalīt tā, lai sekmīgi tiktu novērsta saimnieciskās darbības šķērssubsidēšana</w:t>
            </w:r>
            <w:r w:rsidR="00000000" w:rsidRPr="00000000" w:rsidDel="00000000">
              <w:rPr>
                <w:rtl w:val="0"/>
              </w:rPr>
              <w:t xml:space="preserve">.", lūdzam precizēt noteikumu projekta 46.</w:t>
            </w:r>
            <w:r w:rsidR="00000000" w:rsidRPr="00000000" w:rsidDel="00000000">
              <w:rPr>
                <w:vertAlign w:val="superscript"/>
                <w:rtl w:val="0"/>
              </w:rPr>
              <w:t xml:space="preserve">1</w:t>
            </w:r>
            <w:r w:rsidR="00000000" w:rsidRPr="00000000" w:rsidDel="00000000">
              <w:rPr>
                <w:rtl w:val="0"/>
              </w:rPr>
              <w:t xml:space="preserve"> punktu tā, lai būtu skaidri saprotams, ka šīs atbalsta programmas ietvaros piešķirtais atbalsts nedod labumu citai subjekta veiktajai saimnieciskajai darbībai, izsakot to, piemēram, piedāvātajā redakcijā.  Atbilstoši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Zinātniskā institūcija ar projekta īstenošanu saistītos darījumus atspoguļo atsevišķā grāmatvedības uzskaites sistēmā vai ievieš atbilstošu grāmatvedības kodu. Ja zinātniskā institūcija veic arī saimniecisko darbību, šīs saimnieciskās darbības finansējums, izmaksas un ieņēmumi ir jāuzskaita atsevišķi, lai tiktu novērsta saimnieciskās darbības šķērssubsidēšana.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Zinātniskā institūcija ar projekta īstenošanu saistītos darījumus atspoguļo atsevišķā grāmatvedības uzskaites sistēmā vai ievieš atbilstošu grāmatvedības kodu. Ja zinātniskā institūcija veic arī saimniecisko darbību, šīs saimnieciskās darbības finansējums, izmaksas un ieņēmumi ir jāuzskaita atsevišķi, lai tiktu novērsta saimnieciskās darbības šķērssubsidēšana.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Projektā iesaistītā zinātniskā institūcija savā tīmekļvietnē ievieto ar projektu saistīto aktuālo informāciju par projekta uzsākšanu un projekta rezultātu apkopojumu.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Pētniecības pamatnostādņu 20.punktu, par darbībām bez saimnieciska rakstura tiek uzskatīta (a) pētniecības organizāciju un pētniecības infrastruktūru pamatdarbības, jo īpaši: (iii) pētniecības rezultātu plašu izplatīšana bez ekskluzivitātes un diskriminēšanas, piemēram, izmantojot mācīšanu, brīvas piekļuves datubāzes, atklātās publikācijas vai atklātā pirmkoda programmatūru. Lūdzam papildināt noteikumu projekta 60.punktu, paredzot, ka projekta rezultāti (ne tikai to apkopojums) bez ekskluzivitātes un diskriminēšanas būs pieejami visai sabiedrībai, izsakot to, piemēram, piedāvātajā redakcijā. Lūdzam ar atbilstošu skaidrojumu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Projektā iesaistītā zinātniskā institūcija savā tīmekļvietnē ievieto ar projektu saistīto aktuālo informāciju par projekta uzsākšanu un projekta rezultātus, nodrošinot piekļuvi šai informācijai bez ekskluzivitātes un diskriminēšanas.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Projektā iesaistītā zinātniskā institūcija savā tīmekļvietnē ievieto ar projektu saistīto aktuālo informāciju par projekta uzsākšanu un projekta rezultātus, nodrošinot piekļuvi šai informācijai bez ekskluzivitātes un diskriminēšanas.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25.09.2025. 16:13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1.punktā. Skaidrojam, ka Eiropas Parlamenta un Padomes 2021.gada 7.jūlija Regulas (ES) 2021/1139, ar ko izveido Eiropas Jūrlietu, zvejniecības un akvakultūras fondu un groza Regulu (ES) 2017/1004 (turpmāk - EJZAF regula) 10.panta 1.punkts nosaka, ka “Neskarot šā panta 2.punktu, atbalstam, ko dalībvalstis piešķir zvejniecības un akvakultūras nozares uzņēmumiem, piemēro LESD 107., 108. un 109. pantu”, savukārt, minētās regulas 10.panta 2.punkts nosaka, ka: “Tomēr LESD 107., 108. un 109.pantu nepiemēro maksājumiem, ko dalībvalstis veic saskaņā ar šo regulu, un kas ietilpst LESD 42.panta darbības jomā.”. Līdz ar to visi pasākumi, kas tiek īstenoti atbilstoši EJZAF regulai nav automātiski izslēgti no komercdarbības atbalsta regulējuma piemērošanas jomas, bet tikai tādi pasākumi, kas ietilpst LESD 42.panta darbības jomā, ir pasākumi, kas ir brīvi no komercdarbības atbalsta. LESD 42.pantā ir iekļauti nosacījumi attiecībā uz lauksaimniecības produktu ražošanu un tirdzniecību un atbalsta piešķiršanu, lai aizsargātu attiecīgās jomas uzņēmumus, kuriem traucējumus rada strukturāli vai dabas apstākļi vai saskaņā ar ekonomikas attīstības programmām. Papildus EJZAF regulas 10.panta 4.punkts nosaka, ka “Attiecībā uz zvejas un akvakultūras produktiem, kuri uzskaitīti LESD I pielikumā un kuriem piemēro 107., 108. un 109. pantu, Komisija saskaņā ar LESD 108. pantu var atļaut darbības atbalstu LESD 349. pantā minētajos tālākajos reģionos attiecībā uz nozarēm, kas ražo, apstrādā un laiž tirgū zvejas un akvakultūras produktus, lai mazinātu minēto reģionu īpašās grūtības, ko rada to izolētība vai nomaļums.”.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2022.gada 15.novembra noteikumu Nr.722 "Valsts un Eiropas Savienības atbalsta piešķiršanas kārtība pasākumā "Inovācija, pilotprojekti, sadarbība ar zinātni zvejniecībā, akvakultūrā un apstrādē un zināšanu pārnese akvakultūrā"" (turpmāk – atbalsta programma) ietvaros atbalsts netiek piešķirts lauksaimniecības produktu ražošanai un tirdzniecībai, kā arī produkts, kas tiks izveidots atbalsta programmas ietvaros nebūs uzskatāms par tādu produktu, kas ir uzskaitīts LESD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atbalsta programmas ietvaros ir plānota publisko līdzekļu piešķiršana, t.sk. saimnieciskās darbības veicējiem pētniecībai, attiecīgais pasākums ir jāvērtē komercdarbības atbalsta kontekstā, tostarp, vai atbalsta pretendents, kas ir zinātniskā institūcija, atbilst pētniecības un zināšanu izplatīšanas organizācijas definīcijai atbilstoši tam, kā tas definēts Komisijas paziņojuma “Pētniecībai, izstrādei un inovācijai piešķiramā valsts atbalsta nostādnes” (2022/C 414/01) (turpmāk – Pētniecības pamatnostādnes) 16. punkta (ff) apakšpunktā un vai tās veiktās darbības būtu uzskatāmas par darbībām bez saimnieciska rakstura atbilstoši Pētniecības pamatnostādņu 20. punktā noteiktajam, un tādējādi publisko līdzekļu piešķiršana tām nekvalificētos kā komercdarbības atbalsts, vai arī atbalsta piešķiršanā ir jāpiemēro Komisijas 2014.gada 17.jūnija Regula (ES) Nr.651/2014, ar ko noteiktas atbalsta kategorijas atzīst par saderīgām ar iekšējo tirgu, piemērojot Līguma 107. un 108. pantu, 30. pantu un I nodaļas “Vispārīgie noteikumi”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iepriekš minētos nosacījumus nav iespējams piemērot, lai nodrošinātu, ka plānotais atbalsts ir saderīgs ar iekšējo tirgu LESD 107. panta 3. punkta izpratnē, lūdzam nodrošināt atbalsta pasākuma saskaņošanu ar Eiropas Komisiju. Paziņojuma dokumentu lūdzam gatavot, ievērojot Pētniecības pamatnostādnēs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nodrošinātu, ka netiek piešķirts nelikumīgs un nesaderīgs komercdarbības atbalsts un ka atbalsta pretendentam ir skaidri visi komercdarbības atbalsta piešķiršanas nosacījumi, atbilstoši KAKL 9.panta otrajā daļā noteiktajām kompetencēm, aicinām sadarbībā ar Zemkopības ministrijas atbildīgo struktūrvienību par komercdarbības atbalsta uzraudzību, noteikumu projektā iekļaut visus ar komercdarbības atbalsta piešķiršanu, kur attiecināms, saistītos nosacījumus. Vienlaikus piedāvājam arī jautājumu pārrunāt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722 papildināti ar 9.</w:t>
            </w:r>
            <w:r w:rsidR="00000000" w:rsidRPr="00000000" w:rsidDel="00000000">
              <w:rPr>
                <w:vertAlign w:val="superscript"/>
                <w:rtl w:val="0"/>
              </w:rPr>
              <w:t xml:space="preserve">1</w:t>
            </w:r>
            <w:r w:rsidR="00000000" w:rsidRPr="00000000" w:rsidDel="00000000">
              <w:rPr>
                <w:rtl w:val="0"/>
              </w:rPr>
              <w:t xml:space="preserve"> un 46.</w:t>
            </w:r>
            <w:r w:rsidR="00000000" w:rsidRPr="00000000" w:rsidDel="00000000">
              <w:rPr>
                <w:vertAlign w:val="superscript"/>
                <w:rtl w:val="0"/>
              </w:rPr>
              <w:t xml:space="preserve">1</w:t>
            </w:r>
            <w:r w:rsidR="00000000" w:rsidRPr="00000000" w:rsidDel="00000000">
              <w:rPr>
                <w:rtl w:val="0"/>
              </w:rPr>
              <w:t xml:space="preserve"> punktu, kā arī precizēts 60. punkts atbilstoši Pētniecības pamatnostādnēm.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10.09.2025. 19:26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plānota publisko līdzekļu piešķiršana saimnieciskās darbības veicējiem pētniecībai, attiecīgais pasākums ir jāvērtē komercdarbības atbalsta kontekstā un gadījumā, ja vienlaikus izpildās visas Komercdarbības atbalsta kontroles likuma (turpmāk – KAKL) 5.pantā noteiktās komercdarbības atbalsta pazīmes, publisko līdzekļu piešķiršanā būtu jāpiemēro atbilstošs komercdarbības atbalsta regulējums, piemēram, Komisijas 2014.gada 17.jūnija Regula (ES) Nr.651/2014, ar ko noteiktas atbalsta kategorijas atzīst par saderīgām ar iekšējo tirgu, piemērojot Līguma 107. un 108. pantu vai Komisijas paziņojums “Pētniecībai, izstrādei un inovācijai piešķiramā valsts atbalsta nostādnes” (2022/C 414/01).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ka atbalsta pretendentam ir skaidri visi komercdarbības atbalsta piešķiršanas nosacījumi, aicinām noteikumu projektā iekļaut visus ar komercdarbības atbalsta piešķiršanu, kur attiecināms, saistītos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KAKL 9.panta otrajā daļā noteiktajām kompetencēm, Zemkopības ministrija veic plānoto atbalsta programmu vai ad-hoc atbalsta projektu, vai to plānoto grozījumu sākotnējo izvērtēšanu zvejniecības, akvakultūras, lauksaimniecības un mežsaimniecības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atbalsts šajā pasākumā tiek sniegts saskaņā ar Eiropas Parlamenta un Padomes 2021. gada 7. jūlija Regulu (ES) 2021/1139, ar ko izveido Eiropas Jūrlietu, zvejniecības un akvakultūras fondu un groza Regulu (ES) 2017/1004 (turpmāk – EJZAF regula) izmantojot tikai EJZAF pieejamo publisko finansējumu. Attiecībā uz atbalstu zvejniecības un akvakultūras nozarē EJZAF regulas 10.pantā “Valsts atbalsts” ir noteikts izņēmums. Šāda pieeja ir visos EJZAF atbalsta pasākumos, kuros sniedz atbalstu tikai zvejniecības un akvakultūras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25-TA-1767</w:t>
    </w:r>
    <w:r>
      <w:br/>
    </w:r>
    <w:r w:rsidR="00000000" w:rsidRPr="00000000" w:rsidDel="00000000">
      <w:rPr>
        <w:rtl w:val="0"/>
      </w:rPr>
      <w:t xml:space="preserve">21.11.2025. 16.47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25-TA-1767</w:t>
    </w:r>
    <w:r>
      <w:br/>
    </w:r>
    <w:r w:rsidR="00000000" w:rsidRPr="00000000" w:rsidDel="00000000">
      <w:rPr>
        <w:rtl w:val="0"/>
      </w:rPr>
      <w:t xml:space="preserve">21.11.2025. 16.47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Izziņa_25-TA-1767.docx</dc:title>
</cp:coreProperties>
</file>

<file path=docProps/custom.xml><?xml version="1.0" encoding="utf-8"?>
<Properties xmlns="http://schemas.openxmlformats.org/officeDocument/2006/custom-properties" xmlns:vt="http://schemas.openxmlformats.org/officeDocument/2006/docPropsVTypes"/>
</file>