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24-TA-1160: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7. novembra noteikumos Nr. 635 "Elektroenerģijas tirdzniecības un lietošanas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3. sistēmas operators ne biežāk, kā četras reizes kalendāra gada ietvaros iesniedz Klimata un enerģētikas ministrijā un Būvniecības valsts kontroles birojā regulatora atzinumu par pamatoto negūto ieņēmumu apmēru, un tam atbilstošu sistēmas operatora rēķinu (ieskaitot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54. panta pirmā daļa noteic, ka </w:t>
            </w:r>
            <w:r w:rsidR="00000000" w:rsidRPr="00000000" w:rsidDel="00000000">
              <w:rPr>
                <w:u w:val="single"/>
                <w:rtl w:val="0"/>
              </w:rPr>
              <w:t xml:space="preserve">iestādes sadarbojas, lai veiktu savas funkcijas un uzdevumus</w:t>
            </w:r>
            <w:r w:rsidR="00000000" w:rsidRPr="00000000" w:rsidDel="00000000">
              <w:rPr>
                <w:rtl w:val="0"/>
              </w:rPr>
              <w:t xml:space="preserve">. Turklāt Valsts pārvaldes iekārtas likuma 10. panta astotā daļa noteic, ka </w:t>
            </w:r>
            <w:r w:rsidR="00000000" w:rsidRPr="00000000" w:rsidDel="00000000">
              <w:rPr>
                <w:u w:val="single"/>
                <w:rtl w:val="0"/>
              </w:rPr>
              <w:t xml:space="preserve">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2023. gada 7. novembra noteikumos Nr. 635 "Elektroenerģijas tirdzniecības un lietošanas noteikumi"" (turpmāk – projekts) paredzētais Ministru kabineta 2023. gada 7. novembra noteikumu Nr. 635 "Elektroenerģijas tirdzniecības un lietošanas noteikumi" (turpmāk – noteikumi) 156.</w:t>
            </w:r>
            <w:r w:rsidR="00000000" w:rsidRPr="00000000" w:rsidDel="00000000">
              <w:rPr>
                <w:vertAlign w:val="superscript"/>
                <w:rtl w:val="0"/>
              </w:rPr>
              <w:t xml:space="preserve">1</w:t>
            </w:r>
            <w:r w:rsidR="00000000" w:rsidRPr="00000000" w:rsidDel="00000000">
              <w:rPr>
                <w:rtl w:val="0"/>
              </w:rPr>
              <w:t xml:space="preserve">3. apakšpunkts noteic, ka sistēmas operators ne biežāk, kā četras reizes kalendāra gada ietvaros i</w:t>
            </w:r>
            <w:r w:rsidR="00000000" w:rsidRPr="00000000" w:rsidDel="00000000">
              <w:rPr>
                <w:u w:val="single"/>
                <w:rtl w:val="0"/>
              </w:rPr>
              <w:t xml:space="preserve">esniedz Klimata un enerģētikas ministrijā un Būvniecības valsts kontroles birojā Sabiedrisko pakalpojumu regulēšanas komisijas atzinumu par pamatoto negūto ieņēmumu apmēru, un tam atbilstošu sistēmas operatora rēķinu (ieskaitot pievienotās vērtības nodokli)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paredzētajā noteikumu 156.</w:t>
            </w:r>
            <w:r w:rsidR="00000000" w:rsidRPr="00000000" w:rsidDel="00000000">
              <w:rPr>
                <w:vertAlign w:val="superscript"/>
                <w:rtl w:val="0"/>
              </w:rPr>
              <w:t xml:space="preserve">1</w:t>
            </w:r>
            <w:r w:rsidR="00000000" w:rsidRPr="00000000" w:rsidDel="00000000">
              <w:rPr>
                <w:rtl w:val="0"/>
              </w:rPr>
              <w:t xml:space="preserve">3. apakšpunktā ietverto regulējumu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informāciju, kādēļ Sabiedrisko pakalpojumu regulēšanas komisija, Klimata un enerģētikas ministrija un Būvniecības valsts kontroles birojs nevar sadarboties, un sistēmas operatoram Sabiedrisko pakalpojumu regulēšanas komisijas atzinums jāiesniedz Klimata un enerģētikas ministrijā un Būvniecības valsts kontroles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projektā paredzētajā noteikumu 156.</w:t>
            </w:r>
            <w:r w:rsidR="00000000" w:rsidRPr="00000000" w:rsidDel="00000000">
              <w:rPr>
                <w:vertAlign w:val="superscript"/>
                <w:rtl w:val="0"/>
              </w:rPr>
              <w:t xml:space="preserve">2</w:t>
            </w:r>
            <w:r w:rsidR="00000000" w:rsidRPr="00000000" w:rsidDel="00000000">
              <w:rPr>
                <w:rtl w:val="0"/>
              </w:rPr>
              <w:t xml:space="preserve">1.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kompensācijas pieprasīšanas mehānisms ir izstrādāts, sadarbojoties ar sadales sistēmas operatoru, proti, attiecīgā kārtība izstrādāta, balstoties uz sadales sistēmas operatora priekšlikumu. Noteikumu projektā paredzētā kārtība nodrošinās iespējami ātru un precīzu informācijas nodošanu visām iesaistītajām pusēm. Proti, sadales sistēmas operators, pirmkārt, vērsīsies regulatorā ar visu nepieciešamo informāciju atzinuma sniegšanai. Nepieciešamības gadījumā regulators lūgs sistēmas operatoru iesniegto informāciju precizēt. Pēc regulatora apstiprinošā atzinuma saņemšanas sistēmas operators to nosūtīs birojam un Ministrijai, lai abas iesaistītās institūcijas savas kompetences ietvaros var iespējami ātri uzsākt darbu kompensācijas izmaksas nodrošināšanai - Ministrija izstrādās rīkojumu par apropriācijas pārdali un birojs veiks visus nepieciešamos priekšdarbus kompensācijas izmaksai.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skaidrojums ietverts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sistēmas operators ne biežāk, kā četras reizes kalendāra gada ietvaros iesniedz Klimata un enerģētikas ministrijā un Būvniecības valsts kontroles birojā regulatora atzinumu par pamatoto negūto ieņēmumu apmēru, un tam atbilstošu sistēmas operatora rēķinu (ieskaitot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5. līdz 2026.gada 30.jūnijam sistēmas operators ar Būvniecības valsts kontroles biroju veic galīgo savstarpējo norēķinu, ja konstatēta nepieciešamība veikt valsts kompensācijas maksājumu korekciju.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projektā paredzētajā noteikumu 156.</w:t>
            </w:r>
            <w:r w:rsidR="00000000" w:rsidRPr="00000000" w:rsidDel="00000000">
              <w:rPr>
                <w:vertAlign w:val="superscript"/>
                <w:rtl w:val="0"/>
              </w:rPr>
              <w:t xml:space="preserve">1</w:t>
            </w:r>
            <w:r w:rsidR="00000000" w:rsidRPr="00000000" w:rsidDel="00000000">
              <w:rPr>
                <w:rtl w:val="0"/>
              </w:rPr>
              <w:t xml:space="preserve">5. un 156.</w:t>
            </w:r>
            <w:r w:rsidR="00000000" w:rsidRPr="00000000" w:rsidDel="00000000">
              <w:rPr>
                <w:vertAlign w:val="superscript"/>
                <w:rtl w:val="0"/>
              </w:rPr>
              <w:t xml:space="preserve">2</w:t>
            </w:r>
            <w:r w:rsidR="00000000" w:rsidRPr="00000000" w:rsidDel="00000000">
              <w:rPr>
                <w:rtl w:val="0"/>
              </w:rPr>
              <w:t xml:space="preserve">4. apakšpunktā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kalendāra dienu termiņš noteikts, balstoties uz pieredzi rīkojumu par apropriācijas pārdali izstrādes un saskaņošanas ietvaros, kā arī balstoties uz termiņu, kāds nepieciešams finansējuma pārskaitīšanas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skaidrojums ietverts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3. Būvniecības valsts kontroles birojs 30 kalendāra dienu izmaksā sistēmas operatoram valsts kompensāciju (ieskaitot pievienotās vērtības nodokli) saskaņā ar šo noteikumu 156.12. apakšpunktā minēto 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noteikumos nav 156.12. apakšpunkta, lūdzam precizēt projektā paredzēto noteikumu 156.</w:t>
            </w:r>
            <w:r w:rsidR="00000000" w:rsidRPr="00000000" w:rsidDel="00000000">
              <w:rPr>
                <w:vertAlign w:val="superscript"/>
                <w:rtl w:val="0"/>
              </w:rPr>
              <w:t xml:space="preserve">2</w:t>
            </w:r>
            <w:r w:rsidR="00000000" w:rsidRPr="00000000" w:rsidDel="00000000">
              <w:rPr>
                <w:rtl w:val="0"/>
              </w:rPr>
              <w:t xml:space="preserve">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3. Būvniecības valsts kontroles birojs 60 kalendāra dienu laikā no šo noteikumu </w:t>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minētā rēķina vai no šo noteikumu </w:t>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precizētā rēķina saņemšanas izmaksā sistēmas operatoram valsts kompensāciju (ieskaitot pievienotās vērtības nodokli) saskaņā ar šo noteikumu </w:t>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rēķinu vai šo noteikumu </w:t>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precizēto 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Elektroenerģijas tirgus likuma 5.</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piekto daļu, </w:t>
            </w:r>
            <w:r w:rsidR="00000000" w:rsidRPr="00000000" w:rsidDel="00000000">
              <w:rPr>
                <w:rtl w:val="0"/>
              </w:rPr>
              <w:t xml:space="preserve">30.</w:t>
            </w:r>
            <w:r w:rsidR="00000000" w:rsidRPr="00000000" w:rsidDel="00000000">
              <w:rPr>
                <w:vertAlign w:val="superscript"/>
                <w:rtl w:val="0"/>
              </w:rPr>
              <w:t xml:space="preserve">1 </w:t>
            </w:r>
            <w:r w:rsidR="00000000" w:rsidRPr="00000000" w:rsidDel="00000000">
              <w:rPr>
                <w:rtl w:val="0"/>
              </w:rPr>
              <w:t xml:space="preserve">panta</w:t>
            </w:r>
            <w:r w:rsidR="00000000" w:rsidRPr="00000000" w:rsidDel="00000000">
              <w:rPr>
                <w:rtl w:val="0"/>
              </w:rPr>
              <w:t xml:space="preserve"> septīto daļu, 30.</w:t>
            </w:r>
            <w:r w:rsidR="00000000" w:rsidRPr="00000000" w:rsidDel="00000000">
              <w:rPr>
                <w:vertAlign w:val="superscript"/>
                <w:rtl w:val="0"/>
              </w:rPr>
              <w:t xml:space="preserve">5</w:t>
            </w:r>
            <w:r w:rsidR="00000000" w:rsidRPr="00000000" w:rsidDel="00000000">
              <w:rPr>
                <w:rtl w:val="0"/>
              </w:rPr>
              <w:t xml:space="preserve"> panta sesto un septīto daļu, </w:t>
            </w:r>
            <w:r w:rsidR="00000000" w:rsidRPr="00000000" w:rsidDel="00000000">
              <w:rPr>
                <w:rtl w:val="0"/>
              </w:rPr>
              <w:t xml:space="preserve">32. panta</w:t>
            </w:r>
            <w:r w:rsidR="00000000" w:rsidRPr="00000000" w:rsidDel="00000000">
              <w:rPr>
                <w:rtl w:val="0"/>
              </w:rPr>
              <w:t xml:space="preserve"> trešo un piekto daļu, </w:t>
            </w:r>
            <w:r w:rsidR="00000000" w:rsidRPr="00000000" w:rsidDel="00000000">
              <w:rPr>
                <w:rtl w:val="0"/>
              </w:rPr>
              <w:t xml:space="preserve">33. panta</w:t>
            </w:r>
            <w:r w:rsidR="00000000" w:rsidRPr="00000000" w:rsidDel="00000000">
              <w:rPr>
                <w:rtl w:val="0"/>
              </w:rPr>
              <w:t xml:space="preserve"> septīto daļu, </w:t>
            </w:r>
            <w:r w:rsidR="00000000" w:rsidRPr="00000000" w:rsidDel="00000000">
              <w:rPr>
                <w:rtl w:val="0"/>
              </w:rPr>
              <w:t xml:space="preserve">34. panta</w:t>
            </w:r>
            <w:r w:rsidR="00000000" w:rsidRPr="00000000" w:rsidDel="00000000">
              <w:rPr>
                <w:rtl w:val="0"/>
              </w:rPr>
              <w:t xml:space="preserve"> trešo daļu, </w:t>
            </w:r>
            <w:r w:rsidR="00000000" w:rsidRPr="00000000" w:rsidDel="00000000">
              <w:rPr>
                <w:rtl w:val="0"/>
              </w:rPr>
              <w:t xml:space="preserve">35. panta</w:t>
            </w:r>
            <w:r w:rsidR="00000000" w:rsidRPr="00000000" w:rsidDel="00000000">
              <w:rPr>
                <w:rtl w:val="0"/>
              </w:rPr>
              <w:t xml:space="preserve"> otro daļu, </w:t>
            </w:r>
            <w:r w:rsidR="00000000" w:rsidRPr="00000000" w:rsidDel="00000000">
              <w:rPr>
                <w:rtl w:val="0"/>
              </w:rPr>
              <w:t xml:space="preserve">37.</w:t>
            </w:r>
            <w:r w:rsidR="00000000" w:rsidRPr="00000000" w:rsidDel="00000000">
              <w:rPr>
                <w:vertAlign w:val="superscript"/>
                <w:rtl w:val="0"/>
              </w:rPr>
              <w:t xml:space="preserve">6</w:t>
            </w:r>
            <w:r w:rsidR="00000000" w:rsidRPr="00000000" w:rsidDel="00000000">
              <w:rPr>
                <w:rtl w:val="0"/>
              </w:rPr>
              <w:t xml:space="preserve"> panta</w:t>
            </w:r>
            <w:r w:rsidR="00000000" w:rsidRPr="00000000" w:rsidDel="00000000">
              <w:rPr>
                <w:rtl w:val="0"/>
              </w:rPr>
              <w:t xml:space="preserve"> desmito daļu, pārejas noteikumu </w:t>
            </w:r>
            <w:r w:rsidR="00000000" w:rsidRPr="00000000" w:rsidDel="00000000">
              <w:rPr>
                <w:rtl w:val="0"/>
              </w:rPr>
              <w:t xml:space="preserve">99.</w:t>
            </w:r>
            <w:r w:rsidR="00000000" w:rsidRPr="00000000" w:rsidDel="00000000">
              <w:rPr>
                <w:vertAlign w:val="superscript"/>
                <w:rtl w:val="0"/>
              </w:rPr>
              <w:t xml:space="preserve">2</w:t>
            </w:r>
            <w:r w:rsidR="00000000" w:rsidRPr="00000000" w:rsidDel="00000000">
              <w:rPr>
                <w:rtl w:val="0"/>
              </w:rPr>
              <w:t xml:space="preserve"> punktu</w:t>
            </w:r>
            <w:r w:rsidR="00000000" w:rsidRPr="00000000" w:rsidDel="00000000">
              <w:rPr>
                <w:rtl w:val="0"/>
              </w:rPr>
              <w:t xml:space="preserve"> un </w:t>
            </w:r>
            <w:r w:rsidR="00000000" w:rsidRPr="00000000" w:rsidDel="00000000">
              <w:rPr>
                <w:rtl w:val="0"/>
              </w:rPr>
              <w:t xml:space="preserve">likuma "Par sabiedrisko pakalpojumu regulatoriem" 22. panta</w:t>
            </w:r>
            <w:r w:rsidR="00000000" w:rsidRPr="00000000" w:rsidDel="00000000">
              <w:rPr>
                <w:rtl w:val="0"/>
              </w:rPr>
              <w:t xml:space="preserve"> piekto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uz nepieciešamību apsvērt, vai nebūtu jāpapildina arī ar atsauci uz Elektroenerģijas tirgus likuma pārejas noteikumu 109.punktu.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izvērtēt 156.1.2. un 156.1.3.apakšpunktā lietotā termina "atzinums" saturu, jo ar to var saprast gan īsu atzinumu/secinājumu, ka sistēmas operatora iesniegtā informācija atbilst, gan detalizētu aprakstu ar visiem sistēmas operatora iesniegtajiem faktiem, SPRK pārbaudes rezultātiem un gala secinājumiem. Ievērojot, ka kompensācija tiks izmaksāta no valsts budžeta līdzekļiem, KEM un BVKB ir jāsaņem detalizēts atzinums (kas iekļauj gan sistēmas operatora iesniegtos aprēķinus, gan SPRK secinājumus).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156.1.4.apakšpunktā jābūt atsaucei uz 156.1 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156.2.3.apakšpunktā trūkst vārds “laikā” (30 kalendāra dienu laikā), kā arī atsaucei jābūt uz 156.2.1.apakšpunktu.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noteikumu deleģējumā saskaņā ar spēkā esošajiem tiesību aktiem ietver likumā esošās pamatnormas, nevis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regulatora atzinumu anotācijā ietverta papildu skaidrojoša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7. novembra noteikumos Nr. 635 "Elektroenerģijas tirdzniecības un lietošanas noteikumi" (Latvijas Vēstnesis, 2023, 218. nr.; 2024, 27.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156.</w:t>
            </w:r>
            <w:r w:rsidR="00000000" w:rsidRPr="00000000" w:rsidDel="00000000">
              <w:rPr>
                <w:vertAlign w:val="superscript"/>
                <w:rtl w:val="0"/>
              </w:rPr>
              <w:t xml:space="preserve">1</w:t>
            </w:r>
            <w:r w:rsidR="00000000" w:rsidRPr="00000000" w:rsidDel="00000000">
              <w:rPr>
                <w:rtl w:val="0"/>
              </w:rPr>
              <w:t xml:space="preserve">4. apakšpunktā norādīts, ka sistēmas operatoram valsts kompensāciju (ieskaitot pievienotās vērtības nodokli) izmaksā saskaņā ar šo noteikumu 156.</w:t>
            </w:r>
            <w:r w:rsidR="00000000" w:rsidRPr="00000000" w:rsidDel="00000000">
              <w:rPr>
                <w:vertAlign w:val="superscript"/>
                <w:rtl w:val="0"/>
              </w:rPr>
              <w:t xml:space="preserve">1</w:t>
            </w:r>
            <w:r w:rsidR="00000000" w:rsidRPr="00000000" w:rsidDel="00000000">
              <w:rPr>
                <w:rtl w:val="0"/>
              </w:rPr>
              <w:t xml:space="preserve">2. apakšpunktā minēto rēķinu. Savukārt  noteikumu 156.</w:t>
            </w:r>
            <w:r w:rsidR="00000000" w:rsidRPr="00000000" w:rsidDel="00000000">
              <w:rPr>
                <w:vertAlign w:val="superscript"/>
                <w:rtl w:val="0"/>
              </w:rPr>
              <w:t xml:space="preserve">1</w:t>
            </w:r>
            <w:r w:rsidR="00000000" w:rsidRPr="00000000" w:rsidDel="00000000">
              <w:rPr>
                <w:rtl w:val="0"/>
              </w:rPr>
              <w:t xml:space="preserve">2. apakšpunktā nav minēts rēķins, tādējādi lūdzam precizēt 156.</w:t>
            </w:r>
            <w:r w:rsidR="00000000" w:rsidRPr="00000000" w:rsidDel="00000000">
              <w:rPr>
                <w:vertAlign w:val="superscript"/>
                <w:rtl w:val="0"/>
              </w:rPr>
              <w:t xml:space="preserve">1</w:t>
            </w:r>
            <w:r w:rsidR="00000000" w:rsidRPr="00000000" w:rsidDel="00000000">
              <w:rPr>
                <w:rtl w:val="0"/>
              </w:rPr>
              <w:t xml:space="preserve">4. apakšpunktā norādīto atsauci. Tāpat lūdzam precizēt 156.</w:t>
            </w:r>
            <w:r w:rsidR="00000000" w:rsidRPr="00000000" w:rsidDel="00000000">
              <w:rPr>
                <w:vertAlign w:val="superscript"/>
                <w:rtl w:val="0"/>
              </w:rPr>
              <w:t xml:space="preserve">2</w:t>
            </w:r>
            <w:r w:rsidR="00000000" w:rsidRPr="00000000" w:rsidDel="00000000">
              <w:rPr>
                <w:rtl w:val="0"/>
              </w:rPr>
              <w:t xml:space="preserve">3. apakšpunktā norādīto atsauci. Vienlaikus lūdzam izvērtēt iespēju papildināt 156.</w:t>
            </w:r>
            <w:r w:rsidR="00000000" w:rsidRPr="00000000" w:rsidDel="00000000">
              <w:rPr>
                <w:vertAlign w:val="superscript"/>
                <w:rtl w:val="0"/>
              </w:rPr>
              <w:t xml:space="preserve">2</w:t>
            </w:r>
            <w:r w:rsidR="00000000" w:rsidRPr="00000000" w:rsidDel="00000000">
              <w:rPr>
                <w:rtl w:val="0"/>
              </w:rPr>
              <w:t xml:space="preserve">2. apakšpunktu ar vārdiem "ieskaitot pievienotās vērtības nodokli" kā tas ir šo noteikumu 156.</w:t>
            </w:r>
            <w:r w:rsidR="00000000" w:rsidRPr="00000000" w:rsidDel="00000000">
              <w:rPr>
                <w:vertAlign w:val="superscript"/>
                <w:rtl w:val="0"/>
              </w:rPr>
              <w:t xml:space="preserve">1</w:t>
            </w:r>
            <w:r w:rsidR="00000000" w:rsidRPr="00000000" w:rsidDel="00000000">
              <w:rPr>
                <w:rtl w:val="0"/>
              </w:rPr>
              <w:t xml:space="preserve">3. un 156.</w:t>
            </w:r>
            <w:r w:rsidR="00000000" w:rsidRPr="00000000" w:rsidDel="00000000">
              <w:rPr>
                <w:vertAlign w:val="superscript"/>
                <w:rtl w:val="0"/>
              </w:rPr>
              <w:t xml:space="preserve">2</w:t>
            </w:r>
            <w:r w:rsidR="00000000" w:rsidRPr="00000000" w:rsidDel="00000000">
              <w:rPr>
                <w:rtl w:val="0"/>
              </w:rPr>
              <w:t xml:space="preserve">1. apakšpunktos.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1.3.sadaļā pie risinājuma aprakstiem norādīto informāciju, ka pēc grozījumu projektā minētā rēķina saņemšanas Klimata un enerģētikas ministrija izstrādās un apstiprināšanai virzīs rīkojuma projektu par apropriācijas pārdali valsts kompensācijai nepieciešamā finansējuma nodrošināšanai, ņemot vērā, ka šāda finansēšanas kārtība attiecināma tikai uz 2024.gadu, savukārt turpmākajos gados finansējums nodrošināms Ekonomikas ministrijas budžeta ietvaros atbilstoši Klimata un enerģētikas ministrijas sagatavojamajam informatīvajam ziņojumam "Kompleksi pasākumi obligātā iepirkuma komponentes problemātikas risināšanai un elektroenerģijas tirgus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anotācijas 3. sadaļā pie citas informācijas kāds varētu būt, atbilstoši AS “Sadales tīkls” sniegtajai informācijai, iztrūkstošā finansējuma apjoms, lai segtu 2024. gada decembra rēķinu kompensāciju. Kā arī papildus lūdzam norādīt, kādā apjomā tiek plānota valsts kompensācija sistēmas operatoram par mājsaimniecību lietotājiem piemēroto izmaksu samazinājumu par sistēmas pakalpojumiem 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pie citas informācijas norādīto pēdējo teikumu, izsakot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kompensācijas izmaksai nepieciešamais finansējums 2025.gadā tiks nodrošināts Ekonomikas ministrijas budžeta ietvaros atbilstoši informatīvam ziņojumam "Kompleksi pasākumi obligātā iepirkuma komponentes problemātikas risināšanai un elektroenerģijas tirgus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7.2.apakšpunkta aprakstošajā daļā par aprēķinu skaidrojumu ir norādīts, ka Regulatora rīcībā jau izvērtējot tarifu projektu ir pieejama informācija, kas nepieciešama, lai veiktu nesegto ieņēmumu daļas aprēķinu, Regulators paskaidro, ka nesegtās ieņēmumu daļas noteikšanai ir vajadzīgs kopsakarā vērtēt gan tarifu projekta izvērtēšanas gaitā elektroenerģijas sadales sistēmas iesniegto informāciju (tajā skaitā informāciju par prognozēto sadalīto elektroenerģijas apjomu), gan informāciju, ko Regulators no elektroenerģijas sadales sistēmas operatora vēl tikai saņems kopā ar aprēķiniem par negūtajiem ieņēmumiem, līdz ar to Regulators aicina anotācijas 7.2.apakšpunktā ietverto skaidrojumu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ETL pārejas noteikumu 107.punkts noteic, ka regulators nosaka mājsaimniecību lietotājiem piemērotā sadales sistēmas tarifa fiksētās komponentes vērtību novirzes, tāpēc regulators jau sākotnēji būs izvērtējis sadales sistēmas operatora iesniegto tarifu projektu, </w:t>
            </w:r>
            <w:r w:rsidR="00000000" w:rsidRPr="00000000" w:rsidDel="00000000">
              <w:rPr>
                <w:b w:val="1"/>
                <w:rtl w:val="0"/>
              </w:rPr>
              <w:t xml:space="preserve">to salīdzinot ar sistēmas operatora iesniegto faktisko informāciju ar aprēķinu par pamatotajiem negūtajiem ieņēmumiem, </w:t>
            </w:r>
            <w:r w:rsidR="00000000" w:rsidRPr="00000000" w:rsidDel="00000000">
              <w:rPr>
                <w:rtl w:val="0"/>
              </w:rPr>
              <w:t xml:space="preserve"> būs iespējams veikt nesegto ieņēmumu daļas aprēķinu. Ņemot vērā aprēķinu iesniegšanas biežumu, regulators noteikumu projektā paredzētos atzinumus sistēmas operatoram izsniegs resora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Būvniecības valsts kontroles birojs 30 kalendāra dienu laikā izmaksā sistēmas operatoram valsts kompensāciju (ieskaitot pievienotās vērtības nodokli) saskaņā ar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156.</w:t>
            </w:r>
            <w:r w:rsidR="00000000" w:rsidRPr="00000000" w:rsidDel="00000000">
              <w:rPr>
                <w:vertAlign w:val="superscript"/>
                <w:rtl w:val="0"/>
              </w:rPr>
              <w:t xml:space="preserve">1</w:t>
            </w:r>
            <w:r w:rsidR="00000000" w:rsidRPr="00000000" w:rsidDel="00000000">
              <w:rPr>
                <w:rtl w:val="0"/>
              </w:rPr>
              <w:t xml:space="preserve">4.apakšpunktā ir ietverta atsauce uz Noteikumu 156.</w:t>
            </w:r>
            <w:r w:rsidR="00000000" w:rsidRPr="00000000" w:rsidDel="00000000">
              <w:rPr>
                <w:vertAlign w:val="superscript"/>
                <w:rtl w:val="0"/>
              </w:rPr>
              <w:t xml:space="preserve">1</w:t>
            </w:r>
            <w:r w:rsidR="00000000" w:rsidRPr="00000000" w:rsidDel="00000000">
              <w:rPr>
                <w:rtl w:val="0"/>
              </w:rPr>
              <w:t xml:space="preserve">2.apakšpunktā minēto rēķinu, tomēr jāvērš uzmanība, ka Noteikumu 156.</w:t>
            </w:r>
            <w:r w:rsidR="00000000" w:rsidRPr="00000000" w:rsidDel="00000000">
              <w:rPr>
                <w:vertAlign w:val="superscript"/>
                <w:rtl w:val="0"/>
              </w:rPr>
              <w:t xml:space="preserve">1</w:t>
            </w:r>
            <w:r w:rsidR="00000000" w:rsidRPr="00000000" w:rsidDel="00000000">
              <w:rPr>
                <w:rtl w:val="0"/>
              </w:rPr>
              <w:t xml:space="preserve">2.apakšpunktā ir ietverta tiesību norma par sistēmas operatora sagatavoto aprēķinu un Regulatora atzinumu un tajā nav minēts rēķins. Ievērojot minēto, Regulators aicina precizēt Noteikumu 156.</w:t>
            </w:r>
            <w:r w:rsidR="00000000" w:rsidRPr="00000000" w:rsidDel="00000000">
              <w:rPr>
                <w:vertAlign w:val="superscript"/>
                <w:rtl w:val="0"/>
              </w:rPr>
              <w:t xml:space="preserve">1</w:t>
            </w:r>
            <w:r w:rsidR="00000000" w:rsidRPr="00000000" w:rsidDel="00000000">
              <w:rPr>
                <w:rtl w:val="0"/>
              </w:rPr>
              <w:t xml:space="preserve">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5. Būvniecības valsts kontroles birojs 60 kalendāra dienu laikā no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minētā atzinuma un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minētā rēķina saņemšanas izmaksā sistēmas operatoram valsts kompensāciju (ieskaitot pievienotās vērtības nodokli) saskaņā ar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Būvniecības valsts kontroles birojs 30 kalendāra dienu laikā izmaksā sistēmas operatoram valsts kompensāciju (ieskaitot pievienotās vērtības nodokli) saskaņā ar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paredzēto noteikumu 156.</w:t>
            </w:r>
            <w:r w:rsidR="00000000" w:rsidRPr="00000000" w:rsidDel="00000000">
              <w:rPr>
                <w:vertAlign w:val="superscript"/>
                <w:rtl w:val="0"/>
              </w:rPr>
              <w:t xml:space="preserve">1</w:t>
            </w:r>
            <w:r w:rsidR="00000000" w:rsidRPr="00000000" w:rsidDel="00000000">
              <w:rPr>
                <w:rtl w:val="0"/>
              </w:rPr>
              <w:t xml:space="preserve">4. un 156.</w:t>
            </w:r>
            <w:r w:rsidR="00000000" w:rsidRPr="00000000" w:rsidDel="00000000">
              <w:rPr>
                <w:vertAlign w:val="superscript"/>
                <w:rtl w:val="0"/>
              </w:rPr>
              <w:t xml:space="preserve">2</w:t>
            </w:r>
            <w:r w:rsidR="00000000" w:rsidRPr="00000000" w:rsidDel="00000000">
              <w:rPr>
                <w:rtl w:val="0"/>
              </w:rPr>
              <w:t xml:space="preserve">3. apakšpunktu, norādot, no kura brīža tiek skaitīts 30 kalendāra dienu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kādēļ projektā paredzētajā noteikumu 156.</w:t>
            </w:r>
            <w:r w:rsidR="00000000" w:rsidRPr="00000000" w:rsidDel="00000000">
              <w:rPr>
                <w:vertAlign w:val="superscript"/>
                <w:rtl w:val="0"/>
              </w:rPr>
              <w:t xml:space="preserve">1</w:t>
            </w:r>
            <w:r w:rsidR="00000000" w:rsidRPr="00000000" w:rsidDel="00000000">
              <w:rPr>
                <w:rtl w:val="0"/>
              </w:rPr>
              <w:t xml:space="preserve">4. un 156.</w:t>
            </w:r>
            <w:r w:rsidR="00000000" w:rsidRPr="00000000" w:rsidDel="00000000">
              <w:rPr>
                <w:vertAlign w:val="superscript"/>
                <w:rtl w:val="0"/>
              </w:rPr>
              <w:t xml:space="preserve">2</w:t>
            </w:r>
            <w:r w:rsidR="00000000" w:rsidRPr="00000000" w:rsidDel="00000000">
              <w:rPr>
                <w:rtl w:val="0"/>
              </w:rPr>
              <w:t xml:space="preserve">3. apakšpunktā ir noteikts 30 kalendāra dienu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5. Būvniecības valsts kontroles birojs 60 kalendāra dienu laikā no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minētā atzinuma un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minētā rēķina saņemšanas izmaksā sistēmas operatoram valsts kompensāciju (ieskaitot pievienotās vērtības nodokli) saskaņā ar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5. Būvniecības valsts kontroles birojs 60 kalendāra dienu laikā no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minētā rēķina saņemšanas izmaksā sistēmas operatoram valsts kompensāciju (ieskaitot pievienotās vērtības nodokli) saskaņā ar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projektā "Grozījumi Ministru kabineta 2023. gada 7. novembra noteikumos Nr. 635 "Elektroenerģijas tirdzniecības un lietošanas noteikumi"" (turpmāk – projekts) paredzētajā Ministru kabineta 2023. gada 7. novembra noteikumu Nr. 635 "Elektroenerģijas tirdzniecības un lietošanas noteikumi" (turpmāk – noteikumi) 156.</w:t>
            </w:r>
            <w:r w:rsidR="00000000" w:rsidRPr="00000000" w:rsidDel="00000000">
              <w:rPr>
                <w:vertAlign w:val="superscript"/>
                <w:rtl w:val="0"/>
              </w:rPr>
              <w:t xml:space="preserve">1</w:t>
            </w:r>
            <w:r w:rsidR="00000000" w:rsidRPr="00000000" w:rsidDel="00000000">
              <w:rPr>
                <w:rtl w:val="0"/>
              </w:rPr>
              <w:t xml:space="preserve">4. apakšpunktā minēts </w:t>
            </w:r>
            <w:r w:rsidR="00000000" w:rsidRPr="00000000" w:rsidDel="00000000">
              <w:rPr>
                <w:u w:val="single"/>
                <w:rtl w:val="0"/>
              </w:rPr>
              <w:t xml:space="preserve">Sabiedrisko pakalpojumu regulēšanas komisijas atzinums par pamatoto negūto ieņēmumu apmēru un tam atbilstošs sistēmas operatora rēķins (ieskaitot pievienotās vērtības nodokli)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projektā paredzētajā noteikumu 156.</w:t>
            </w:r>
            <w:r w:rsidR="00000000" w:rsidRPr="00000000" w:rsidDel="00000000">
              <w:rPr>
                <w:vertAlign w:val="superscript"/>
                <w:rtl w:val="0"/>
              </w:rPr>
              <w:t xml:space="preserve">1</w:t>
            </w:r>
            <w:r w:rsidR="00000000" w:rsidRPr="00000000" w:rsidDel="00000000">
              <w:rPr>
                <w:rtl w:val="0"/>
              </w:rPr>
              <w:t xml:space="preserve">5. apakšpunktā ir ietverta atsauce tikai uz noteikumu 156.</w:t>
            </w:r>
            <w:r w:rsidR="00000000" w:rsidRPr="00000000" w:rsidDel="00000000">
              <w:rPr>
                <w:vertAlign w:val="superscript"/>
                <w:rtl w:val="0"/>
              </w:rPr>
              <w:t xml:space="preserve">1</w:t>
            </w:r>
            <w:r w:rsidR="00000000" w:rsidRPr="00000000" w:rsidDel="00000000">
              <w:rPr>
                <w:rtl w:val="0"/>
              </w:rPr>
              <w:t xml:space="preserve">4. apakšpunktā minēto </w:t>
            </w:r>
            <w:r w:rsidR="00000000" w:rsidRPr="00000000" w:rsidDel="00000000">
              <w:rPr>
                <w:u w:val="single"/>
                <w:rtl w:val="0"/>
              </w:rPr>
              <w:t xml:space="preserve">rēķinu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noteikumu 156.</w:t>
            </w:r>
            <w:r w:rsidR="00000000" w:rsidRPr="00000000" w:rsidDel="00000000">
              <w:rPr>
                <w:vertAlign w:val="superscript"/>
                <w:rtl w:val="0"/>
              </w:rPr>
              <w:t xml:space="preserve">1</w:t>
            </w:r>
            <w:r w:rsidR="00000000" w:rsidRPr="00000000" w:rsidDel="00000000">
              <w:rPr>
                <w:rtl w:val="0"/>
              </w:rPr>
              <w:t xml:space="preserve">5. apakšpunktā ietverto regulējumu un precizēt to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Iekļauta atsauce uz noteikumu projekta 156.</w:t>
            </w:r>
            <w:r w:rsidR="00000000" w:rsidRPr="00000000" w:rsidDel="00000000">
              <w:rPr>
                <w:vertAlign w:val="superscript"/>
                <w:rtl w:val="0"/>
              </w:rPr>
              <w:t xml:space="preserve">1</w:t>
            </w:r>
            <w:r w:rsidR="00000000" w:rsidRPr="00000000" w:rsidDel="00000000">
              <w:rPr>
                <w:rtl w:val="0"/>
              </w:rPr>
              <w:t xml:space="preserve">3.apakšpunktā minēto regulatora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5. Būvniecības valsts kontroles birojs 60 kalendāra dienu laikā no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minētā atzinuma un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minētā rēķina saņemšanas izmaksā sistēmas operatoram valsts kompensāciju (ieskaitot pievienotās vērtības nodokli) saskaņā ar šo noteikumu </w:t>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4. </w:t>
            </w:r>
            <w:r w:rsidR="00000000" w:rsidRPr="00000000" w:rsidDel="00000000">
              <w:rPr>
                <w:rtl w:val="0"/>
              </w:rPr>
              <w:t xml:space="preserve">apakšpunktā</w:t>
            </w:r>
            <w:r w:rsidR="00000000" w:rsidRPr="00000000" w:rsidDel="00000000">
              <w:rPr>
                <w:rtl w:val="0"/>
              </w:rPr>
              <w:t xml:space="preserve"> minēto rēķinu.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1</w:t>
            </w:r>
            <w:r w:rsidR="00000000" w:rsidRPr="00000000" w:rsidDel="00000000">
              <w:rPr>
                <w:rtl w:val="0"/>
              </w:rPr>
              <w:t xml:space="preserve">5. līdz 2026.gada 30.jūnijam sistēmas operators ar Būvniecības valsts kontroles biroju veic galīgo savstarpējo norēķinu, ja konstatēta nepieciešamība veikt valsts kompensācijas maksājumu korekciju.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kabineta noteikumu projekta pamattekstā ietver normas, kas darbojas pastāvīgi</w:t>
            </w:r>
            <w:r w:rsidR="00000000" w:rsidRPr="00000000" w:rsidDel="00000000">
              <w:rPr>
                <w:rtl w:val="0"/>
              </w:rPr>
              <w:t xml:space="preserve">. Savukārt Ministru kabineta 2009. gada 3. februāra noteikumu Nr. 108 "Normatīvo aktu projektu sagatavošanas noteikumi" 115. punkts noteic, ka Ministru kabineta noteikumu projektam, ja nepieciešams, raksta noslēguma jautājumus. </w:t>
            </w:r>
            <w:r w:rsidR="00000000" w:rsidRPr="00000000" w:rsidDel="00000000">
              <w:rPr>
                <w:u w:val="single"/>
                <w:rtl w:val="0"/>
              </w:rPr>
              <w:t xml:space="preserve">Noslēguma jautājumos nosaka pārejas kārtību no pastāvošā tiesiskā regulējuma uz jauno tiesisko regulējumu. Noslēguma jautājumos neietver normas, kas darbojas pastāvīgi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projektā paredzēto noteikumu 156.</w:t>
            </w:r>
            <w:r w:rsidR="00000000" w:rsidRPr="00000000" w:rsidDel="00000000">
              <w:rPr>
                <w:vertAlign w:val="superscript"/>
                <w:rtl w:val="0"/>
              </w:rPr>
              <w:t xml:space="preserve">1</w:t>
            </w:r>
            <w:r w:rsidR="00000000" w:rsidRPr="00000000" w:rsidDel="00000000">
              <w:rPr>
                <w:rtl w:val="0"/>
              </w:rPr>
              <w:t xml:space="preserve">5. un 156.</w:t>
            </w:r>
            <w:r w:rsidR="00000000" w:rsidRPr="00000000" w:rsidDel="00000000">
              <w:rPr>
                <w:vertAlign w:val="superscript"/>
                <w:rtl w:val="0"/>
              </w:rPr>
              <w:t xml:space="preserve">2</w:t>
            </w:r>
            <w:r w:rsidR="00000000" w:rsidRPr="00000000" w:rsidDel="00000000">
              <w:rPr>
                <w:rtl w:val="0"/>
              </w:rPr>
              <w:t xml:space="preserve">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3. Būvniecības valsts kontroles birojs 30 kalendāra dienu izmaksā sistēmas operatoram valsts kompensāciju (ieskaitot pievienotās vērtības nodokli) saskaņā ar šo noteikumu 156.12. apakšpunktā minēto rēķinu;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noteikumu apakšpunktā ir ietverta atsauce uz Noteikumu 156.12.apakšpunktu. Regulators vērš uzmanību, ka šāda punkta Noteikumu tekstā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3. Būvniecības valsts kontroles birojs 60 kalendāra dienu laikā no šo noteikumu </w:t>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minētā rēķina vai no šo noteikumu </w:t>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precizētā rēķina saņemšanas izmaksā sistēmas operatoram valsts kompensāciju (ieskaitot pievienotās vērtības nodokli) saskaņā ar šo noteikumu </w:t>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1. </w:t>
            </w:r>
            <w:r w:rsidR="00000000" w:rsidRPr="00000000" w:rsidDel="00000000">
              <w:rPr>
                <w:rtl w:val="0"/>
              </w:rPr>
              <w:t xml:space="preserve">apakšpunktā</w:t>
            </w:r>
            <w:r w:rsidR="00000000" w:rsidRPr="00000000" w:rsidDel="00000000">
              <w:rPr>
                <w:rtl w:val="0"/>
              </w:rPr>
              <w:t xml:space="preserve"> minēto rēķinu vai šo noteikumu </w:t>
            </w:r>
            <w:r w:rsidR="00000000" w:rsidRPr="00000000" w:rsidDel="00000000">
              <w:rPr>
                <w:rtl w:val="0"/>
              </w:rPr>
              <w:t xml:space="preserve">156.</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precizēto rēķinu.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24-TA-1160</w:t>
    </w:r>
    <w:r>
      <w:br/>
    </w:r>
    <w:r w:rsidR="00000000" w:rsidRPr="00000000" w:rsidDel="00000000">
      <w:rPr>
        <w:rtl w:val="0"/>
      </w:rPr>
      <w:t xml:space="preserve">30.05.2024. 09.05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24-TA-1160</w:t>
    </w:r>
    <w:r>
      <w:br/>
    </w:r>
    <w:r w:rsidR="00000000" w:rsidRPr="00000000" w:rsidDel="00000000">
      <w:rPr>
        <w:rtl w:val="0"/>
      </w:rPr>
      <w:t xml:space="preserve">30.05.2024. 09.05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Izziņa_24-TA-1160.docx</dc:title>
</cp:coreProperties>
</file>

<file path=docProps/custom.xml><?xml version="1.0" encoding="utf-8"?>
<Properties xmlns="http://schemas.openxmlformats.org/officeDocument/2006/custom-properties" xmlns:vt="http://schemas.openxmlformats.org/officeDocument/2006/docPropsVTypes"/>
</file>