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23-TA-2880: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12. aprīļa noteikumos Nr. 226 "Noteikumi par akcelerācijas fondiem saimnieciskās darbības veicēju izveides, attīstības un konkurētspējas veicināšanai"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20 darba dienu laikā pēc noteikumu spēkā stāšanās Ekonomikas ministrija izmantojot SANI2 sistēmu nosūtīs kopsavilkuma informāciju Eiropas Komisijai par grozījumiem pasākumā.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5.3. sadaļa papildināta, ka Ekonomikas ministrija, izmantojot  Eiropas Komisijas elektroniskās paziņošanas sistēmu,20 darbdienu laikā no atbalsta pasākuma stāšanās spēkā nosūtīs kopsavilkuma informāciju Regulas Nr. 651/2014 II pielikumā noteiktajā standartizētajā formātā par atbalsta pasākumu.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Akcelerācijas fondu (turpmāk – fonds) ietvaros pasākuma gala labuma guvēji ir komersanti un lauksaimniecības pakalpojumu kooperatīvās sabiedrības (turpmāk – saimnieciskās darbības veicēji).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Nr.651/2014 651/2014 21.panta nosacījumi ir jāvērtē/jāpiemēro uzņēmuma grupas līmenī (Komisijas regulas Nr.651/2014 angliskajā versijā nosacījumi, kas ir attiecināmi uz ‘undertaking’, ir jāpārbauda/jāpiemēro uzņēmuma grupas līmenī), lūdzam noteikumus papildināt, piemēram, ar definīciju, ka ar terminu “saimnieciskās darbības veicējs” tiek saprasts MVU, kas vērtējams grupas līmenī, vai arī katrā no nosacījumiem, kur jāpārbauda/jāpiemēro MVU grupa, to attiecīgi skaidri norādīt. Komisijas regulas Nr.651/2014 angliskajā versijā 'undertaking' tiek lietots, piemēram, 21.panta 3. - 8.punktos, tostarp pārbaudot, ka noteiktie limiti netiek pārsniegti grupas līmenī. Vienlaikus ar skaidrojumu lūdzam papildināt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norādot, ka saimnieciskās darbības veicēji tiek vērtēti MVU grupas līmenī.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Akcelerācijas fondu (turpmāk – fonds) ietvaros pasākuma gala labuma guvēji ir komersanti un lauksaimniecības pakalpojumu kooperatīvās sabiedrības (turpmāk – saimnieciskās darbības veicēji).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2. jāizpilda nosacījumi, kas paredzēti Komisijas regulas Nr. 651/2014. 21. pantā, izņemot Komisijas regulas Nr. 651/2014 21. panta 3., 4., 8., 12. un 13. punktā paredzētos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Savienības regulu prasības ir aizliegts pārrakstīt nacionālajā normatīvajā aktā un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Ņemot vērā minēto, lūdzam izvērtēt projekta 10. un 11. punktu (noteikumu 42. un 42.</w:t>
            </w:r>
            <w:r w:rsidR="00000000" w:rsidRPr="00000000" w:rsidDel="00000000">
              <w:rPr>
                <w:vertAlign w:val="superscript"/>
                <w:rtl w:val="0"/>
              </w:rPr>
              <w:t xml:space="preserve">1</w:t>
            </w:r>
            <w:r w:rsidR="00000000" w:rsidRPr="00000000" w:rsidDel="00000000">
              <w:rPr>
                <w:rtl w:val="0"/>
              </w:rPr>
              <w:t xml:space="preserve"> punktu) un precizēt projektu, nodrošinot, ka netiek dublētas Eiropas Komisijas 2014. gada 17. jūnija Regulas (ES) Nr. 651/2014, ar ko noteiktas atbalsta kategorijas atzīst par saderīgām ar iekšējo tirgu, piemērojot Līguma 107. un 108. pantu, 21. panta 12. un 18. punkta prasības (sk., piemēram, 42.</w:t>
            </w:r>
            <w:r w:rsidR="00000000" w:rsidRPr="00000000" w:rsidDel="00000000">
              <w:rPr>
                <w:vertAlign w:val="superscript"/>
                <w:rtl w:val="0"/>
              </w:rPr>
              <w:t xml:space="preserve">1</w:t>
            </w:r>
            <w:r w:rsidR="00000000" w:rsidRPr="00000000" w:rsidDel="00000000">
              <w:rPr>
                <w:rtl w:val="0"/>
              </w:rPr>
              <w:t xml:space="preserve"> 2. apakšpunktu un minētās regulas 21. panta 18. punkta pirmās daļas "b" apakšpunktu). Alternatīvi lūdzam sniegt pamatotu skaidrojumu, kā minētās projekta normas atbilst iepriekš minētajam.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2. tiek izpildīts  Komisijas regulas Nr. 651/2014 18. punkta b) apakšpunkts;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r w:rsidR="00000000" w:rsidRPr="00000000" w:rsidDel="00000000">
              <w:rPr>
                <w:vertAlign w:val="superscript"/>
                <w:rtl w:val="0"/>
              </w:rPr>
              <w:t xml:space="preserve">2</w:t>
            </w:r>
            <w:r w:rsidR="00000000" w:rsidRPr="00000000" w:rsidDel="00000000">
              <w:rPr>
                <w:rtl w:val="0"/>
              </w:rPr>
              <w:t xml:space="preserve"> Ja tiek pārkāptas šajos noteikumos noteiktās komercdarbības atbalsta kontroles normas, tostarp nosacījumi, kas izriet no Komisijas regulas Nr. </w:t>
            </w:r>
            <w:r w:rsidR="00000000" w:rsidRPr="00000000" w:rsidDel="00000000">
              <w:rPr>
                <w:rtl w:val="0"/>
              </w:rPr>
              <w:t xml:space="preserve">​651/2014</w:t>
            </w:r>
            <w:r w:rsidR="00000000" w:rsidRPr="00000000" w:rsidDel="00000000">
              <w:rPr>
                <w:rtl w:val="0"/>
              </w:rPr>
              <w:t xml:space="preserve">, saimnieciskās darbības veicējam ir pienākums atmaksāt sabiedrībai Altum projekta ietvaros saņemto nelikumīgo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atgūstams ir nelikumīgs komercdarbības atbalsts neatkarīgi no tā ar kādu komercdarbības atbalsta regulējumu tas tiek sniegts, ja tiek pārkāptas tā prasības, lūdzam šo noteikumu 52.</w:t>
            </w:r>
            <w:r w:rsidR="00000000" w:rsidRPr="00000000" w:rsidDel="00000000">
              <w:rPr>
                <w:vertAlign w:val="superscript"/>
                <w:rtl w:val="0"/>
              </w:rPr>
              <w:t xml:space="preserve">2</w:t>
            </w:r>
            <w:r w:rsidR="00000000" w:rsidRPr="00000000" w:rsidDel="00000000">
              <w:rPr>
                <w:rtl w:val="0"/>
              </w:rPr>
              <w:t xml:space="preserve"> punktu izteikt,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552.2 Ja tiek pārkāptas Komisijas regulas Nr. 651/2014 vai Komisijas regulas Nr. 1407/2013 prasības, atbalsta saņēmējam ir pienākums atmaksāt atbalsta sniedzējam visu projekta ietvaros saņemto nelikumīgo atbalstu no līdzekļiem, kas ir brīvi no valsts atbalsta, kopā ar procentiem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r w:rsidR="00000000" w:rsidRPr="00000000" w:rsidDel="00000000">
              <w:rPr>
                <w:vertAlign w:val="superscript"/>
                <w:rtl w:val="0"/>
              </w:rPr>
              <w:t xml:space="preserve">2</w:t>
            </w:r>
            <w:r w:rsidR="00000000" w:rsidRPr="00000000" w:rsidDel="00000000">
              <w:rPr>
                <w:rtl w:val="0"/>
              </w:rPr>
              <w:t xml:space="preserve"> Ja tiek pārkāptas Komisijas regulas Nr. </w:t>
            </w:r>
            <w:r w:rsidR="00000000" w:rsidRPr="00000000" w:rsidDel="00000000">
              <w:rPr>
                <w:rtl w:val="0"/>
              </w:rPr>
              <w:t xml:space="preserve">​651/2014</w:t>
            </w:r>
            <w:r w:rsidR="00000000" w:rsidRPr="00000000" w:rsidDel="00000000">
              <w:rPr>
                <w:rtl w:val="0"/>
              </w:rPr>
              <w:t xml:space="preserve"> vai Komisijas regulas Nr. 1407/2013 prasības, atbalsta saņēmējam ir pienākums atmaksāt atbalsta sniedzējam visu  projekta ietvaros saņemto nelikumīgo atbalstu no līdzekļiem, kas ir brīvi no komercdarbības atbalsta kopā ar procentiem,,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Finanšu starpnieki nodrošina šo noteikumu ietvaros sniegtā atbalsta uzskaiti, tai skaitā detalizētu informatīvu un pamatojošu dokumentāciju, kas nepieciešama, lai noteiktu, ka ir izpildīti šo noteikumu nosacījumi. Minēto uzskaiti un dokumentāciju finanšu starpnieki glabā 10 gadus no pēdējā atbalsta piešķiršanas dienas. Saimnieciskās darbības veicēji informāciju par šo noteikumu ietvaros saņemto atbalstu glabā 10 gadus no atbalsta saņemšanas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noteikumu 20.</w:t>
            </w:r>
            <w:r w:rsidR="00000000" w:rsidRPr="00000000" w:rsidDel="00000000">
              <w:rPr>
                <w:vertAlign w:val="superscript"/>
                <w:rtl w:val="0"/>
              </w:rPr>
              <w:t xml:space="preserve">2</w:t>
            </w:r>
            <w:r w:rsidR="00000000" w:rsidRPr="00000000" w:rsidDel="00000000">
              <w:rPr>
                <w:rtl w:val="0"/>
              </w:rPr>
              <w:t xml:space="preserve">.punktā ietverto nosacījumu par iespējamo līguma termiņu un to, ka attiecīgi dokumenti ir jāglabā visu līguma darbības laiku, lūdzam precizēt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precizējot dokumentu glabāšanas termiņu.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Finanšu starpnieki nodrošina šo noteikumu ietvaros sniegtā atbalsta uzskaiti, tai skaitā detalizētu informatīvu un pamatojošu dokumentāciju, kas nepieciešama, lai noteiktu, ka ir izpildīti šo noteikumu nosacījumi. Minēto uzskaiti un dokumentāciju finanšu starpnieki glabā 10 gadus no pēdējā atbalsta piešķiršanas dienas, bet ne mazāk kā līdz šo noteikumu </w:t>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 punktā noteiktajam termiņam. Saimnieciskās darbības veicēji informāciju par šo noteikumu ietvaros saņemto atbalstu glabā visu atbalsta saņemšanas laiku, bet ne mazāk kā 10 gadus no atbalsta saņemšanas dienas.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1.3. sadaļas risinājuma apraksta 3. punktā ietverto skaidrojumu par noteikumu projekta 11. punktu (noteikumu 42.</w:t>
            </w:r>
            <w:r w:rsidR="00000000" w:rsidRPr="00000000" w:rsidDel="00000000">
              <w:rPr>
                <w:vertAlign w:val="superscript"/>
                <w:rtl w:val="0"/>
              </w:rPr>
              <w:t xml:space="preserve">1</w:t>
            </w:r>
            <w:r w:rsidR="00000000" w:rsidRPr="00000000" w:rsidDel="00000000">
              <w:rPr>
                <w:rtl w:val="0"/>
              </w:rPr>
              <w:t xml:space="preserve"> punktu), jo no tā izriet vairāki nosacījumi, kas jāievēro attiecībā uz </w:t>
            </w:r>
            <w:r w:rsidR="00000000" w:rsidRPr="00000000" w:rsidDel="00000000">
              <w:rPr>
                <w:i w:val="1"/>
                <w:rtl w:val="0"/>
              </w:rPr>
              <w:t xml:space="preserve">de minimis</w:t>
            </w:r>
            <w:r w:rsidR="00000000" w:rsidRPr="00000000" w:rsidDel="00000000">
              <w:rPr>
                <w:rtl w:val="0"/>
              </w:rPr>
              <w:t xml:space="preserve"> atbalsta sniegšanu, taču anotācijā minēts tikai viens nosacījums.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papildus nosacījumiem par de minimis atbalsta saņemšanu.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problēmas apraksta pēdējo teikumu.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precizēt MK noteikumus Nr. 226, nosakot labvēlīgākas normas atbalsta sniegšanai saimnieciskās darbības veicējiem to biznesa projektu īstenošanai, t.sk. paredzot labvēlīgākus nosacījumus attiecībā uz zemāka privātā līdzfinansējuma sliekšņa piemērošanu sākot ar 01.07.2023., proti ar Komisijas regulas Nr. 651/2014 grozījumu spēkā stāšanos.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problēmas apraksts papildināts.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veiktās izmaiņas projektā (sk., piemēram, noteikumu 36.2. apakšpunktu), aicinām precizēt anotācijas 5.4. sadaļas 1. tabulā norādīto informāciju par projekta vienībās ieviestajām Eiropas Savienības regulu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5.sadaļa precizēta atbilstoši grozījumiem.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anotācijas pielikumu,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 vai papildināt izziņu/anotāciju, norādot, ka EM ir izvērtējusi un apliecina, ka programmas rādītāju novērtējums saskaņā ar šiem grozījumiem nav jāveic.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Altum apliecina, ka noteikumu projektā ietvertie grozījumi neietekmē apstiprināto programmas rādītāju novērtējumu, jo kopējais finansējums programmai netiek mainīts.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tam ar tiesas spriedumu ir pasludināts maksātnespējas process, tiek īstenots tiesiskās aizsardzības process, ar tiesas lēmumu tiek īstenots ārpustiesas tiesiskās aizsardzības process, ir uzsākta bankrota procedūra, piemērota sanācija vai mierizlīgums, tā saimnieciskā darbība ir izbeigta vai tas atbilst normatīvajos aktos noteiktajiem kritērijiem, lai tam pēc kreditoru pieprasījuma pieprasītu maksātnespējas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paredzot, ka atbalsta pretendents iesniedz apliecinājumu par atbilstību 8.2. apakšpunktā minētajam nosacījumam “vai tas atbilst normatīvajos aktos noteiktajiem kritērijiem, lai tam pēc kreditoru pieprasījuma pieprasītu maksātnespējas procedūru”, ņemot vēra, ka nacionāli šī prasība tiek pārbaudīta, balstoties uz atbalsta pretendenta iesniegtu apliecinājumu.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8.2.apakšpuntā minētie nosacījumi attiecas uz finanšu starpniekiem un tie jau ir atlasīti un pārbaudīti noteikumu projekta noteiktajā kārtībā. Attiecībā uz atbalsta saņēmējiem, tā ir nacionālā prakse to pārbaudīt caur apliecinājumu un tas tiek darīts.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tam ar tiesas spriedumu ir pasludināts maksātnespējas process, tiek īstenots tiesiskās aizsardzības process, ar tiesas lēmumu tiek īstenots ārpustiesas tiesiskās aizsardzības process, ir uzsākta bankrota procedūra, piemērota sanācija vai mierizlīgums, tā saimnieciskā darbība ir izbeigta vai tas atbilst normatīvajos aktos noteiktajiem kritērijiem, lai tam pēc kreditoru pieprasījuma pieprasītu maksātnespējas procedūru;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Komisijas regulas Nr.  </w:t>
            </w:r>
            <w:r w:rsidR="00000000" w:rsidRPr="00000000" w:rsidDel="00000000">
              <w:rPr>
                <w:rtl w:val="0"/>
              </w:rPr>
              <w:t xml:space="preserve">651/2014</w:t>
            </w:r>
            <w:r w:rsidR="00000000" w:rsidRPr="00000000" w:rsidDel="00000000">
              <w:rPr>
                <w:rtl w:val="0"/>
              </w:rPr>
              <w:t xml:space="preserve"> 22. panta 2. punktā noteiktajam, ievērojot šo noteikumu </w:t>
            </w:r>
            <w:r w:rsidR="00000000" w:rsidRPr="00000000" w:rsidDel="00000000">
              <w:rPr>
                <w:rtl w:val="0"/>
              </w:rPr>
              <w:t xml:space="preserve">27.3.</w:t>
            </w:r>
            <w:r w:rsidR="00000000" w:rsidRPr="00000000" w:rsidDel="00000000">
              <w:rPr>
                <w:rtl w:val="0"/>
              </w:rPr>
              <w:t xml:space="preserve"> apakšpunktā minētos nosacījumus. Piemērojot Komisijas regulas Nr.  </w:t>
            </w:r>
            <w:r w:rsidR="00000000" w:rsidRPr="00000000" w:rsidDel="00000000">
              <w:rPr>
                <w:rtl w:val="0"/>
              </w:rPr>
              <w:t xml:space="preserve">651/2014</w:t>
            </w:r>
            <w:r w:rsidR="00000000" w:rsidRPr="00000000" w:rsidDel="00000000">
              <w:rPr>
                <w:rtl w:val="0"/>
              </w:rPr>
              <w:t xml:space="preserve"> 22. panta 2. punkta trešajā daļā minēto atkāpi no 22. panta pirmās daļas "c" apakšpunkta, ņem vērā brīdi, kad reģistrēts katrs atsevišķais apvienošanā iesaistītais uzņēmums;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lūdzam papildināt, ka ieguldījumus veic nekotētos uzņēmumos atbilstoši Komisijas regulas Nr.651/2014 22.panta 2.punktam.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36.2. apakšpunktā noteikts, ka ieguldījumus veic nekotētos uzņēmumos atbilstoši Komisijas regulas Nr.651/2014 2.panta 76.punktam.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Komisijas regulas Nr. </w:t>
            </w:r>
            <w:r w:rsidR="00000000" w:rsidRPr="00000000" w:rsidDel="00000000">
              <w:rPr>
                <w:rtl w:val="0"/>
              </w:rPr>
              <w:t xml:space="preserve">651/2014</w:t>
            </w:r>
            <w:r w:rsidR="00000000" w:rsidRPr="00000000" w:rsidDel="00000000">
              <w:rPr>
                <w:rtl w:val="0"/>
              </w:rPr>
              <w:t xml:space="preserve"> 22. panta 2. punktā noteiktajam, ievērojot šo noteikumu </w:t>
            </w:r>
            <w:r w:rsidR="00000000" w:rsidRPr="00000000" w:rsidDel="00000000">
              <w:rPr>
                <w:rtl w:val="0"/>
              </w:rPr>
              <w:t xml:space="preserve">27.3.</w:t>
            </w:r>
            <w:r w:rsidR="00000000" w:rsidRPr="00000000" w:rsidDel="00000000">
              <w:rPr>
                <w:rtl w:val="0"/>
              </w:rPr>
              <w:t xml:space="preserve"> apakšpunktā minētos nosacījumus. Piemērojot Komisijas regulas Nr. </w:t>
            </w:r>
            <w:r w:rsidR="00000000" w:rsidRPr="00000000" w:rsidDel="00000000">
              <w:rPr>
                <w:rtl w:val="0"/>
              </w:rPr>
              <w:t xml:space="preserve">651/2014</w:t>
            </w:r>
            <w:r w:rsidR="00000000" w:rsidRPr="00000000" w:rsidDel="00000000">
              <w:rPr>
                <w:rtl w:val="0"/>
              </w:rPr>
              <w:t xml:space="preserve"> 22. panta 2. punkta trešajā daļā minēto atkāpi no 22. panta pirmās daļas "c" apakšpunkta, ņem vērā brīdi, kad reģistrēts katrs atsevišķais apvienošanā iesaistītais uzņēmums;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23-TA-2880</w:t>
    </w:r>
    <w:r>
      <w:br/>
    </w:r>
    <w:r w:rsidR="00000000" w:rsidRPr="00000000" w:rsidDel="00000000">
      <w:rPr>
        <w:rtl w:val="0"/>
      </w:rPr>
      <w:t xml:space="preserve">08.12.2023. 12.42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23-TA-2880</w:t>
    </w:r>
    <w:r>
      <w:br/>
    </w:r>
    <w:r w:rsidR="00000000" w:rsidRPr="00000000" w:rsidDel="00000000">
      <w:rPr>
        <w:rtl w:val="0"/>
      </w:rPr>
      <w:t xml:space="preserve">08.12.2023. 12.42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Izziņa_23-TA-2880.docx</dc:title>
</cp:coreProperties>
</file>

<file path=docProps/custom.xml><?xml version="1.0" encoding="utf-8"?>
<Properties xmlns="http://schemas.openxmlformats.org/officeDocument/2006/custom-properties" xmlns:vt="http://schemas.openxmlformats.org/officeDocument/2006/docPropsVTypes"/>
</file>