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8AEE98" w14:textId="77777777" w:rsidR="000C6EB8" w:rsidRPr="0080251B" w:rsidRDefault="000C6EB8" w:rsidP="000C6EB8">
      <w:pPr>
        <w:spacing w:after="0" w:line="240" w:lineRule="auto"/>
        <w:jc w:val="right"/>
        <w:rPr>
          <w:b/>
        </w:rPr>
      </w:pPr>
    </w:p>
    <w:p w14:paraId="3C8AEE99" w14:textId="46F74967" w:rsidR="00831C01" w:rsidRPr="0080251B" w:rsidRDefault="00EE3CFD" w:rsidP="00A339EF">
      <w:pPr>
        <w:spacing w:after="0" w:line="240" w:lineRule="auto"/>
        <w:jc w:val="right"/>
        <w:rPr>
          <w:b/>
        </w:rPr>
      </w:pPr>
      <w:r w:rsidRPr="0080251B">
        <w:rPr>
          <w:b/>
          <w:noProof/>
        </w:rPr>
        <w:t>Tieslietu ministrija</w:t>
      </w:r>
      <w:r w:rsidR="0097648A" w:rsidRPr="0080251B">
        <w:rPr>
          <w:b/>
          <w:noProof/>
        </w:rPr>
        <w:t>i</w:t>
      </w:r>
    </w:p>
    <w:p w14:paraId="3C8AEE9A" w14:textId="77777777" w:rsidR="000C6EB8" w:rsidRPr="0080251B" w:rsidRDefault="000C6EB8" w:rsidP="00A339EF">
      <w:pPr>
        <w:spacing w:after="0" w:line="240" w:lineRule="auto"/>
        <w:jc w:val="right"/>
        <w:rPr>
          <w:b/>
        </w:rPr>
      </w:pPr>
    </w:p>
    <w:p w14:paraId="605F04D3" w14:textId="77777777" w:rsidR="002D706F" w:rsidRDefault="00EE3CFD" w:rsidP="00A339EF">
      <w:pPr>
        <w:spacing w:after="0" w:line="240" w:lineRule="auto"/>
        <w:rPr>
          <w:i/>
          <w:noProof/>
        </w:rPr>
      </w:pPr>
      <w:r w:rsidRPr="0080251B">
        <w:rPr>
          <w:i/>
          <w:noProof/>
        </w:rPr>
        <w:t>Par VDK</w:t>
      </w:r>
      <w:r w:rsidR="00B10D3E" w:rsidRPr="0080251B">
        <w:rPr>
          <w:i/>
          <w:noProof/>
        </w:rPr>
        <w:t xml:space="preserve"> darbiniekiem un informatoriem</w:t>
      </w:r>
    </w:p>
    <w:p w14:paraId="3C8AEE9B" w14:textId="38490C90" w:rsidR="00831C01" w:rsidRPr="0080251B" w:rsidRDefault="00EE3CFD" w:rsidP="00A339EF">
      <w:pPr>
        <w:spacing w:after="0" w:line="240" w:lineRule="auto"/>
        <w:rPr>
          <w:i/>
          <w:noProof/>
        </w:rPr>
      </w:pPr>
      <w:r w:rsidRPr="0080251B">
        <w:rPr>
          <w:i/>
          <w:noProof/>
        </w:rPr>
        <w:t>likumos  noteiktajiem ierobežojumiem</w:t>
      </w:r>
    </w:p>
    <w:p w14:paraId="3C8AEE9D" w14:textId="178069ED" w:rsidR="00A339EF" w:rsidRPr="0080251B" w:rsidRDefault="00A339EF" w:rsidP="00A339EF">
      <w:pPr>
        <w:spacing w:after="0" w:line="240" w:lineRule="auto"/>
        <w:rPr>
          <w:i/>
        </w:rPr>
      </w:pPr>
    </w:p>
    <w:p w14:paraId="47673590" w14:textId="37C8C790" w:rsidR="00C83065" w:rsidRPr="0080251B" w:rsidRDefault="00EE3CFD" w:rsidP="00C410CE">
      <w:pPr>
        <w:tabs>
          <w:tab w:val="left" w:pos="851"/>
        </w:tabs>
        <w:autoSpaceDE w:val="0"/>
        <w:autoSpaceDN w:val="0"/>
        <w:adjustRightInd w:val="0"/>
        <w:spacing w:after="0" w:line="240" w:lineRule="auto"/>
        <w:ind w:right="11" w:firstLine="567"/>
        <w:jc w:val="both"/>
      </w:pPr>
      <w:r w:rsidRPr="0080251B">
        <w:tab/>
        <w:t>Aizsardzības ministrija</w:t>
      </w:r>
      <w:r w:rsidR="00332D4A" w:rsidRPr="0080251B">
        <w:t xml:space="preserve"> </w:t>
      </w:r>
      <w:r w:rsidRPr="0080251B">
        <w:t>(turpmāk-AM) ir saņēmusi 01.02.2024. Tieslietu ministrijas (turpmāk- TM) vēstuli “</w:t>
      </w:r>
      <w:r w:rsidRPr="0080251B">
        <w:rPr>
          <w:bCs/>
          <w:i/>
          <w:iCs/>
        </w:rPr>
        <w:t xml:space="preserve">Par VDK darbiniekiem un </w:t>
      </w:r>
      <w:r w:rsidRPr="0080251B">
        <w:rPr>
          <w:bCs/>
          <w:i/>
          <w:iCs/>
        </w:rPr>
        <w:t>informatoriem likumos</w:t>
      </w:r>
      <w:r w:rsidRPr="0080251B">
        <w:rPr>
          <w:bCs/>
          <w:iCs/>
        </w:rPr>
        <w:t>”</w:t>
      </w:r>
      <w:r w:rsidR="00ED7762">
        <w:rPr>
          <w:bCs/>
          <w:iCs/>
        </w:rPr>
        <w:t xml:space="preserve"> </w:t>
      </w:r>
      <w:r w:rsidRPr="0080251B">
        <w:rPr>
          <w:bCs/>
          <w:iCs/>
        </w:rPr>
        <w:t xml:space="preserve">(Nr. </w:t>
      </w:r>
      <w:r w:rsidRPr="0080251B">
        <w:t xml:space="preserve">1-12/355), kurā tā lūdz sniegt </w:t>
      </w:r>
      <w:proofErr w:type="spellStart"/>
      <w:r w:rsidRPr="0080251B">
        <w:t>izvērtējumu</w:t>
      </w:r>
      <w:proofErr w:type="spellEnd"/>
      <w:r w:rsidRPr="0080251B">
        <w:t xml:space="preserve"> par AM kompetencē esošajiem tiesību aktiem, kuros tiek noteikti ierobežojumiem VDK darbiniekiem un informatoriem. Cita starpā TM norāda, ka </w:t>
      </w:r>
      <w:proofErr w:type="spellStart"/>
      <w:r w:rsidR="00ED7762" w:rsidRPr="0080251B">
        <w:t>i</w:t>
      </w:r>
      <w:r w:rsidR="00ED7762">
        <w:t>z</w:t>
      </w:r>
      <w:r w:rsidR="00ED7762" w:rsidRPr="0080251B">
        <w:t>vertējums</w:t>
      </w:r>
      <w:proofErr w:type="spellEnd"/>
      <w:r w:rsidRPr="0080251B">
        <w:t xml:space="preserve"> ir nepieciešams, lai sagatavotu visaptverošu informatīvu ziņojumu par noteikto ierobežojumu turpmāko saglabāšanu</w:t>
      </w:r>
      <w:r w:rsidR="00FD14FD" w:rsidRPr="0080251B">
        <w:t>.</w:t>
      </w:r>
    </w:p>
    <w:p w14:paraId="06F20324" w14:textId="45A1CC5D" w:rsidR="00FD14FD" w:rsidRPr="0080251B" w:rsidRDefault="00EE3CFD" w:rsidP="00C410CE">
      <w:pPr>
        <w:tabs>
          <w:tab w:val="left" w:pos="851"/>
        </w:tabs>
        <w:autoSpaceDE w:val="0"/>
        <w:autoSpaceDN w:val="0"/>
        <w:adjustRightInd w:val="0"/>
        <w:spacing w:after="0" w:line="240" w:lineRule="auto"/>
        <w:ind w:right="11" w:firstLine="567"/>
      </w:pPr>
      <w:r w:rsidRPr="0080251B">
        <w:tab/>
        <w:t xml:space="preserve">Līdz ar to AM savas kompetences ietvaros sniedz šādu </w:t>
      </w:r>
      <w:r w:rsidR="0082673C" w:rsidRPr="0080251B">
        <w:t>viedokli:</w:t>
      </w:r>
    </w:p>
    <w:p w14:paraId="0C042263" w14:textId="1670C611" w:rsidR="00FD14FD" w:rsidRPr="0080251B" w:rsidRDefault="00EE3CFD" w:rsidP="00C410CE">
      <w:pPr>
        <w:pStyle w:val="Sarakstarindkopa"/>
        <w:numPr>
          <w:ilvl w:val="0"/>
          <w:numId w:val="12"/>
        </w:numPr>
        <w:tabs>
          <w:tab w:val="left" w:pos="851"/>
        </w:tabs>
        <w:autoSpaceDE w:val="0"/>
        <w:autoSpaceDN w:val="0"/>
        <w:adjustRightInd w:val="0"/>
        <w:spacing w:after="0" w:line="240" w:lineRule="auto"/>
        <w:ind w:left="0" w:right="11" w:firstLine="567"/>
        <w:rPr>
          <w:b/>
        </w:rPr>
      </w:pPr>
      <w:r w:rsidRPr="0080251B">
        <w:rPr>
          <w:b/>
        </w:rPr>
        <w:t>Militārā dienesta likums</w:t>
      </w:r>
    </w:p>
    <w:p w14:paraId="4C13EE07" w14:textId="192F63E6" w:rsidR="00FD14FD" w:rsidRPr="0080251B" w:rsidRDefault="00EE3CFD" w:rsidP="00C410CE">
      <w:pPr>
        <w:pStyle w:val="Sarakstarindkopa"/>
        <w:tabs>
          <w:tab w:val="left" w:pos="851"/>
        </w:tabs>
        <w:autoSpaceDE w:val="0"/>
        <w:autoSpaceDN w:val="0"/>
        <w:adjustRightInd w:val="0"/>
        <w:spacing w:after="0" w:line="240" w:lineRule="auto"/>
        <w:ind w:left="0" w:right="11" w:firstLine="567"/>
        <w:jc w:val="both"/>
      </w:pPr>
      <w:r w:rsidRPr="0080251B">
        <w:t>Atbilstoši Militārā dienesta likuma (turpmāk – MDL) 16.pa</w:t>
      </w:r>
      <w:r w:rsidR="00225422" w:rsidRPr="0080251B">
        <w:t>nta otrās daļas 6</w:t>
      </w:r>
      <w:r w:rsidRPr="0080251B">
        <w:t xml:space="preserve">.punktam </w:t>
      </w:r>
      <w:r w:rsidR="00BB3739">
        <w:t xml:space="preserve">un 64.panta ceturtās daļas otrajam punktam </w:t>
      </w:r>
      <w:r w:rsidRPr="0080251B">
        <w:t xml:space="preserve">militārajā dienestā nevar iesaukt un nevar pieņemt Latvijas pilsoni, kas ir vai ir bijis PSRS, Latvijas PSR vai kādas ārvalsts drošības dienesta, izlūkdienesta vai pretizlūkošanas dienesta štata vai ārštata darbinieks, aģents, rezidents vai konspiratīvā dzīvokļa turētājs. Šī norma MDL ir </w:t>
      </w:r>
      <w:r w:rsidR="009E0B91" w:rsidRPr="0080251B">
        <w:t>iekļaut</w:t>
      </w:r>
      <w:r w:rsidR="00155ACF" w:rsidRPr="0080251B">
        <w:t>a</w:t>
      </w:r>
      <w:r w:rsidR="009E0B91" w:rsidRPr="0080251B">
        <w:t xml:space="preserve"> kopš tā stāšanās spēkā, t.i., kopš 01.07.2002. AM ieskatā šī norma ir saglabājama, ņemot vērā </w:t>
      </w:r>
      <w:r w:rsidR="00C06A8F">
        <w:t>turpmāk minētos</w:t>
      </w:r>
      <w:r w:rsidR="009E0B91" w:rsidRPr="0080251B">
        <w:t xml:space="preserve"> apstākļus</w:t>
      </w:r>
      <w:r w:rsidR="00C06A8F">
        <w:t>.</w:t>
      </w:r>
    </w:p>
    <w:p w14:paraId="178D7986" w14:textId="461C3C32" w:rsidR="00226FA5" w:rsidRPr="0080251B" w:rsidRDefault="00EE3CFD" w:rsidP="00C410CE">
      <w:pPr>
        <w:pStyle w:val="Sarakstarindkopa"/>
        <w:tabs>
          <w:tab w:val="left" w:pos="851"/>
          <w:tab w:val="left" w:pos="1134"/>
        </w:tabs>
        <w:autoSpaceDE w:val="0"/>
        <w:autoSpaceDN w:val="0"/>
        <w:adjustRightInd w:val="0"/>
        <w:spacing w:after="0" w:line="240" w:lineRule="auto"/>
        <w:ind w:left="0" w:right="12" w:firstLine="567"/>
        <w:jc w:val="both"/>
      </w:pPr>
      <w:r w:rsidRPr="0080251B">
        <w:t xml:space="preserve">Militārā dienesta tiesiskais regulējums interpretējams, ņemot vērā šā dienesta lomu </w:t>
      </w:r>
      <w:r w:rsidRPr="0080251B">
        <w:t>valsts funkcijas – valsts aizsardzības – nodrošināšanā.</w:t>
      </w:r>
      <w:r>
        <w:rPr>
          <w:rStyle w:val="Vresatsauce"/>
        </w:rPr>
        <w:footnoteReference w:id="1"/>
      </w:r>
      <w:r w:rsidR="0051778C" w:rsidRPr="0080251B">
        <w:t xml:space="preserve"> Savukārt MDL noteikta</w:t>
      </w:r>
      <w:r w:rsidR="00830E8A" w:rsidRPr="0080251B">
        <w:t>i</w:t>
      </w:r>
      <w:r w:rsidR="0051778C" w:rsidRPr="0080251B">
        <w:t xml:space="preserve">s ierobežojums ir vērtējams nevis </w:t>
      </w:r>
      <w:r w:rsidR="00FC7A01" w:rsidRPr="0080251B">
        <w:t>kā ierobežojums personas tiesībām uz nodarbošanos, bet gan kā ierobežojums, kas noteikts publiski tiesiskajās attiecībās, lai nodrošinātu pienācīgu valsts dienestu.</w:t>
      </w:r>
      <w:r>
        <w:rPr>
          <w:rStyle w:val="Vresatsauce"/>
        </w:rPr>
        <w:footnoteReference w:id="2"/>
      </w:r>
      <w:r w:rsidR="00FC7A01" w:rsidRPr="0080251B">
        <w:t xml:space="preserve"> </w:t>
      </w:r>
      <w:r w:rsidR="00830E8A" w:rsidRPr="0080251B">
        <w:t>Militārais dienests ir valsts dienesta veids valsts aizsardzības jomā, kuru pilda karavīrs.</w:t>
      </w:r>
      <w:r>
        <w:rPr>
          <w:rStyle w:val="Vresatsauce"/>
        </w:rPr>
        <w:footnoteReference w:id="3"/>
      </w:r>
      <w:r w:rsidR="00303D4D" w:rsidRPr="0080251B">
        <w:t xml:space="preserve"> Pildot militāro dienestu, karavīrs ir īpašā valsts pakļautībā.</w:t>
      </w:r>
      <w:r>
        <w:rPr>
          <w:rStyle w:val="Vresatsauce"/>
        </w:rPr>
        <w:footnoteReference w:id="4"/>
      </w:r>
    </w:p>
    <w:p w14:paraId="56CAF233" w14:textId="779EC551" w:rsidR="0082673C" w:rsidRPr="0080251B" w:rsidRDefault="00EE3CFD" w:rsidP="00C410CE">
      <w:pPr>
        <w:pStyle w:val="Sarakstarindkopa"/>
        <w:tabs>
          <w:tab w:val="left" w:pos="851"/>
          <w:tab w:val="left" w:pos="6804"/>
        </w:tabs>
        <w:autoSpaceDE w:val="0"/>
        <w:autoSpaceDN w:val="0"/>
        <w:adjustRightInd w:val="0"/>
        <w:spacing w:after="0" w:line="240" w:lineRule="auto"/>
        <w:ind w:left="0" w:right="12" w:firstLine="567"/>
        <w:jc w:val="both"/>
      </w:pPr>
      <w:r w:rsidRPr="0080251B">
        <w:t>Valsts aizsardzība ir būtiska valsts suverēnās varas joma, un no šīs funkcijas efektīvas izpildes ir atkarīga demokrātiskas valsts iekārtas aizsardzība un sabiedrības drošība.</w:t>
      </w:r>
      <w:r>
        <w:rPr>
          <w:rStyle w:val="Vresatsauce"/>
        </w:rPr>
        <w:footnoteReference w:id="5"/>
      </w:r>
      <w:r w:rsidR="00226FA5" w:rsidRPr="0080251B">
        <w:t xml:space="preserve"> Krievijas īstenotā neizprovocētā un pilna mēroga militārā agresija pret Ukrainu, kara noziegumi, prettiesiskā atsevišķu Ukrainas teritoriju aneksija, kā arī, draud</w:t>
      </w:r>
      <w:r w:rsidR="00687FEE">
        <w:t>u izteikšana</w:t>
      </w:r>
      <w:r w:rsidR="00226FA5" w:rsidRPr="0080251B">
        <w:t xml:space="preserve"> </w:t>
      </w:r>
      <w:r w:rsidR="00687FEE" w:rsidRPr="0080251B">
        <w:t>starptautisk</w:t>
      </w:r>
      <w:r w:rsidR="00687FEE">
        <w:t>ai</w:t>
      </w:r>
      <w:r w:rsidR="00687FEE" w:rsidRPr="0080251B">
        <w:t xml:space="preserve"> sabiedrība</w:t>
      </w:r>
      <w:r w:rsidR="00687FEE">
        <w:t>i</w:t>
      </w:r>
      <w:r w:rsidR="00687FEE" w:rsidRPr="0080251B">
        <w:t xml:space="preserve"> </w:t>
      </w:r>
      <w:r w:rsidR="00687FEE">
        <w:t>par</w:t>
      </w:r>
      <w:r w:rsidR="00226FA5" w:rsidRPr="0080251B">
        <w:t xml:space="preserve"> masu </w:t>
      </w:r>
      <w:r w:rsidR="00226FA5" w:rsidRPr="0080251B">
        <w:lastRenderedPageBreak/>
        <w:t>iznīcināšanas ieroču izmantošanu, kodolkatastrofas izraisīšanu ir padziļinājusi esošos drošības un stabilitātes izaicinājumus un radījusi jaunus</w:t>
      </w:r>
      <w:r w:rsidR="004C49B2" w:rsidRPr="0080251B">
        <w:t xml:space="preserve"> draudus</w:t>
      </w:r>
      <w:r w:rsidR="00226FA5" w:rsidRPr="0080251B">
        <w:t>. Draudi nacionālajai drošībai ir saistīti ar situācijas attīstību starptautiskajā drošības vidē</w:t>
      </w:r>
      <w:r w:rsidRPr="0080251B">
        <w:t>, t.sk. Latvijā</w:t>
      </w:r>
      <w:r w:rsidR="00EA59EF">
        <w:t>.</w:t>
      </w:r>
      <w:r>
        <w:rPr>
          <w:rStyle w:val="Vresatsauce"/>
        </w:rPr>
        <w:footnoteReference w:id="6"/>
      </w:r>
      <w:r w:rsidRPr="0080251B">
        <w:t xml:space="preserve"> </w:t>
      </w:r>
    </w:p>
    <w:p w14:paraId="792F5F50" w14:textId="346917E8" w:rsidR="002F7584" w:rsidRDefault="00EE3CFD" w:rsidP="00C410CE">
      <w:pPr>
        <w:pStyle w:val="Sarakstarindkopa"/>
        <w:tabs>
          <w:tab w:val="left" w:pos="851"/>
          <w:tab w:val="left" w:pos="6804"/>
        </w:tabs>
        <w:autoSpaceDE w:val="0"/>
        <w:autoSpaceDN w:val="0"/>
        <w:adjustRightInd w:val="0"/>
        <w:spacing w:after="0" w:line="240" w:lineRule="auto"/>
        <w:ind w:left="0" w:right="12" w:firstLine="567"/>
        <w:jc w:val="both"/>
      </w:pPr>
      <w:r w:rsidRPr="0080251B">
        <w:t>AM jau 2019.gadā, gatavojot viedokli par VDK darbiniekiem un informatoriem likumos noteikto ierobežojumu nepieciešamību un pamatotību, norādīja, ka: “..</w:t>
      </w:r>
      <w:r w:rsidRPr="0080251B">
        <w:rPr>
          <w:i/>
        </w:rPr>
        <w:t>Ir būtiski, lai valsts dienestā nedienētu (un aizsardzības resora gadījumā – arī nestrādātu) personas, kuras ir sadarbojušās vai joprojām sadarbojas ar izlūkošanas vai pretizlūkošanas dienestiem kā to štata vai ārštata darbinieki, aģenti, rezidenti vai konspiratīvā dzīvokļa (</w:t>
      </w:r>
      <w:proofErr w:type="spellStart"/>
      <w:r w:rsidRPr="0080251B">
        <w:rPr>
          <w:i/>
        </w:rPr>
        <w:t>segorganizācijas</w:t>
      </w:r>
      <w:proofErr w:type="spellEnd"/>
      <w:r w:rsidRPr="0080251B">
        <w:rPr>
          <w:i/>
        </w:rPr>
        <w:t xml:space="preserve"> jebkurā tās formā) turētāji, jo tas būtu pretrunā nacionālās drošības interesēm.</w:t>
      </w:r>
      <w:r w:rsidR="00332D4A" w:rsidRPr="0080251B">
        <w:rPr>
          <w:i/>
        </w:rPr>
        <w:t>..</w:t>
      </w:r>
      <w:r w:rsidR="00332D4A" w:rsidRPr="0080251B">
        <w:t>”</w:t>
      </w:r>
      <w:r w:rsidR="007764F0">
        <w:t>.</w:t>
      </w:r>
      <w:r>
        <w:rPr>
          <w:rStyle w:val="Vresatsauce"/>
        </w:rPr>
        <w:footnoteReference w:id="7"/>
      </w:r>
      <w:r w:rsidR="00332D4A" w:rsidRPr="0080251B">
        <w:t xml:space="preserve"> Šī nostāja </w:t>
      </w:r>
      <w:r>
        <w:t xml:space="preserve">vēl joprojām </w:t>
      </w:r>
      <w:r w:rsidR="00332D4A" w:rsidRPr="0080251B">
        <w:t xml:space="preserve">ir aktuāla. </w:t>
      </w:r>
      <w:r>
        <w:t xml:space="preserve">Respektīvi, </w:t>
      </w:r>
      <w:r w:rsidR="00332D4A" w:rsidRPr="0080251B">
        <w:t>Krievijas agresīvā politika reģionālā un starptautiskā līmenī, tostarp uzsāktais karš pret Ukrainu, kā arī kiberuzbrukumi un dezinformācijas kampaņas, kas vērstas pret NATO un ES valstīm rada lielāk</w:t>
      </w:r>
      <w:r w:rsidR="007764F0">
        <w:t>u</w:t>
      </w:r>
      <w:r w:rsidR="00332D4A" w:rsidRPr="0080251B">
        <w:t>s riskus Latvijas iekšējai drošībai un konstitucionālajai iekārtai.</w:t>
      </w:r>
      <w:r>
        <w:rPr>
          <w:rStyle w:val="Vresatsauce"/>
        </w:rPr>
        <w:footnoteReference w:id="8"/>
      </w:r>
      <w:r w:rsidR="00225422" w:rsidRPr="0080251B">
        <w:t xml:space="preserve"> </w:t>
      </w:r>
    </w:p>
    <w:p w14:paraId="5570722E" w14:textId="1434A639" w:rsidR="008308BF" w:rsidRPr="00E83CC3" w:rsidRDefault="00EE3CFD" w:rsidP="00C410CE">
      <w:pPr>
        <w:pStyle w:val="Sarakstarindkopa"/>
        <w:tabs>
          <w:tab w:val="left" w:pos="851"/>
          <w:tab w:val="left" w:pos="6804"/>
        </w:tabs>
        <w:autoSpaceDE w:val="0"/>
        <w:autoSpaceDN w:val="0"/>
        <w:adjustRightInd w:val="0"/>
        <w:spacing w:after="0" w:line="240" w:lineRule="auto"/>
        <w:ind w:left="0" w:right="12" w:firstLine="567"/>
        <w:jc w:val="both"/>
      </w:pPr>
      <w:r w:rsidRPr="0080251B">
        <w:t>Savukārt no Satversmes tiesu prakses izriet, ka situācijā, kad saduras personas tiesības un valsts drošības intereses, prioritāte ir dodama valsts drošības interesēm.</w:t>
      </w:r>
      <w:r>
        <w:rPr>
          <w:rStyle w:val="Vresatsauce"/>
        </w:rPr>
        <w:footnoteReference w:id="9"/>
      </w:r>
      <w:r w:rsidR="001F676E" w:rsidRPr="0080251B">
        <w:t xml:space="preserve"> </w:t>
      </w:r>
      <w:r w:rsidR="002F7584">
        <w:t xml:space="preserve">Kā arī </w:t>
      </w:r>
      <w:r w:rsidR="00DE5EA1">
        <w:t xml:space="preserve">no </w:t>
      </w:r>
      <w:r w:rsidR="00FE23AA">
        <w:t xml:space="preserve">Latvijas Republikas </w:t>
      </w:r>
      <w:r w:rsidR="006042F8" w:rsidRPr="0080251B">
        <w:t>Satversmes 101. panta tvērum</w:t>
      </w:r>
      <w:r w:rsidR="002F7584">
        <w:t>a izriet, ka</w:t>
      </w:r>
      <w:r w:rsidR="006042F8" w:rsidRPr="0080251B">
        <w:t xml:space="preserve"> tiesības piedalīties valsts un pašvaldību darbībā nav absolūtas, bet gan ietver nosacījumu – „likumā paredzētajā veidā.”</w:t>
      </w:r>
      <w:r>
        <w:rPr>
          <w:rStyle w:val="Vresatsauce"/>
        </w:rPr>
        <w:footnoteReference w:id="10"/>
      </w:r>
      <w:r w:rsidR="0065042F">
        <w:t xml:space="preserve"> </w:t>
      </w:r>
      <w:r w:rsidR="00734779" w:rsidRPr="0080251B">
        <w:t>Līdz ar to valstij ir tiesības noteikt likumā paredzētos ierobežojumus.</w:t>
      </w:r>
      <w:r w:rsidR="0080251B" w:rsidRPr="0080251B">
        <w:t xml:space="preserve"> Jau 2004.gadā ECT lietā </w:t>
      </w:r>
      <w:r w:rsidR="0080251B" w:rsidRPr="00FE23AA">
        <w:rPr>
          <w:rStyle w:val="Izteiksmgs"/>
          <w:b w:val="0"/>
          <w:bCs w:val="0"/>
          <w:color w:val="333333"/>
          <w:bdr w:val="none" w:sz="0" w:space="0" w:color="auto" w:frame="1"/>
          <w:shd w:val="clear" w:color="auto" w:fill="FFFFFF"/>
        </w:rPr>
        <w:t>“</w:t>
      </w:r>
      <w:r w:rsidR="0080251B" w:rsidRPr="0080251B">
        <w:rPr>
          <w:bCs/>
        </w:rPr>
        <w:t>Tatjana Ždanoka pret Latviju”</w:t>
      </w:r>
      <w:r w:rsidR="0080251B">
        <w:rPr>
          <w:bCs/>
        </w:rPr>
        <w:t xml:space="preserve"> norādīja, ka </w:t>
      </w:r>
      <w:r w:rsidR="0080251B" w:rsidRPr="00FE23AA">
        <w:t>valstij ir rīcības brīvība noteikt ierobežojumus ar šādiem leģitīmie</w:t>
      </w:r>
      <w:r w:rsidR="0065042F">
        <w:t>m</w:t>
      </w:r>
      <w:r w:rsidR="0080251B" w:rsidRPr="00FE23AA">
        <w:t xml:space="preserve"> mērķiem: valsts neatkarības, demokrātiskās sistēmas un valsts drošības aizsardzība.</w:t>
      </w:r>
      <w:r>
        <w:rPr>
          <w:rStyle w:val="Vresatsauce"/>
          <w:rFonts w:ascii="PT Serif" w:hAnsi="PT Serif"/>
          <w:color w:val="333333"/>
          <w:shd w:val="clear" w:color="auto" w:fill="FFFFFF"/>
        </w:rPr>
        <w:footnoteReference w:id="11"/>
      </w:r>
      <w:r w:rsidR="0080251B">
        <w:rPr>
          <w:rFonts w:ascii="PT Serif" w:hAnsi="PT Serif"/>
          <w:color w:val="333333"/>
          <w:shd w:val="clear" w:color="auto" w:fill="FFFFFF"/>
        </w:rPr>
        <w:t xml:space="preserve"> </w:t>
      </w:r>
      <w:r w:rsidR="003452A6" w:rsidRPr="00E83CC3">
        <w:rPr>
          <w:shd w:val="clear" w:color="auto" w:fill="FFFFFF"/>
        </w:rPr>
        <w:t xml:space="preserve">Ierobežojumu uzlikšana iepriekšējā totalitārā režīma piekritēju tiesībām ir samērīgs leģitīmajam mērķim. </w:t>
      </w:r>
      <w:r w:rsidR="00E17AAD">
        <w:rPr>
          <w:shd w:val="clear" w:color="auto" w:fill="FFFFFF"/>
        </w:rPr>
        <w:t>Tai skaitā</w:t>
      </w:r>
      <w:r w:rsidR="003452A6" w:rsidRPr="00E83CC3">
        <w:rPr>
          <w:shd w:val="clear" w:color="auto" w:fill="FFFFFF"/>
        </w:rPr>
        <w:t xml:space="preserve"> mērķim stiprināt uzticību demokrātiskajām institūcijā.</w:t>
      </w:r>
    </w:p>
    <w:p w14:paraId="3F622618" w14:textId="64C77A63" w:rsidR="003A5F67" w:rsidRPr="00194D3D" w:rsidRDefault="00EE3CFD" w:rsidP="00C410CE">
      <w:pPr>
        <w:pStyle w:val="Sarakstarindkopa"/>
        <w:tabs>
          <w:tab w:val="left" w:pos="851"/>
        </w:tabs>
        <w:autoSpaceDE w:val="0"/>
        <w:autoSpaceDN w:val="0"/>
        <w:adjustRightInd w:val="0"/>
        <w:spacing w:after="0" w:line="240" w:lineRule="auto"/>
        <w:ind w:left="0" w:right="12" w:firstLine="567"/>
        <w:jc w:val="both"/>
        <w:rPr>
          <w:shd w:val="clear" w:color="auto" w:fill="FFFFFF"/>
        </w:rPr>
      </w:pPr>
      <w:r w:rsidRPr="00E83CC3">
        <w:rPr>
          <w:shd w:val="clear" w:color="auto" w:fill="FFFFFF"/>
        </w:rPr>
        <w:t xml:space="preserve">Visbeidzot, </w:t>
      </w:r>
      <w:r w:rsidR="00732F28" w:rsidRPr="00C33951">
        <w:rPr>
          <w:shd w:val="clear" w:color="auto" w:fill="FFFFFF"/>
        </w:rPr>
        <w:t>piemērs biju</w:t>
      </w:r>
      <w:r w:rsidRPr="00C33951">
        <w:rPr>
          <w:shd w:val="clear" w:color="auto" w:fill="FFFFFF"/>
        </w:rPr>
        <w:t>šā</w:t>
      </w:r>
      <w:r w:rsidR="00732F28" w:rsidRPr="00C33951">
        <w:rPr>
          <w:shd w:val="clear" w:color="auto" w:fill="FFFFFF"/>
        </w:rPr>
        <w:t xml:space="preserve"> totalitārā režīma atbalstī</w:t>
      </w:r>
      <w:r w:rsidRPr="00C33951">
        <w:rPr>
          <w:shd w:val="clear" w:color="auto" w:fill="FFFFFF"/>
        </w:rPr>
        <w:t>t</w:t>
      </w:r>
      <w:r w:rsidR="004A33EE" w:rsidRPr="00C33951">
        <w:rPr>
          <w:shd w:val="clear" w:color="auto" w:fill="FFFFFF"/>
        </w:rPr>
        <w:t xml:space="preserve">āju neparedzamajām vai pat bīstamajām sekām ir to dalība </w:t>
      </w:r>
      <w:r w:rsidRPr="00C33951">
        <w:rPr>
          <w:shd w:val="clear" w:color="auto" w:fill="FFFFFF"/>
        </w:rPr>
        <w:t>demokrātisk</w:t>
      </w:r>
      <w:r w:rsidR="004A33EE" w:rsidRPr="00C33951">
        <w:rPr>
          <w:shd w:val="clear" w:color="auto" w:fill="FFFFFF"/>
        </w:rPr>
        <w:t>ā</w:t>
      </w:r>
      <w:r w:rsidRPr="00C33951">
        <w:rPr>
          <w:shd w:val="clear" w:color="auto" w:fill="FFFFFF"/>
        </w:rPr>
        <w:t xml:space="preserve"> institūcijā</w:t>
      </w:r>
      <w:r w:rsidR="00B41BC8" w:rsidRPr="00C33951">
        <w:rPr>
          <w:shd w:val="clear" w:color="auto" w:fill="FFFFFF"/>
        </w:rPr>
        <w:t xml:space="preserve">s, piemēram </w:t>
      </w:r>
      <w:r w:rsidRPr="00C33951">
        <w:rPr>
          <w:shd w:val="clear" w:color="auto" w:fill="FFFFFF"/>
        </w:rPr>
        <w:t>Eiropas Savienības Parlamentā</w:t>
      </w:r>
      <w:r w:rsidR="00C33951">
        <w:rPr>
          <w:shd w:val="clear" w:color="auto" w:fill="FFFFFF"/>
        </w:rPr>
        <w:t xml:space="preserve"> (</w:t>
      </w:r>
      <w:r w:rsidRPr="00C33951">
        <w:rPr>
          <w:shd w:val="clear" w:color="auto" w:fill="FFFFFF"/>
        </w:rPr>
        <w:t>Tatjanas Ždanokas</w:t>
      </w:r>
      <w:r w:rsidR="004A33EE" w:rsidRPr="00C33951">
        <w:rPr>
          <w:shd w:val="clear" w:color="auto" w:fill="FFFFFF"/>
        </w:rPr>
        <w:t xml:space="preserve"> piemērs</w:t>
      </w:r>
      <w:r w:rsidR="00C33951">
        <w:rPr>
          <w:shd w:val="clear" w:color="auto" w:fill="FFFFFF"/>
        </w:rPr>
        <w:t>)</w:t>
      </w:r>
      <w:r w:rsidR="004A33EE" w:rsidRPr="00C33951">
        <w:rPr>
          <w:shd w:val="clear" w:color="auto" w:fill="FFFFFF"/>
        </w:rPr>
        <w:t>. Šī persona, kas bija Latvijas Komunistiskās partijas biedre</w:t>
      </w:r>
      <w:r w:rsidRPr="00C33951">
        <w:rPr>
          <w:shd w:val="clear" w:color="auto" w:fill="FFFFFF"/>
        </w:rPr>
        <w:t xml:space="preserve">, pēc Latvijas žurnālistu veiktajiem pētījumiem, iespējams </w:t>
      </w:r>
      <w:r w:rsidR="00B41BC8" w:rsidRPr="00C33951">
        <w:rPr>
          <w:shd w:val="clear" w:color="auto" w:fill="FFFFFF"/>
        </w:rPr>
        <w:t xml:space="preserve">ir </w:t>
      </w:r>
      <w:r w:rsidRPr="00C33951">
        <w:rPr>
          <w:shd w:val="clear" w:color="auto" w:fill="FFFFFF"/>
        </w:rPr>
        <w:t>sadarbojusies ar Krievijas Federācijas Federālo drošības dienestu</w:t>
      </w:r>
      <w:r w:rsidR="004A33EE" w:rsidRPr="00C33951">
        <w:rPr>
          <w:bCs/>
        </w:rPr>
        <w:t>.</w:t>
      </w:r>
      <w:r>
        <w:rPr>
          <w:rStyle w:val="Vresatsauce"/>
          <w:bCs/>
        </w:rPr>
        <w:footnoteReference w:id="12"/>
      </w:r>
      <w:r w:rsidRPr="00C33951">
        <w:rPr>
          <w:bCs/>
        </w:rPr>
        <w:t xml:space="preserve"> </w:t>
      </w:r>
      <w:r w:rsidR="00006971" w:rsidRPr="00C33951">
        <w:rPr>
          <w:bCs/>
        </w:rPr>
        <w:t xml:space="preserve"> </w:t>
      </w:r>
    </w:p>
    <w:p w14:paraId="2D6FBA6B" w14:textId="73289289" w:rsidR="00BB3739" w:rsidRPr="00151CA3" w:rsidRDefault="00EE3CFD" w:rsidP="00C410CE">
      <w:pPr>
        <w:pStyle w:val="Pamattekstsaratkpi"/>
        <w:numPr>
          <w:ilvl w:val="0"/>
          <w:numId w:val="12"/>
        </w:numPr>
        <w:tabs>
          <w:tab w:val="left" w:pos="851"/>
        </w:tabs>
        <w:spacing w:after="0" w:line="240" w:lineRule="auto"/>
        <w:ind w:left="0" w:firstLine="567"/>
        <w:rPr>
          <w:b/>
        </w:rPr>
      </w:pPr>
      <w:r w:rsidRPr="00151CA3">
        <w:rPr>
          <w:b/>
        </w:rPr>
        <w:t>Latvijas Republikas Zemessardzes likums</w:t>
      </w:r>
    </w:p>
    <w:p w14:paraId="7E0173ED" w14:textId="3D21CE3F" w:rsidR="005F3497" w:rsidRDefault="00EE3CFD" w:rsidP="00C410CE">
      <w:pPr>
        <w:pStyle w:val="Pamattekstsaratkpi"/>
        <w:tabs>
          <w:tab w:val="left" w:pos="851"/>
        </w:tabs>
        <w:spacing w:after="0" w:line="240" w:lineRule="auto"/>
        <w:ind w:left="0" w:firstLine="567"/>
        <w:jc w:val="both"/>
        <w:rPr>
          <w:bCs/>
        </w:rPr>
      </w:pPr>
      <w:r w:rsidRPr="00151CA3">
        <w:t xml:space="preserve">Saskaņā ar </w:t>
      </w:r>
      <w:r w:rsidRPr="00151CA3">
        <w:t>Latvijas Republikas Zemessardzes likuma</w:t>
      </w:r>
      <w:r>
        <w:t xml:space="preserve"> (turpmāk -</w:t>
      </w:r>
      <w:r w:rsidR="001705BE">
        <w:t xml:space="preserve"> </w:t>
      </w:r>
      <w:r>
        <w:t>ZS likums)</w:t>
      </w:r>
      <w:r w:rsidRPr="00151CA3">
        <w:t xml:space="preserve"> 14. panta ceturtās daļas 5. punktu par zemessargu nevar būt persona, kura ir bijusi PSRS, Latvijas PSR, ir vai ir bijusi kādas ārvalsts drošības dienesta, izlūkdienesta vai pretizlūkošanas dienesta štata vai ārštata darbinieks, aģents, rezidents vai konspiratīvā dzīvokļa turētājs.</w:t>
      </w:r>
      <w:r>
        <w:t xml:space="preserve"> Šī norma ZS likumā </w:t>
      </w:r>
      <w:r w:rsidR="001705BE">
        <w:t xml:space="preserve">ir iekļauta </w:t>
      </w:r>
      <w:r>
        <w:t>kopš t</w:t>
      </w:r>
      <w:r w:rsidR="001705BE">
        <w:t>ā</w:t>
      </w:r>
      <w:r>
        <w:t xml:space="preserve"> stā</w:t>
      </w:r>
      <w:r w:rsidR="001705BE">
        <w:t>šanās</w:t>
      </w:r>
      <w:r>
        <w:t xml:space="preserve"> spēkā, t.i. kopš 01.09.2012. </w:t>
      </w:r>
      <w:r w:rsidR="0087587A">
        <w:t>AM</w:t>
      </w:r>
      <w:r w:rsidRPr="001705BE">
        <w:t xml:space="preserve"> ieskatā  </w:t>
      </w:r>
      <w:r w:rsidR="0087587A">
        <w:t>šis</w:t>
      </w:r>
      <w:r w:rsidRPr="001705BE">
        <w:t xml:space="preserve"> aizliegums </w:t>
      </w:r>
      <w:r w:rsidR="0087587A">
        <w:t>arī</w:t>
      </w:r>
      <w:r w:rsidR="001705BE">
        <w:t xml:space="preserve"> </w:t>
      </w:r>
      <w:r w:rsidR="00390496">
        <w:t xml:space="preserve">ir </w:t>
      </w:r>
      <w:r w:rsidR="0087587A">
        <w:t>saglabājams</w:t>
      </w:r>
      <w:r w:rsidR="001705BE">
        <w:t xml:space="preserve"> ZS likumā, ņemot vērā </w:t>
      </w:r>
      <w:r w:rsidR="0087587A">
        <w:t xml:space="preserve">iepriekš minētos </w:t>
      </w:r>
      <w:r w:rsidR="001705BE" w:rsidRPr="00BB3739">
        <w:rPr>
          <w:bCs/>
        </w:rPr>
        <w:t>apsvērum</w:t>
      </w:r>
      <w:r w:rsidR="001705BE">
        <w:rPr>
          <w:bCs/>
        </w:rPr>
        <w:t>us</w:t>
      </w:r>
      <w:r w:rsidR="001705BE" w:rsidRPr="00BB3739">
        <w:rPr>
          <w:bCs/>
        </w:rPr>
        <w:t xml:space="preserve"> par</w:t>
      </w:r>
      <w:r w:rsidR="001705BE">
        <w:rPr>
          <w:bCs/>
        </w:rPr>
        <w:t xml:space="preserve"> identiskiem</w:t>
      </w:r>
      <w:r w:rsidR="001705BE" w:rsidRPr="00BB3739">
        <w:rPr>
          <w:bCs/>
        </w:rPr>
        <w:t xml:space="preserve"> ierobežojumiem </w:t>
      </w:r>
      <w:r w:rsidR="0087587A">
        <w:rPr>
          <w:bCs/>
        </w:rPr>
        <w:t>MDL</w:t>
      </w:r>
      <w:r w:rsidR="001705BE">
        <w:rPr>
          <w:bCs/>
        </w:rPr>
        <w:t>.</w:t>
      </w:r>
    </w:p>
    <w:p w14:paraId="2DAD56BF" w14:textId="4FF8271D" w:rsidR="00BB3739" w:rsidRPr="00A71DCB" w:rsidRDefault="00EE3CFD" w:rsidP="00C410CE">
      <w:pPr>
        <w:pStyle w:val="Pamattekstsaratkpi"/>
        <w:tabs>
          <w:tab w:val="left" w:pos="851"/>
        </w:tabs>
        <w:spacing w:after="0" w:line="240" w:lineRule="auto"/>
        <w:ind w:left="0" w:firstLine="567"/>
        <w:jc w:val="both"/>
      </w:pPr>
      <w:r>
        <w:rPr>
          <w:bCs/>
        </w:rPr>
        <w:t xml:space="preserve"> </w:t>
      </w:r>
    </w:p>
    <w:p w14:paraId="52804A3D" w14:textId="66514C0F" w:rsidR="003A5F67" w:rsidRPr="001705BE" w:rsidRDefault="003A5F67" w:rsidP="0087587A">
      <w:pPr>
        <w:tabs>
          <w:tab w:val="left" w:pos="851"/>
          <w:tab w:val="left" w:pos="6804"/>
        </w:tabs>
        <w:autoSpaceDE w:val="0"/>
        <w:autoSpaceDN w:val="0"/>
        <w:adjustRightInd w:val="0"/>
        <w:spacing w:after="0" w:line="240" w:lineRule="auto"/>
        <w:ind w:right="12" w:firstLine="567"/>
        <w:jc w:val="both"/>
        <w:rPr>
          <w:b/>
        </w:rPr>
      </w:pPr>
    </w:p>
    <w:p w14:paraId="3C8AEEA1" w14:textId="498C1F7C" w:rsidR="00831C01" w:rsidRDefault="00EE3CFD" w:rsidP="0087587A">
      <w:pPr>
        <w:pStyle w:val="Sarakstarindkopa"/>
        <w:tabs>
          <w:tab w:val="left" w:pos="6804"/>
        </w:tabs>
        <w:autoSpaceDE w:val="0"/>
        <w:autoSpaceDN w:val="0"/>
        <w:adjustRightInd w:val="0"/>
        <w:spacing w:after="0" w:line="240" w:lineRule="auto"/>
        <w:ind w:left="1495" w:right="12"/>
        <w:jc w:val="both"/>
        <w:rPr>
          <w:b/>
          <w:noProof/>
        </w:rPr>
      </w:pPr>
      <w:r w:rsidRPr="003A5F67">
        <w:rPr>
          <w:b/>
          <w:noProof/>
        </w:rPr>
        <w:t>V</w:t>
      </w:r>
      <w:r w:rsidR="00B10D3E" w:rsidRPr="003A5F67">
        <w:rPr>
          <w:b/>
          <w:noProof/>
        </w:rPr>
        <w:t xml:space="preserve">alsts sekretāra </w:t>
      </w:r>
      <w:r w:rsidRPr="003A5F67">
        <w:rPr>
          <w:b/>
          <w:noProof/>
        </w:rPr>
        <w:t>p.i.</w:t>
      </w:r>
      <w:r w:rsidR="003A5F67" w:rsidRPr="003A5F67">
        <w:rPr>
          <w:b/>
        </w:rPr>
        <w:tab/>
      </w:r>
      <w:r w:rsidR="003A5F67" w:rsidRPr="003A5F67">
        <w:rPr>
          <w:b/>
          <w:noProof/>
        </w:rPr>
        <w:t>Rolands Heniņš</w:t>
      </w:r>
    </w:p>
    <w:p w14:paraId="1FA0B93C" w14:textId="73EEED76" w:rsidR="0087587A" w:rsidRDefault="0087587A" w:rsidP="0087587A">
      <w:pPr>
        <w:pStyle w:val="Sarakstarindkopa"/>
        <w:tabs>
          <w:tab w:val="left" w:pos="6804"/>
        </w:tabs>
        <w:autoSpaceDE w:val="0"/>
        <w:autoSpaceDN w:val="0"/>
        <w:adjustRightInd w:val="0"/>
        <w:spacing w:after="0" w:line="240" w:lineRule="auto"/>
        <w:ind w:left="1495" w:right="12"/>
        <w:jc w:val="both"/>
        <w:rPr>
          <w:b/>
          <w:noProof/>
        </w:rPr>
      </w:pPr>
    </w:p>
    <w:p w14:paraId="3018D0B0" w14:textId="430ABD7D" w:rsidR="0087587A" w:rsidRDefault="0087587A" w:rsidP="0087587A">
      <w:pPr>
        <w:pStyle w:val="Sarakstarindkopa"/>
        <w:tabs>
          <w:tab w:val="left" w:pos="6804"/>
        </w:tabs>
        <w:autoSpaceDE w:val="0"/>
        <w:autoSpaceDN w:val="0"/>
        <w:adjustRightInd w:val="0"/>
        <w:spacing w:after="0" w:line="240" w:lineRule="auto"/>
        <w:ind w:left="1495" w:right="12"/>
        <w:jc w:val="both"/>
        <w:rPr>
          <w:b/>
          <w:noProof/>
        </w:rPr>
      </w:pPr>
    </w:p>
    <w:p w14:paraId="0E143E2D" w14:textId="39A20F0D" w:rsidR="0087587A" w:rsidRDefault="0087587A" w:rsidP="0087587A">
      <w:pPr>
        <w:pStyle w:val="Sarakstarindkopa"/>
        <w:tabs>
          <w:tab w:val="left" w:pos="6804"/>
        </w:tabs>
        <w:autoSpaceDE w:val="0"/>
        <w:autoSpaceDN w:val="0"/>
        <w:adjustRightInd w:val="0"/>
        <w:spacing w:after="0" w:line="240" w:lineRule="auto"/>
        <w:ind w:left="1495" w:right="12"/>
        <w:jc w:val="both"/>
        <w:rPr>
          <w:b/>
          <w:noProof/>
        </w:rPr>
      </w:pPr>
    </w:p>
    <w:p w14:paraId="1928433C" w14:textId="77777777" w:rsidR="0087587A" w:rsidRPr="003A5F67" w:rsidRDefault="0087587A" w:rsidP="0087587A">
      <w:pPr>
        <w:pStyle w:val="Sarakstarindkopa"/>
        <w:tabs>
          <w:tab w:val="left" w:pos="6804"/>
        </w:tabs>
        <w:autoSpaceDE w:val="0"/>
        <w:autoSpaceDN w:val="0"/>
        <w:adjustRightInd w:val="0"/>
        <w:spacing w:after="0" w:line="240" w:lineRule="auto"/>
        <w:ind w:left="1495" w:right="12"/>
        <w:jc w:val="both"/>
        <w:rPr>
          <w:b/>
        </w:rPr>
      </w:pPr>
    </w:p>
    <w:p w14:paraId="3C8AEEA2" w14:textId="77777777" w:rsidR="00831C01" w:rsidRPr="0087587A" w:rsidRDefault="00EE3CFD" w:rsidP="0087587A">
      <w:pPr>
        <w:tabs>
          <w:tab w:val="left" w:pos="6804"/>
        </w:tabs>
        <w:spacing w:after="0" w:line="240" w:lineRule="auto"/>
        <w:rPr>
          <w:sz w:val="16"/>
          <w:szCs w:val="16"/>
        </w:rPr>
      </w:pPr>
      <w:r w:rsidRPr="0087587A">
        <w:rPr>
          <w:noProof/>
          <w:sz w:val="16"/>
          <w:szCs w:val="16"/>
        </w:rPr>
        <w:t>Rihards Ērdmanis</w:t>
      </w:r>
      <w:r w:rsidRPr="0087587A">
        <w:rPr>
          <w:sz w:val="16"/>
          <w:szCs w:val="16"/>
        </w:rPr>
        <w:t xml:space="preserve">, </w:t>
      </w:r>
      <w:r w:rsidRPr="0087587A">
        <w:rPr>
          <w:noProof/>
          <w:sz w:val="16"/>
          <w:szCs w:val="16"/>
        </w:rPr>
        <w:t>67335340</w:t>
      </w:r>
    </w:p>
    <w:p w14:paraId="3C8AEEA3" w14:textId="5C90E9A4" w:rsidR="00A650A4" w:rsidRPr="0087587A" w:rsidRDefault="00EE3CFD" w:rsidP="0087587A">
      <w:pPr>
        <w:tabs>
          <w:tab w:val="left" w:pos="6804"/>
        </w:tabs>
        <w:spacing w:after="0" w:line="240" w:lineRule="auto"/>
        <w:rPr>
          <w:sz w:val="16"/>
          <w:szCs w:val="16"/>
        </w:rPr>
      </w:pPr>
      <w:hyperlink r:id="rId8" w:history="1">
        <w:r w:rsidR="003A5F67" w:rsidRPr="0087587A">
          <w:rPr>
            <w:rStyle w:val="Hipersaite"/>
            <w:noProof/>
            <w:sz w:val="16"/>
            <w:szCs w:val="16"/>
          </w:rPr>
          <w:t>rihards.erdmanis@mod.gov.lv</w:t>
        </w:r>
      </w:hyperlink>
      <w:r w:rsidR="003A5F67" w:rsidRPr="0087587A">
        <w:rPr>
          <w:noProof/>
          <w:sz w:val="16"/>
          <w:szCs w:val="16"/>
        </w:rPr>
        <w:t xml:space="preserve"> </w:t>
      </w:r>
    </w:p>
    <w:sectPr w:rsidR="00A650A4" w:rsidRPr="0087587A" w:rsidSect="00330D43">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6CA70" w14:textId="77777777" w:rsidR="00EE3CFD" w:rsidRDefault="00EE3CFD">
      <w:pPr>
        <w:spacing w:after="0" w:line="240" w:lineRule="auto"/>
      </w:pPr>
      <w:r>
        <w:separator/>
      </w:r>
    </w:p>
  </w:endnote>
  <w:endnote w:type="continuationSeparator" w:id="0">
    <w:p w14:paraId="39D0E0F3" w14:textId="77777777" w:rsidR="00EE3CFD" w:rsidRDefault="00EE3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T Serif">
    <w:charset w:val="00"/>
    <w:family w:val="roman"/>
    <w:pitch w:val="variable"/>
    <w:sig w:usb0="A00002EF" w:usb1="5000204B" w:usb2="00000000" w:usb3="00000000" w:csb0="00000097" w:csb1="00000000"/>
  </w:font>
  <w:font w:name="TimesNewRomanPS-Italic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816717"/>
      <w:docPartObj>
        <w:docPartGallery w:val="Page Numbers (Bottom of Page)"/>
        <w:docPartUnique/>
      </w:docPartObj>
    </w:sdtPr>
    <w:sdtEndPr/>
    <w:sdtContent>
      <w:sdt>
        <w:sdtPr>
          <w:id w:val="595491692"/>
          <w:docPartObj>
            <w:docPartGallery w:val="Page Numbers (Top of Page)"/>
            <w:docPartUnique/>
          </w:docPartObj>
        </w:sdtPr>
        <w:sdtEndPr/>
        <w:sdtContent>
          <w:p w14:paraId="3C8AEEA4" w14:textId="77777777" w:rsidR="003A5F67" w:rsidRPr="00A339EF" w:rsidRDefault="00EE3CFD" w:rsidP="00A339EF">
            <w:pPr>
              <w:spacing w:after="0" w:line="240" w:lineRule="auto"/>
              <w:jc w:val="center"/>
              <w:rPr>
                <w:rFonts w:ascii="TimesNewRomanPS-ItalicMT" w:hAnsi="TimesNewRomanPS-ItalicMT"/>
                <w:iCs/>
                <w:sz w:val="20"/>
                <w:szCs w:val="20"/>
              </w:rPr>
            </w:pPr>
            <w:r w:rsidRPr="002D7FAB">
              <w:rPr>
                <w:rFonts w:ascii="TimesNewRomanPS-ItalicMT" w:hAnsi="TimesNewRomanPS-ItalicMT"/>
                <w:iCs/>
                <w:sz w:val="20"/>
                <w:szCs w:val="20"/>
              </w:rPr>
              <w:t>DOKUMENTS IR ELEKTRONISKI PARAKSTĪTS AR DROŠU ELEKTRONISKO PARAKSTU UN SATUR LAIKA ZĪMOGU</w:t>
            </w:r>
          </w:p>
          <w:p w14:paraId="3C8AEEA5" w14:textId="77A1DE5B" w:rsidR="003A5F67" w:rsidRPr="00A339EF" w:rsidRDefault="00EE3CFD" w:rsidP="00A339EF">
            <w:pPr>
              <w:pStyle w:val="Kjene"/>
              <w:jc w:val="right"/>
            </w:pPr>
            <w:r w:rsidRPr="00A339EF">
              <w:rPr>
                <w:bCs/>
              </w:rPr>
              <w:fldChar w:fldCharType="begin"/>
            </w:r>
            <w:r w:rsidRPr="00A339EF">
              <w:rPr>
                <w:bCs/>
              </w:rPr>
              <w:instrText xml:space="preserve"> PAGE </w:instrText>
            </w:r>
            <w:r w:rsidRPr="00A339EF">
              <w:rPr>
                <w:bCs/>
              </w:rPr>
              <w:fldChar w:fldCharType="separate"/>
            </w:r>
            <w:r w:rsidRPr="00A339EF">
              <w:rPr>
                <w:bCs/>
              </w:rPr>
              <w:t>2</w:t>
            </w:r>
            <w:r w:rsidRPr="00A339EF">
              <w:rPr>
                <w:bCs/>
              </w:rPr>
              <w:fldChar w:fldCharType="end"/>
            </w:r>
            <w:r w:rsidRPr="00A339EF">
              <w:t xml:space="preserve"> - </w:t>
            </w:r>
            <w:r w:rsidRPr="00A339EF">
              <w:rPr>
                <w:bCs/>
              </w:rPr>
              <w:fldChar w:fldCharType="begin"/>
            </w:r>
            <w:r w:rsidRPr="00A339EF">
              <w:rPr>
                <w:bCs/>
              </w:rPr>
              <w:instrText xml:space="preserve"> NUMPAGES  </w:instrText>
            </w:r>
            <w:r w:rsidRPr="00A339EF">
              <w:rPr>
                <w:bCs/>
              </w:rPr>
              <w:fldChar w:fldCharType="separate"/>
            </w:r>
            <w:r w:rsidRPr="00A339EF">
              <w:rPr>
                <w:bCs/>
              </w:rPr>
              <w:t>2</w:t>
            </w:r>
            <w:r w:rsidRPr="00A339EF">
              <w:rPr>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AEEAB" w14:textId="77777777" w:rsidR="003A5F67" w:rsidRPr="00A339EF" w:rsidRDefault="00EE3CFD" w:rsidP="00A339EF">
    <w:pPr>
      <w:spacing w:after="0" w:line="240" w:lineRule="auto"/>
      <w:jc w:val="center"/>
      <w:rPr>
        <w:rFonts w:ascii="TimesNewRomanPS-ItalicMT" w:hAnsi="TimesNewRomanPS-ItalicMT"/>
        <w:iCs/>
        <w:sz w:val="20"/>
        <w:szCs w:val="20"/>
      </w:rPr>
    </w:pPr>
    <w:r w:rsidRPr="002D7FAB">
      <w:rPr>
        <w:rFonts w:ascii="TimesNewRomanPS-ItalicMT" w:hAnsi="TimesNewRomanPS-ItalicMT"/>
        <w:iCs/>
        <w:sz w:val="20"/>
        <w:szCs w:val="20"/>
      </w:rPr>
      <w:t>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8AEEAC" w14:textId="77777777" w:rsidR="003A5F67" w:rsidRDefault="00EE3CFD">
      <w:pPr>
        <w:spacing w:after="0" w:line="240" w:lineRule="auto"/>
      </w:pPr>
      <w:r>
        <w:separator/>
      </w:r>
    </w:p>
  </w:footnote>
  <w:footnote w:type="continuationSeparator" w:id="0">
    <w:p w14:paraId="3C8AEEAE" w14:textId="77777777" w:rsidR="003A5F67" w:rsidRDefault="00EE3CFD">
      <w:pPr>
        <w:spacing w:after="0" w:line="240" w:lineRule="auto"/>
      </w:pPr>
      <w:r>
        <w:continuationSeparator/>
      </w:r>
    </w:p>
  </w:footnote>
  <w:footnote w:id="1">
    <w:p w14:paraId="22DF42F1" w14:textId="402514D6" w:rsidR="003A5F67" w:rsidRPr="00B41BC8" w:rsidRDefault="00EE3CFD" w:rsidP="00830E8A">
      <w:pPr>
        <w:pStyle w:val="Vresteksts"/>
        <w:jc w:val="both"/>
      </w:pPr>
      <w:r>
        <w:rPr>
          <w:rStyle w:val="Vresatsauce"/>
        </w:rPr>
        <w:footnoteRef/>
      </w:r>
      <w:r>
        <w:t xml:space="preserve"> </w:t>
      </w:r>
      <w:r w:rsidRPr="00B41BC8">
        <w:t xml:space="preserve">Augstākās tiesas Senāta 2012. gada 4. jūnija spriedums lietā Nr. SKA-138/2012, 10., 12.-13. punkts. No: </w:t>
      </w:r>
      <w:proofErr w:type="spellStart"/>
      <w:r w:rsidRPr="00B41BC8">
        <w:t>Danovskis</w:t>
      </w:r>
      <w:proofErr w:type="spellEnd"/>
      <w:r w:rsidRPr="00B41BC8">
        <w:t xml:space="preserve"> E. Tiesu prakse lietās par valsts dienestu (2007.-2013.). Rīga: Latvijas Republikas Augstākā tiesa, 2013. Pieejams: http://at.gov.lv/files/uploads/files/6_Judikatura/Tiesu_prakses_apkopojumi/Valsts_dienests_tiesu_prakses_apkopojums_30102013.doc</w:t>
      </w:r>
    </w:p>
  </w:footnote>
  <w:footnote w:id="2">
    <w:p w14:paraId="1F93CE21" w14:textId="16760881" w:rsidR="003A5F67" w:rsidRPr="00B41BC8" w:rsidRDefault="00EE3CFD" w:rsidP="00830E8A">
      <w:pPr>
        <w:pStyle w:val="Vresteksts"/>
        <w:jc w:val="both"/>
      </w:pPr>
      <w:r w:rsidRPr="00B41BC8">
        <w:rPr>
          <w:vertAlign w:val="superscript"/>
        </w:rPr>
        <w:footnoteRef/>
      </w:r>
      <w:r w:rsidRPr="00B41BC8">
        <w:rPr>
          <w:vertAlign w:val="superscript"/>
        </w:rPr>
        <w:t xml:space="preserve"> </w:t>
      </w:r>
      <w:r w:rsidRPr="00B41BC8">
        <w:t>Latvijas Satversmes tiesas spriedums 2006.gada 11.aprīļa lietā Nr.2005-24-01, 8.punkts.</w:t>
      </w:r>
    </w:p>
  </w:footnote>
  <w:footnote w:id="3">
    <w:p w14:paraId="2A8FEA87" w14:textId="347EAAC2" w:rsidR="003A5F67" w:rsidRPr="00B41BC8" w:rsidRDefault="00EE3CFD">
      <w:pPr>
        <w:pStyle w:val="Vresteksts"/>
      </w:pPr>
      <w:r w:rsidRPr="00B41BC8">
        <w:rPr>
          <w:rStyle w:val="Vresatsauce"/>
        </w:rPr>
        <w:footnoteRef/>
      </w:r>
      <w:r w:rsidRPr="00B41BC8">
        <w:t xml:space="preserve"> Militārā dienesta likums.  </w:t>
      </w:r>
      <w:hyperlink r:id="rId1" w:tgtFrame="_blank" w:history="1">
        <w:r w:rsidRPr="00B41BC8">
          <w:t>Latvijas Vēstnesis</w:t>
        </w:r>
      </w:hyperlink>
      <w:r w:rsidRPr="00B41BC8">
        <w:t>, 91, 18.06.2002., 2.pants.</w:t>
      </w:r>
    </w:p>
  </w:footnote>
  <w:footnote w:id="4">
    <w:p w14:paraId="58E999E2" w14:textId="1A3B5B37" w:rsidR="003A5F67" w:rsidRPr="00B41BC8" w:rsidRDefault="00EE3CFD" w:rsidP="00303D4D">
      <w:pPr>
        <w:pStyle w:val="Vresteksts"/>
        <w:jc w:val="both"/>
      </w:pPr>
      <w:r w:rsidRPr="00B41BC8">
        <w:rPr>
          <w:rStyle w:val="Vresatsauce"/>
        </w:rPr>
        <w:footnoteRef/>
      </w:r>
      <w:r w:rsidRPr="00B41BC8">
        <w:t xml:space="preserve"> </w:t>
      </w:r>
      <w:proofErr w:type="spellStart"/>
      <w:r w:rsidRPr="00B41BC8">
        <w:t>Danovskis</w:t>
      </w:r>
      <w:proofErr w:type="spellEnd"/>
      <w:r w:rsidRPr="00B41BC8">
        <w:t xml:space="preserve"> E. Tiesu prakse lietās par valsts dienestu (2007.-2013.). Rīga: Latvijas Republikas Augstākā tiesa, 2013. Pieejams: http://at.gov.lv/files/uploads/files/6_Judikatura/Tiesu_prakses_apkopojumi/Valsts_dienests_tiesu_prakses_apkopojums_30102013.doc</w:t>
      </w:r>
    </w:p>
  </w:footnote>
  <w:footnote w:id="5">
    <w:p w14:paraId="197EA319" w14:textId="3473BE73" w:rsidR="003A5F67" w:rsidRPr="00B41BC8" w:rsidRDefault="00EE3CFD" w:rsidP="00B41BC8">
      <w:pPr>
        <w:pStyle w:val="Vresteksts"/>
        <w:jc w:val="both"/>
      </w:pPr>
      <w:r>
        <w:rPr>
          <w:rStyle w:val="Vresatsauce"/>
        </w:rPr>
        <w:footnoteRef/>
      </w:r>
      <w:r>
        <w:t xml:space="preserve"> </w:t>
      </w:r>
      <w:r w:rsidRPr="00B41BC8">
        <w:t>Latvijas Republikas Satversmes tiesas spriedums 2023.gada 18.oktobra lietā Nr. 2022-33-01.</w:t>
      </w:r>
    </w:p>
  </w:footnote>
  <w:footnote w:id="6">
    <w:p w14:paraId="057B630B" w14:textId="2B5EACBA" w:rsidR="003A5F67" w:rsidRPr="00B41BC8" w:rsidRDefault="00EE3CFD" w:rsidP="00B41BC8">
      <w:pPr>
        <w:pStyle w:val="Vresteksts"/>
        <w:jc w:val="both"/>
      </w:pPr>
      <w:r w:rsidRPr="00B41BC8">
        <w:rPr>
          <w:rStyle w:val="Vresatsauce"/>
        </w:rPr>
        <w:footnoteRef/>
      </w:r>
      <w:r w:rsidRPr="00B41BC8">
        <w:t xml:space="preserve"> Par Nacionālās drošības koncepcijas apstiprināšanu </w:t>
      </w:r>
      <w:hyperlink r:id="rId2" w:tgtFrame="_blank" w:history="1">
        <w:r w:rsidRPr="00B41BC8">
          <w:t>Latvijas Vēstnesis</w:t>
        </w:r>
      </w:hyperlink>
      <w:r w:rsidRPr="00B41BC8">
        <w:t>, 189, 29.09.2023.</w:t>
      </w:r>
    </w:p>
  </w:footnote>
  <w:footnote w:id="7">
    <w:p w14:paraId="7A9E427D" w14:textId="240410AD" w:rsidR="003A5F67" w:rsidRPr="00194D3D" w:rsidRDefault="00EE3CFD" w:rsidP="00B41BC8">
      <w:pPr>
        <w:pStyle w:val="Virsraksts1"/>
        <w:jc w:val="both"/>
        <w:rPr>
          <w:rFonts w:eastAsia="Calibri"/>
          <w:b w:val="0"/>
          <w:sz w:val="20"/>
          <w:lang w:eastAsia="lv-LV"/>
        </w:rPr>
      </w:pPr>
      <w:r w:rsidRPr="00B41BC8">
        <w:rPr>
          <w:rStyle w:val="Vresatsauce"/>
          <w:rFonts w:eastAsia="Calibri"/>
          <w:b w:val="0"/>
          <w:sz w:val="20"/>
          <w:lang w:eastAsia="lv-LV"/>
        </w:rPr>
        <w:footnoteRef/>
      </w:r>
      <w:r w:rsidRPr="00B41BC8">
        <w:rPr>
          <w:rFonts w:eastAsia="Calibri"/>
          <w:b w:val="0"/>
          <w:sz w:val="20"/>
          <w:lang w:eastAsia="lv-LV"/>
        </w:rPr>
        <w:t xml:space="preserve">Informatīvais ziņojums par bijušajiem VDK darbiniekiem un informatoriem likumos noteikto ierobežojumu nepieciešamību un pamatotību. Pieejams: </w:t>
      </w:r>
      <w:hyperlink r:id="rId3" w:history="1">
        <w:r w:rsidRPr="00194D3D">
          <w:rPr>
            <w:rStyle w:val="Hipersaite"/>
            <w:rFonts w:eastAsia="Calibri"/>
            <w:b w:val="0"/>
            <w:color w:val="auto"/>
            <w:sz w:val="20"/>
            <w:u w:val="none"/>
            <w:lang w:eastAsia="lv-LV"/>
          </w:rPr>
          <w:t>https://tap.mk.gov.lv/doc/2019_08/TMZin_100419_VDK.747.DOC</w:t>
        </w:r>
      </w:hyperlink>
      <w:r w:rsidRPr="00194D3D">
        <w:rPr>
          <w:rFonts w:eastAsia="Calibri"/>
          <w:b w:val="0"/>
          <w:sz w:val="20"/>
          <w:lang w:eastAsia="lv-LV"/>
        </w:rPr>
        <w:t xml:space="preserve"> </w:t>
      </w:r>
    </w:p>
  </w:footnote>
  <w:footnote w:id="8">
    <w:p w14:paraId="07F1DF84" w14:textId="49069C10" w:rsidR="003A5F67" w:rsidRPr="00194D3D" w:rsidRDefault="00EE3CFD" w:rsidP="00B41BC8">
      <w:pPr>
        <w:pStyle w:val="Vresteksts"/>
        <w:jc w:val="both"/>
      </w:pPr>
      <w:r w:rsidRPr="00194D3D">
        <w:rPr>
          <w:rStyle w:val="Vresatsauce"/>
        </w:rPr>
        <w:footnoteRef/>
      </w:r>
      <w:r w:rsidRPr="00194D3D">
        <w:t xml:space="preserve"> Par Nacionālās drošības koncepcijas apstiprināšanu </w:t>
      </w:r>
      <w:hyperlink r:id="rId4" w:tgtFrame="_blank" w:history="1">
        <w:r w:rsidRPr="00194D3D">
          <w:t>Latvijas Vēstnesis</w:t>
        </w:r>
      </w:hyperlink>
      <w:r w:rsidRPr="00194D3D">
        <w:t>, 189, 29.09.2023.</w:t>
      </w:r>
    </w:p>
  </w:footnote>
  <w:footnote w:id="9">
    <w:p w14:paraId="7055723B" w14:textId="02B5A78A" w:rsidR="003A5F67" w:rsidRPr="00194D3D" w:rsidRDefault="00EE3CFD" w:rsidP="00B41BC8">
      <w:pPr>
        <w:pStyle w:val="Vresteksts"/>
        <w:jc w:val="both"/>
      </w:pPr>
      <w:r w:rsidRPr="00194D3D">
        <w:rPr>
          <w:rStyle w:val="Vresatsauce"/>
        </w:rPr>
        <w:footnoteRef/>
      </w:r>
      <w:r w:rsidRPr="00194D3D">
        <w:t xml:space="preserve"> Latvijas Satversmes tiesas spriedums 2006.gada 11.aprīļa lietā </w:t>
      </w:r>
      <w:r w:rsidRPr="00194D3D">
        <w:t>Nr.2005-24-01,3.punkts.</w:t>
      </w:r>
    </w:p>
  </w:footnote>
  <w:footnote w:id="10">
    <w:p w14:paraId="172F4237" w14:textId="77722012" w:rsidR="003A5F67" w:rsidRPr="00194D3D" w:rsidRDefault="00EE3CFD" w:rsidP="00B41BC8">
      <w:pPr>
        <w:pStyle w:val="Vresteksts"/>
        <w:jc w:val="both"/>
      </w:pPr>
      <w:r w:rsidRPr="00194D3D">
        <w:rPr>
          <w:rStyle w:val="Vresatsauce"/>
        </w:rPr>
        <w:footnoteRef/>
      </w:r>
      <w:r w:rsidRPr="00194D3D">
        <w:t xml:space="preserve"> Latvijas Satversmes tiesas spriedums 2006. gada 15. jūnijā lietā Nr. 2005-13-0106.</w:t>
      </w:r>
    </w:p>
  </w:footnote>
  <w:footnote w:id="11">
    <w:p w14:paraId="582A6D3D" w14:textId="74CB288E" w:rsidR="003A5F67" w:rsidRPr="00194D3D" w:rsidRDefault="00EE3CFD" w:rsidP="00B41BC8">
      <w:pPr>
        <w:pStyle w:val="Vresteksts"/>
        <w:jc w:val="both"/>
      </w:pPr>
      <w:r w:rsidRPr="00194D3D">
        <w:rPr>
          <w:rStyle w:val="Vresatsauce"/>
        </w:rPr>
        <w:footnoteRef/>
      </w:r>
      <w:r w:rsidRPr="00194D3D">
        <w:t xml:space="preserve"> Eiropas Cilvēktiesību tiesas Pirmā departamenta spriedums. Lietā “Tatjana Ždanoka pret Latviju”  </w:t>
      </w:r>
      <w:hyperlink r:id="rId5" w:history="1">
        <w:r w:rsidRPr="00194D3D">
          <w:t>15.07.2004., Nr. 111</w:t>
        </w:r>
      </w:hyperlink>
      <w:r w:rsidRPr="00194D3D">
        <w:t>, Latvijas vēstnesis</w:t>
      </w:r>
    </w:p>
  </w:footnote>
  <w:footnote w:id="12">
    <w:p w14:paraId="61AE5B72" w14:textId="642A1330" w:rsidR="003A5F67" w:rsidRPr="00B41BC8" w:rsidRDefault="00EE3CFD" w:rsidP="00B41BC8">
      <w:pPr>
        <w:pStyle w:val="Vresteksts"/>
        <w:jc w:val="both"/>
      </w:pPr>
      <w:r w:rsidRPr="00194D3D">
        <w:rPr>
          <w:vertAlign w:val="superscript"/>
        </w:rPr>
        <w:footnoteRef/>
      </w:r>
      <w:r w:rsidRPr="00194D3D">
        <w:rPr>
          <w:vertAlign w:val="superscript"/>
        </w:rPr>
        <w:t xml:space="preserve"> </w:t>
      </w:r>
      <w:proofErr w:type="spellStart"/>
      <w:r w:rsidRPr="00194D3D">
        <w:t>Federal</w:t>
      </w:r>
      <w:proofErr w:type="spellEnd"/>
      <w:r w:rsidRPr="00194D3D">
        <w:t xml:space="preserve"> </w:t>
      </w:r>
      <w:proofErr w:type="spellStart"/>
      <w:r w:rsidRPr="00194D3D">
        <w:t>Security</w:t>
      </w:r>
      <w:proofErr w:type="spellEnd"/>
      <w:r w:rsidRPr="00194D3D">
        <w:t xml:space="preserve"> </w:t>
      </w:r>
      <w:proofErr w:type="spellStart"/>
      <w:r w:rsidRPr="00194D3D">
        <w:t>Service</w:t>
      </w:r>
      <w:proofErr w:type="spellEnd"/>
      <w:r w:rsidRPr="00194D3D">
        <w:t xml:space="preserve">  </w:t>
      </w:r>
      <w:hyperlink r:id="rId6" w:history="1">
        <w:r w:rsidRPr="00194D3D">
          <w:t>https://www.britannica.com/topic/Federal-Security-Service</w:t>
        </w:r>
      </w:hyperlink>
      <w:r w:rsidRPr="00B41BC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AEEA6" w14:textId="77777777" w:rsidR="003A5F67" w:rsidRPr="008669E5" w:rsidRDefault="00EE3CFD" w:rsidP="000473E9">
    <w:pPr>
      <w:spacing w:before="2520" w:after="120"/>
    </w:pPr>
    <w:r w:rsidRPr="008669E5">
      <w:rPr>
        <w:noProof/>
      </w:rPr>
      <mc:AlternateContent>
        <mc:Choice Requires="wps">
          <w:drawing>
            <wp:anchor distT="0" distB="0" distL="114300" distR="114300" simplePos="0" relativeHeight="251661312" behindDoc="1" locked="0" layoutInCell="1" allowOverlap="1">
              <wp:simplePos x="0" y="0"/>
              <wp:positionH relativeFrom="margin">
                <wp:align>center</wp:align>
              </wp:positionH>
              <wp:positionV relativeFrom="page">
                <wp:posOffset>1973580</wp:posOffset>
              </wp:positionV>
              <wp:extent cx="5839200" cy="313200"/>
              <wp:effectExtent l="0" t="0" r="9525" b="1079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200" cy="31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881C3" w14:textId="77777777" w:rsidR="003A5F67" w:rsidRPr="008669E5" w:rsidRDefault="00EE3CFD" w:rsidP="009A40B4">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Pr>
                              <w:rFonts w:eastAsia="Times New Roman"/>
                              <w:color w:val="231F20"/>
                              <w:sz w:val="17"/>
                              <w:szCs w:val="17"/>
                            </w:rPr>
                            <w:t>emāra iela 10/12, Rīga, LV-1473;</w:t>
                          </w:r>
                          <w:r w:rsidRPr="008669E5">
                            <w:rPr>
                              <w:rFonts w:eastAsia="Times New Roman"/>
                              <w:color w:val="231F20"/>
                              <w:sz w:val="17"/>
                              <w:szCs w:val="17"/>
                            </w:rPr>
                            <w:t xml:space="preserve"> tālr</w:t>
                          </w:r>
                          <w:r>
                            <w:rPr>
                              <w:rFonts w:eastAsia="Times New Roman"/>
                              <w:color w:val="231F20"/>
                              <w:sz w:val="17"/>
                              <w:szCs w:val="17"/>
                            </w:rPr>
                            <w:t xml:space="preserve">.: </w:t>
                          </w:r>
                          <w:bookmarkStart w:id="0" w:name="_Hlk87708821"/>
                          <w:r>
                            <w:rPr>
                              <w:rFonts w:eastAsia="Times New Roman"/>
                              <w:color w:val="231F20"/>
                              <w:sz w:val="17"/>
                              <w:szCs w:val="17"/>
                            </w:rPr>
                            <w:t>67210124</w:t>
                          </w:r>
                          <w:bookmarkEnd w:id="0"/>
                          <w:r>
                            <w:rPr>
                              <w:rFonts w:eastAsia="Times New Roman"/>
                              <w:color w:val="231F20"/>
                              <w:sz w:val="17"/>
                              <w:szCs w:val="17"/>
                            </w:rPr>
                            <w:t>;</w:t>
                          </w:r>
                          <w:r w:rsidRPr="008669E5">
                            <w:rPr>
                              <w:rFonts w:eastAsia="Times New Roman"/>
                              <w:color w:val="231F20"/>
                              <w:sz w:val="17"/>
                              <w:szCs w:val="17"/>
                            </w:rPr>
                            <w:t xml:space="preserve"> e-pasts</w:t>
                          </w:r>
                          <w:r>
                            <w:rPr>
                              <w:rFonts w:eastAsia="Times New Roman"/>
                              <w:color w:val="231F20"/>
                              <w:sz w:val="17"/>
                              <w:szCs w:val="17"/>
                            </w:rPr>
                            <w:t>:</w:t>
                          </w:r>
                          <w:r w:rsidRPr="008669E5">
                            <w:rPr>
                              <w:rFonts w:eastAsia="Times New Roman"/>
                              <w:color w:val="231F20"/>
                              <w:sz w:val="17"/>
                              <w:szCs w:val="17"/>
                            </w:rPr>
                            <w:t xml:space="preserve"> </w:t>
                          </w:r>
                          <w:r>
                            <w:rPr>
                              <w:rFonts w:eastAsia="Times New Roman"/>
                              <w:color w:val="231F20"/>
                              <w:sz w:val="17"/>
                              <w:szCs w:val="17"/>
                            </w:rPr>
                            <w:t>pasts</w:t>
                          </w:r>
                          <w:r w:rsidRPr="008669E5">
                            <w:rPr>
                              <w:rFonts w:eastAsia="Times New Roman"/>
                              <w:color w:val="231F20"/>
                              <w:sz w:val="17"/>
                              <w:szCs w:val="17"/>
                            </w:rPr>
                            <w:t>@mod.gov.lv</w:t>
                          </w:r>
                          <w:r>
                            <w:rPr>
                              <w:rFonts w:eastAsia="Times New Roman"/>
                              <w:color w:val="231F20"/>
                              <w:sz w:val="17"/>
                              <w:szCs w:val="17"/>
                            </w:rPr>
                            <w:t>;</w:t>
                          </w:r>
                          <w:r w:rsidRPr="008669E5">
                            <w:rPr>
                              <w:rFonts w:eastAsia="Times New Roman"/>
                              <w:color w:val="231F20"/>
                              <w:sz w:val="17"/>
                              <w:szCs w:val="17"/>
                            </w:rPr>
                            <w:t xml:space="preserve"> 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8pt;height:24.65pt;margin-top:155.4pt;margin-left:0;mso-height-percent:0;mso-height-relative:page;mso-position-horizontal:center;mso-position-horizontal-relative:margin;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3A5F67" w:rsidRPr="008669E5" w:rsidP="009A40B4" w14:paraId="3C8AEEB2"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Pr>
                        <w:rFonts w:eastAsia="Times New Roman"/>
                        <w:color w:val="231F20"/>
                        <w:sz w:val="17"/>
                        <w:szCs w:val="17"/>
                      </w:rPr>
                      <w:t>emāra iela 10/12, Rīga, LV-1473;</w:t>
                    </w:r>
                    <w:r w:rsidRPr="008669E5">
                      <w:rPr>
                        <w:rFonts w:eastAsia="Times New Roman"/>
                        <w:color w:val="231F20"/>
                        <w:sz w:val="17"/>
                        <w:szCs w:val="17"/>
                      </w:rPr>
                      <w:t xml:space="preserve"> tālr</w:t>
                    </w:r>
                    <w:r>
                      <w:rPr>
                        <w:rFonts w:eastAsia="Times New Roman"/>
                        <w:color w:val="231F20"/>
                        <w:sz w:val="17"/>
                        <w:szCs w:val="17"/>
                      </w:rPr>
                      <w:t xml:space="preserve">.: </w:t>
                    </w:r>
                    <w:bookmarkStart w:id="0" w:name="_Hlk87708821"/>
                    <w:r>
                      <w:rPr>
                        <w:rFonts w:eastAsia="Times New Roman"/>
                        <w:color w:val="231F20"/>
                        <w:sz w:val="17"/>
                        <w:szCs w:val="17"/>
                      </w:rPr>
                      <w:t>67210124</w:t>
                    </w:r>
                    <w:bookmarkEnd w:id="0"/>
                    <w:r>
                      <w:rPr>
                        <w:rFonts w:eastAsia="Times New Roman"/>
                        <w:color w:val="231F20"/>
                        <w:sz w:val="17"/>
                        <w:szCs w:val="17"/>
                      </w:rPr>
                      <w:t>;</w:t>
                    </w:r>
                    <w:r w:rsidRPr="008669E5">
                      <w:rPr>
                        <w:rFonts w:eastAsia="Times New Roman"/>
                        <w:color w:val="231F20"/>
                        <w:sz w:val="17"/>
                        <w:szCs w:val="17"/>
                      </w:rPr>
                      <w:t xml:space="preserve"> e-pasts</w:t>
                    </w:r>
                    <w:r>
                      <w:rPr>
                        <w:rFonts w:eastAsia="Times New Roman"/>
                        <w:color w:val="231F20"/>
                        <w:sz w:val="17"/>
                        <w:szCs w:val="17"/>
                      </w:rPr>
                      <w:t>:</w:t>
                    </w:r>
                    <w:r w:rsidRPr="008669E5">
                      <w:rPr>
                        <w:rFonts w:eastAsia="Times New Roman"/>
                        <w:color w:val="231F20"/>
                        <w:sz w:val="17"/>
                        <w:szCs w:val="17"/>
                      </w:rPr>
                      <w:t xml:space="preserve"> </w:t>
                    </w:r>
                    <w:r>
                      <w:rPr>
                        <w:rFonts w:eastAsia="Times New Roman"/>
                        <w:color w:val="231F20"/>
                        <w:sz w:val="17"/>
                        <w:szCs w:val="17"/>
                      </w:rPr>
                      <w:t>pasts</w:t>
                    </w:r>
                    <w:r w:rsidRPr="008669E5">
                      <w:rPr>
                        <w:rFonts w:eastAsia="Times New Roman"/>
                        <w:color w:val="231F20"/>
                        <w:sz w:val="17"/>
                        <w:szCs w:val="17"/>
                      </w:rPr>
                      <w:t>@mod.gov.lv</w:t>
                    </w:r>
                    <w:r>
                      <w:rPr>
                        <w:rFonts w:eastAsia="Times New Roman"/>
                        <w:color w:val="231F20"/>
                        <w:sz w:val="17"/>
                        <w:szCs w:val="17"/>
                      </w:rPr>
                      <w:t>;</w:t>
                    </w:r>
                    <w:r w:rsidRPr="008669E5">
                      <w:rPr>
                        <w:rFonts w:eastAsia="Times New Roman"/>
                        <w:color w:val="231F20"/>
                        <w:sz w:val="17"/>
                        <w:szCs w:val="17"/>
                      </w:rPr>
                      <w:t xml:space="preserve"> www.mod.gov.lv</w:t>
                    </w:r>
                  </w:p>
                </w:txbxContent>
              </v:textbox>
              <w10:wrap anchorx="margin"/>
            </v:shape>
          </w:pict>
        </mc:Fallback>
      </mc:AlternateContent>
    </w:r>
    <w:r w:rsidRPr="008669E5">
      <w:rPr>
        <w:noProof/>
      </w:rPr>
      <mc:AlternateContent>
        <mc:Choice Requires="wpg">
          <w:drawing>
            <wp:anchor distT="0" distB="0" distL="114300" distR="114300" simplePos="0" relativeHeight="251659264" behindDoc="1" locked="0" layoutInCell="1" allowOverlap="1">
              <wp:simplePos x="0" y="0"/>
              <wp:positionH relativeFrom="margin">
                <wp:align>center</wp:align>
              </wp:positionH>
              <wp:positionV relativeFrom="page">
                <wp:posOffset>1826895</wp:posOffset>
              </wp:positionV>
              <wp:extent cx="4399200" cy="0"/>
              <wp:effectExtent l="0" t="0" r="0" b="0"/>
              <wp:wrapNone/>
              <wp:docPr id="1" name="Group 41"/>
              <wp:cNvGraphicFramePr/>
              <a:graphic xmlns:a="http://schemas.openxmlformats.org/drawingml/2006/main">
                <a:graphicData uri="http://schemas.microsoft.com/office/word/2010/wordprocessingGroup">
                  <wpg:wgp>
                    <wpg:cNvGrpSpPr/>
                    <wpg:grpSpPr>
                      <a:xfrm>
                        <a:off x="0" y="0"/>
                        <a:ext cx="4399200" cy="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4pt;height:0;margin-top:143.85pt;margin-left:0;mso-position-horizontal:center;mso-position-horizontal-relative:margin;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r w:rsidRPr="008669E5">
      <w:rPr>
        <w:noProof/>
      </w:rPr>
      <w:drawing>
        <wp:anchor distT="0" distB="0" distL="114300" distR="114300" simplePos="0" relativeHeight="251658240" behindDoc="1" locked="0" layoutInCell="1" allowOverlap="1">
          <wp:simplePos x="0" y="0"/>
          <wp:positionH relativeFrom="page">
            <wp:posOffset>1117600</wp:posOffset>
          </wp:positionH>
          <wp:positionV relativeFrom="page">
            <wp:posOffset>590550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p>
  <w:tbl>
    <w:tblPr>
      <w:tblW w:w="7796" w:type="dxa"/>
      <w:tblInd w:w="108" w:type="dxa"/>
      <w:tblLayout w:type="fixed"/>
      <w:tblLook w:val="0000" w:firstRow="0" w:lastRow="0" w:firstColumn="0" w:lastColumn="0" w:noHBand="0" w:noVBand="0"/>
    </w:tblPr>
    <w:tblGrid>
      <w:gridCol w:w="3969"/>
      <w:gridCol w:w="3827"/>
    </w:tblGrid>
    <w:tr w:rsidR="00C637F8" w14:paraId="3C8AEEA9" w14:textId="77777777" w:rsidTr="00DD3458">
      <w:trPr>
        <w:cantSplit/>
      </w:trPr>
      <w:tc>
        <w:tcPr>
          <w:tcW w:w="3969" w:type="dxa"/>
        </w:tcPr>
        <w:p w14:paraId="3C8AEEA7" w14:textId="77777777" w:rsidR="003A5F67" w:rsidRPr="00C56EDF" w:rsidRDefault="00EE3CFD" w:rsidP="007E69BC">
          <w:pPr>
            <w:pStyle w:val="Galvene"/>
            <w:tabs>
              <w:tab w:val="clear" w:pos="4320"/>
            </w:tabs>
            <w:spacing w:before="120"/>
            <w:rPr>
              <w:color w:val="000000"/>
              <w:lang w:eastAsia="en-US"/>
            </w:rPr>
          </w:pPr>
          <w:r w:rsidRPr="00C56EDF">
            <w:rPr>
              <w:color w:val="000000"/>
              <w:lang w:eastAsia="en-US"/>
            </w:rPr>
            <w:t>Rīgā,</w:t>
          </w:r>
          <w:r>
            <w:rPr>
              <w:color w:val="000000"/>
              <w:lang w:eastAsia="en-US"/>
            </w:rPr>
            <w:t xml:space="preserve"> </w:t>
          </w:r>
          <w:r>
            <w:rPr>
              <w:noProof/>
              <w:color w:val="000000"/>
              <w:lang w:eastAsia="en-US"/>
            </w:rPr>
            <w:t>23.02.2024</w:t>
          </w:r>
          <w:r w:rsidRPr="00437554">
            <w:rPr>
              <w:color w:val="000000"/>
              <w:lang w:eastAsia="en-US"/>
            </w:rPr>
            <w:t>.</w:t>
          </w:r>
        </w:p>
      </w:tc>
      <w:tc>
        <w:tcPr>
          <w:tcW w:w="3827" w:type="dxa"/>
        </w:tcPr>
        <w:p w14:paraId="3C8AEEA8" w14:textId="77777777" w:rsidR="003A5F67" w:rsidRPr="0099125D" w:rsidRDefault="00EE3CFD" w:rsidP="00DD3458">
          <w:pPr>
            <w:pStyle w:val="Galvene"/>
            <w:tabs>
              <w:tab w:val="clear" w:pos="4320"/>
            </w:tabs>
            <w:spacing w:before="120"/>
            <w:rPr>
              <w:color w:val="000000"/>
              <w:lang w:val="en-US" w:eastAsia="en-US"/>
            </w:rPr>
          </w:pPr>
          <w:r>
            <w:rPr>
              <w:color w:val="000000"/>
              <w:lang w:val="en-US" w:eastAsia="en-US"/>
            </w:rPr>
            <w:t xml:space="preserve">Nr. </w:t>
          </w:r>
          <w:r>
            <w:rPr>
              <w:noProof/>
              <w:color w:val="000000"/>
              <w:lang w:val="en-US" w:eastAsia="en-US"/>
            </w:rPr>
            <w:t>MV-N/459</w:t>
          </w:r>
        </w:p>
      </w:tc>
    </w:tr>
  </w:tbl>
  <w:p w14:paraId="3C8AEEAA" w14:textId="77777777" w:rsidR="003A5F67" w:rsidRPr="008669E5" w:rsidRDefault="003A5F67" w:rsidP="008D4AF3">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0B46E7"/>
    <w:multiLevelType w:val="multilevel"/>
    <w:tmpl w:val="464071D0"/>
    <w:lvl w:ilvl="0">
      <w:start w:val="1"/>
      <w:numFmt w:val="decimal"/>
      <w:lvlText w:val="%1."/>
      <w:lvlJc w:val="left"/>
      <w:pPr>
        <w:ind w:left="720" w:hanging="360"/>
      </w:pPr>
      <w:rPr>
        <w:rFonts w:hint="default"/>
      </w:rPr>
    </w:lvl>
    <w:lvl w:ilvl="1">
      <w:start w:val="1"/>
      <w:numFmt w:val="decimal"/>
      <w:isLgl/>
      <w:lvlText w:val="%1.%2."/>
      <w:lvlJc w:val="left"/>
      <w:pPr>
        <w:ind w:left="1210"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354111619">
    <w:abstractNumId w:val="10"/>
  </w:num>
  <w:num w:numId="2" w16cid:durableId="1816100094">
    <w:abstractNumId w:val="8"/>
  </w:num>
  <w:num w:numId="3" w16cid:durableId="839271201">
    <w:abstractNumId w:val="7"/>
  </w:num>
  <w:num w:numId="4" w16cid:durableId="196047282">
    <w:abstractNumId w:val="6"/>
  </w:num>
  <w:num w:numId="5" w16cid:durableId="442575322">
    <w:abstractNumId w:val="5"/>
  </w:num>
  <w:num w:numId="6" w16cid:durableId="1596858835">
    <w:abstractNumId w:val="9"/>
  </w:num>
  <w:num w:numId="7" w16cid:durableId="743143694">
    <w:abstractNumId w:val="4"/>
  </w:num>
  <w:num w:numId="8" w16cid:durableId="1993212067">
    <w:abstractNumId w:val="3"/>
  </w:num>
  <w:num w:numId="9" w16cid:durableId="1455709689">
    <w:abstractNumId w:val="2"/>
  </w:num>
  <w:num w:numId="10" w16cid:durableId="1187216738">
    <w:abstractNumId w:val="1"/>
  </w:num>
  <w:num w:numId="11" w16cid:durableId="447436521">
    <w:abstractNumId w:val="0"/>
  </w:num>
  <w:num w:numId="12" w16cid:durableId="9431512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C01"/>
    <w:rsid w:val="00006384"/>
    <w:rsid w:val="00006971"/>
    <w:rsid w:val="0002064A"/>
    <w:rsid w:val="00030349"/>
    <w:rsid w:val="000473E9"/>
    <w:rsid w:val="000A383C"/>
    <w:rsid w:val="000B5336"/>
    <w:rsid w:val="000C6EB8"/>
    <w:rsid w:val="000D3E26"/>
    <w:rsid w:val="00124173"/>
    <w:rsid w:val="001268C6"/>
    <w:rsid w:val="00151CA3"/>
    <w:rsid w:val="00155ACF"/>
    <w:rsid w:val="001705BE"/>
    <w:rsid w:val="001922EB"/>
    <w:rsid w:val="00194D3D"/>
    <w:rsid w:val="001A108F"/>
    <w:rsid w:val="001C02FA"/>
    <w:rsid w:val="001D06AC"/>
    <w:rsid w:val="001D79E4"/>
    <w:rsid w:val="001E6C75"/>
    <w:rsid w:val="001F676E"/>
    <w:rsid w:val="0020559C"/>
    <w:rsid w:val="002241DB"/>
    <w:rsid w:val="00225422"/>
    <w:rsid w:val="00226FA5"/>
    <w:rsid w:val="00265D4A"/>
    <w:rsid w:val="00275B9E"/>
    <w:rsid w:val="00290B9D"/>
    <w:rsid w:val="002A1F5F"/>
    <w:rsid w:val="002B3077"/>
    <w:rsid w:val="002B3604"/>
    <w:rsid w:val="002C2E0F"/>
    <w:rsid w:val="002D706F"/>
    <w:rsid w:val="002D7FAB"/>
    <w:rsid w:val="002E1474"/>
    <w:rsid w:val="002E5B36"/>
    <w:rsid w:val="002E75AE"/>
    <w:rsid w:val="002F399B"/>
    <w:rsid w:val="002F7584"/>
    <w:rsid w:val="00303D4D"/>
    <w:rsid w:val="00330D43"/>
    <w:rsid w:val="00332D4A"/>
    <w:rsid w:val="003452A6"/>
    <w:rsid w:val="00390496"/>
    <w:rsid w:val="003952CA"/>
    <w:rsid w:val="003A5F67"/>
    <w:rsid w:val="003B56C5"/>
    <w:rsid w:val="003D6612"/>
    <w:rsid w:val="003E4B12"/>
    <w:rsid w:val="004033F4"/>
    <w:rsid w:val="00437554"/>
    <w:rsid w:val="00452A6A"/>
    <w:rsid w:val="004A33EE"/>
    <w:rsid w:val="004B29B1"/>
    <w:rsid w:val="004C49B2"/>
    <w:rsid w:val="004F08C0"/>
    <w:rsid w:val="0051778C"/>
    <w:rsid w:val="005317D9"/>
    <w:rsid w:val="00535564"/>
    <w:rsid w:val="005B495A"/>
    <w:rsid w:val="005F3497"/>
    <w:rsid w:val="006013CD"/>
    <w:rsid w:val="006042F8"/>
    <w:rsid w:val="0064477B"/>
    <w:rsid w:val="0065042F"/>
    <w:rsid w:val="00663C3A"/>
    <w:rsid w:val="00687FEE"/>
    <w:rsid w:val="006C1639"/>
    <w:rsid w:val="006C787C"/>
    <w:rsid w:val="00732F28"/>
    <w:rsid w:val="00734779"/>
    <w:rsid w:val="00760DE7"/>
    <w:rsid w:val="007764F0"/>
    <w:rsid w:val="007B3BA5"/>
    <w:rsid w:val="007B48EC"/>
    <w:rsid w:val="007B7238"/>
    <w:rsid w:val="007C6149"/>
    <w:rsid w:val="007E4D1F"/>
    <w:rsid w:val="007E69BC"/>
    <w:rsid w:val="0080251B"/>
    <w:rsid w:val="00815277"/>
    <w:rsid w:val="0082673C"/>
    <w:rsid w:val="008308BF"/>
    <w:rsid w:val="00830E8A"/>
    <w:rsid w:val="00831C01"/>
    <w:rsid w:val="00840E6A"/>
    <w:rsid w:val="00846FBE"/>
    <w:rsid w:val="008669E5"/>
    <w:rsid w:val="0087587A"/>
    <w:rsid w:val="00876C21"/>
    <w:rsid w:val="008D4AF3"/>
    <w:rsid w:val="008E2BF3"/>
    <w:rsid w:val="009108A5"/>
    <w:rsid w:val="0092411F"/>
    <w:rsid w:val="00932A10"/>
    <w:rsid w:val="00937370"/>
    <w:rsid w:val="00954D5A"/>
    <w:rsid w:val="0096072E"/>
    <w:rsid w:val="0097648A"/>
    <w:rsid w:val="0099125D"/>
    <w:rsid w:val="009A40B4"/>
    <w:rsid w:val="009E0B91"/>
    <w:rsid w:val="00A03A13"/>
    <w:rsid w:val="00A3062D"/>
    <w:rsid w:val="00A339EF"/>
    <w:rsid w:val="00A650A4"/>
    <w:rsid w:val="00A71DCB"/>
    <w:rsid w:val="00A76335"/>
    <w:rsid w:val="00A844DB"/>
    <w:rsid w:val="00AD76C6"/>
    <w:rsid w:val="00AF0E90"/>
    <w:rsid w:val="00B10D3E"/>
    <w:rsid w:val="00B41BC8"/>
    <w:rsid w:val="00B85566"/>
    <w:rsid w:val="00B873C0"/>
    <w:rsid w:val="00BB112A"/>
    <w:rsid w:val="00BB3739"/>
    <w:rsid w:val="00C06A8F"/>
    <w:rsid w:val="00C26649"/>
    <w:rsid w:val="00C33951"/>
    <w:rsid w:val="00C410CE"/>
    <w:rsid w:val="00C47F57"/>
    <w:rsid w:val="00C56EDF"/>
    <w:rsid w:val="00C637F8"/>
    <w:rsid w:val="00C732CE"/>
    <w:rsid w:val="00C83065"/>
    <w:rsid w:val="00CA407F"/>
    <w:rsid w:val="00D21FA6"/>
    <w:rsid w:val="00D53AC1"/>
    <w:rsid w:val="00D55B4B"/>
    <w:rsid w:val="00D75A81"/>
    <w:rsid w:val="00D82F0A"/>
    <w:rsid w:val="00DD3458"/>
    <w:rsid w:val="00DE5EA1"/>
    <w:rsid w:val="00E13D29"/>
    <w:rsid w:val="00E17AAD"/>
    <w:rsid w:val="00E276FD"/>
    <w:rsid w:val="00E365CE"/>
    <w:rsid w:val="00E63A9E"/>
    <w:rsid w:val="00E72B52"/>
    <w:rsid w:val="00E83CC3"/>
    <w:rsid w:val="00EA59EF"/>
    <w:rsid w:val="00ED7762"/>
    <w:rsid w:val="00EE3CFD"/>
    <w:rsid w:val="00EF676E"/>
    <w:rsid w:val="00F0003C"/>
    <w:rsid w:val="00F25DA3"/>
    <w:rsid w:val="00F60586"/>
    <w:rsid w:val="00FB2E50"/>
    <w:rsid w:val="00FB35BA"/>
    <w:rsid w:val="00FC7A01"/>
    <w:rsid w:val="00FD14FD"/>
    <w:rsid w:val="00FE23AA"/>
    <w:rsid w:val="00FF0EE8"/>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AEE98"/>
  <w15:docId w15:val="{D82B2C58-274C-49A3-A4AD-DD2AF398D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1C01"/>
    <w:pPr>
      <w:widowControl w:val="0"/>
      <w:spacing w:after="200" w:line="276" w:lineRule="auto"/>
    </w:pPr>
  </w:style>
  <w:style w:type="paragraph" w:styleId="Virsraksts1">
    <w:name w:val="heading 1"/>
    <w:basedOn w:val="Parasts"/>
    <w:next w:val="Parasts"/>
    <w:link w:val="Virsraksts1Rakstz"/>
    <w:qFormat/>
    <w:rsid w:val="0082673C"/>
    <w:pPr>
      <w:keepNext/>
      <w:widowControl/>
      <w:suppressAutoHyphens/>
      <w:spacing w:after="0" w:line="240" w:lineRule="auto"/>
      <w:jc w:val="center"/>
      <w:outlineLvl w:val="0"/>
    </w:pPr>
    <w:rPr>
      <w:rFonts w:eastAsia="Times New Roman"/>
      <w:b/>
      <w:szCs w:val="20"/>
      <w:lang w:eastAsia="ar-SA"/>
    </w:rPr>
  </w:style>
  <w:style w:type="paragraph" w:styleId="Virsraksts3">
    <w:name w:val="heading 3"/>
    <w:basedOn w:val="Parasts"/>
    <w:next w:val="Parasts"/>
    <w:link w:val="Virsraksts3Rakstz"/>
    <w:uiPriority w:val="9"/>
    <w:semiHidden/>
    <w:unhideWhenUsed/>
    <w:qFormat/>
    <w:rsid w:val="001F676E"/>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Sarakstarindkopa">
    <w:name w:val="List Paragraph"/>
    <w:basedOn w:val="Parasts"/>
    <w:uiPriority w:val="34"/>
    <w:qFormat/>
    <w:rsid w:val="00FD14FD"/>
    <w:pPr>
      <w:ind w:left="720"/>
      <w:contextualSpacing/>
    </w:pPr>
  </w:style>
  <w:style w:type="paragraph" w:styleId="Vresteksts">
    <w:name w:val="footnote text"/>
    <w:basedOn w:val="Parasts"/>
    <w:link w:val="VrestekstsRakstz"/>
    <w:uiPriority w:val="99"/>
    <w:semiHidden/>
    <w:unhideWhenUsed/>
    <w:rsid w:val="00155AC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155ACF"/>
    <w:rPr>
      <w:sz w:val="20"/>
      <w:szCs w:val="20"/>
    </w:rPr>
  </w:style>
  <w:style w:type="character" w:styleId="Vresatsauce">
    <w:name w:val="footnote reference"/>
    <w:basedOn w:val="Noklusjumarindkopasfonts"/>
    <w:uiPriority w:val="99"/>
    <w:semiHidden/>
    <w:unhideWhenUsed/>
    <w:rsid w:val="00155ACF"/>
    <w:rPr>
      <w:vertAlign w:val="superscript"/>
    </w:rPr>
  </w:style>
  <w:style w:type="character" w:customStyle="1" w:styleId="Virsraksts1Rakstz">
    <w:name w:val="Virsraksts 1 Rakstz."/>
    <w:basedOn w:val="Noklusjumarindkopasfonts"/>
    <w:link w:val="Virsraksts1"/>
    <w:rsid w:val="0082673C"/>
    <w:rPr>
      <w:rFonts w:eastAsia="Times New Roman"/>
      <w:b/>
      <w:szCs w:val="20"/>
      <w:lang w:eastAsia="ar-SA"/>
    </w:rPr>
  </w:style>
  <w:style w:type="paragraph" w:styleId="Pamatteksts">
    <w:name w:val="Body Text"/>
    <w:basedOn w:val="Parasts"/>
    <w:link w:val="PamattekstsRakstz"/>
    <w:uiPriority w:val="99"/>
    <w:semiHidden/>
    <w:unhideWhenUsed/>
    <w:rsid w:val="0082673C"/>
    <w:pPr>
      <w:spacing w:after="120"/>
    </w:pPr>
  </w:style>
  <w:style w:type="character" w:customStyle="1" w:styleId="PamattekstsRakstz">
    <w:name w:val="Pamatteksts Rakstz."/>
    <w:basedOn w:val="Noklusjumarindkopasfonts"/>
    <w:link w:val="Pamatteksts"/>
    <w:uiPriority w:val="99"/>
    <w:semiHidden/>
    <w:rsid w:val="0082673C"/>
  </w:style>
  <w:style w:type="paragraph" w:styleId="Pamattekstapirmatkpe">
    <w:name w:val="Body Text First Indent"/>
    <w:basedOn w:val="Pamatteksts"/>
    <w:link w:val="PamattekstapirmatkpeRakstz"/>
    <w:semiHidden/>
    <w:rsid w:val="0082673C"/>
    <w:pPr>
      <w:widowControl/>
      <w:suppressAutoHyphens/>
      <w:spacing w:after="0" w:line="240" w:lineRule="auto"/>
      <w:ind w:firstLine="283"/>
      <w:jc w:val="center"/>
    </w:pPr>
    <w:rPr>
      <w:rFonts w:eastAsia="Times New Roman"/>
      <w:sz w:val="20"/>
      <w:szCs w:val="20"/>
      <w:lang w:eastAsia="ar-SA"/>
    </w:rPr>
  </w:style>
  <w:style w:type="character" w:customStyle="1" w:styleId="PamattekstapirmatkpeRakstz">
    <w:name w:val="Pamatteksta pirmā atkāpe Rakstz."/>
    <w:basedOn w:val="PamattekstsRakstz"/>
    <w:link w:val="Pamattekstapirmatkpe"/>
    <w:semiHidden/>
    <w:rsid w:val="0082673C"/>
    <w:rPr>
      <w:rFonts w:eastAsia="Times New Roman"/>
      <w:sz w:val="20"/>
      <w:szCs w:val="20"/>
      <w:lang w:eastAsia="ar-SA"/>
    </w:rPr>
  </w:style>
  <w:style w:type="character" w:customStyle="1" w:styleId="Virsraksts3Rakstz">
    <w:name w:val="Virsraksts 3 Rakstz."/>
    <w:basedOn w:val="Noklusjumarindkopasfonts"/>
    <w:link w:val="Virsraksts3"/>
    <w:uiPriority w:val="9"/>
    <w:semiHidden/>
    <w:rsid w:val="001F676E"/>
    <w:rPr>
      <w:rFonts w:asciiTheme="majorHAnsi" w:eastAsiaTheme="majorEastAsia" w:hAnsiTheme="majorHAnsi" w:cstheme="majorBidi"/>
      <w:color w:val="243F60" w:themeColor="accent1" w:themeShade="7F"/>
    </w:rPr>
  </w:style>
  <w:style w:type="character" w:styleId="Izteiksmgs">
    <w:name w:val="Strong"/>
    <w:basedOn w:val="Noklusjumarindkopasfonts"/>
    <w:uiPriority w:val="22"/>
    <w:qFormat/>
    <w:rsid w:val="001F676E"/>
    <w:rPr>
      <w:b/>
      <w:bCs/>
    </w:rPr>
  </w:style>
  <w:style w:type="character" w:styleId="Izclums">
    <w:name w:val="Emphasis"/>
    <w:basedOn w:val="Noklusjumarindkopasfonts"/>
    <w:uiPriority w:val="20"/>
    <w:qFormat/>
    <w:rsid w:val="008308BF"/>
    <w:rPr>
      <w:i/>
      <w:iCs/>
    </w:rPr>
  </w:style>
  <w:style w:type="paragraph" w:styleId="Pamattekstsaratkpi">
    <w:name w:val="Body Text Indent"/>
    <w:basedOn w:val="Parasts"/>
    <w:link w:val="PamattekstsaratkpiRakstz"/>
    <w:uiPriority w:val="99"/>
    <w:semiHidden/>
    <w:unhideWhenUsed/>
    <w:rsid w:val="00BB3739"/>
    <w:pPr>
      <w:spacing w:after="120"/>
      <w:ind w:left="283"/>
    </w:pPr>
  </w:style>
  <w:style w:type="character" w:customStyle="1" w:styleId="PamattekstsaratkpiRakstz">
    <w:name w:val="Pamatteksts ar atkāpi Rakstz."/>
    <w:basedOn w:val="Noklusjumarindkopasfonts"/>
    <w:link w:val="Pamattekstsaratkpi"/>
    <w:uiPriority w:val="99"/>
    <w:semiHidden/>
    <w:rsid w:val="00BB3739"/>
  </w:style>
  <w:style w:type="character" w:styleId="Neatrisintapieminana">
    <w:name w:val="Unresolved Mention"/>
    <w:basedOn w:val="Noklusjumarindkopasfonts"/>
    <w:uiPriority w:val="99"/>
    <w:semiHidden/>
    <w:unhideWhenUsed/>
    <w:rsid w:val="00194D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hards.erdmanis@mod.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tap.mk.gov.lv/doc/2019_08/TMZin_100419_VDK.747.DOC" TargetMode="External"/><Relationship Id="rId2" Type="http://schemas.openxmlformats.org/officeDocument/2006/relationships/hyperlink" Target="https://www.vestnesis.lv/ta/id/345911-par-nacionalas-drosibas-koncepcijas-apstiprinasanu" TargetMode="External"/><Relationship Id="rId1" Type="http://schemas.openxmlformats.org/officeDocument/2006/relationships/hyperlink" Target="https://www.vestnesis.lv/ta/id/63405-militara-dienesta-likums" TargetMode="External"/><Relationship Id="rId6" Type="http://schemas.openxmlformats.org/officeDocument/2006/relationships/hyperlink" Target="https://www.britannica.com/topic/Federal-Security-Service" TargetMode="External"/><Relationship Id="rId5" Type="http://schemas.openxmlformats.org/officeDocument/2006/relationships/hyperlink" Target="https://www.vestnesis.lv/laidiens/2004/07/15/nr/111" TargetMode="External"/><Relationship Id="rId4" Type="http://schemas.openxmlformats.org/officeDocument/2006/relationships/hyperlink" Target="https://www.vestnesis.lv/ta/id/345911-par-nacionalas-drosibas-koncepcijas-apstiprinasan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2BEAD-05C5-49E8-A54E-3ECD310EB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3314</Words>
  <Characters>1890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Liene Zariņa</cp:lastModifiedBy>
  <cp:revision>2</cp:revision>
  <cp:lastPrinted>2014-12-29T13:45:00Z</cp:lastPrinted>
  <dcterms:created xsi:type="dcterms:W3CDTF">2024-03-19T12:32:00Z</dcterms:created>
  <dcterms:modified xsi:type="dcterms:W3CDTF">2024-03-19T12:32:00Z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