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23-TA-395: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projekta pamatinformāciju, tajā nav norādīts projekta steidzamības pamatojums, kā arī Tieslietu ministrijas ieskatā konkrētajam projektam pēc būtības nav steidzamība. Tādēļ lūdzam virzīt projektu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 tiks veikta vispārējās kārtībā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īscirtmeta atvasājiem un ātraudzīgu koku sugu enerģētiskām plantācijām saskaņā ar Lauksaimniecības un lauku attīstības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Lauksaimniecības un lauku attīstības likumu, jo tas neregulē īscirtmeta atvasāju un ātraudzīgu koku sugu enerģētisko plantāciju audzēšanas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atbilstoši Lauksaimniecības un lauku attīstības likuma normai, kas attiecināma uz kokaugu stādījumiem, kuri regulārā izvietojumā ierīkoti lauksaimniecībā izmantojamā zemē un kuru maksimālais audzēšanas cikla ilgums ir līdz 15 gadiem, pēc kura kultūru atjauno vai turpina zemi izmantot citu lauksaimniecības kultūru audzēšanai.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saņemšanas nosacījumi intervencēs "Ieguldījumi ilgtspējīgai mežsaimniecībai" un "Atbalsts meža ekosistēmu noturības un ekoloģiskās vērtības uzlabošanai un uzturēšanai" meža ugunsgrēkos un dabas katastrofās iznīcinātu mežaudžu atjaunošanas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noteikumu projekta 26. -31. punktu. Norādām, ka atbilstoši noteikumu projekta 24.1. apakšpunktam atbalstu par meža atjaunošanu piešķir saskaņā ar regulas 2022/2472 43. pantu. Savukārt atbilstoši noteikumu projekta 24.2. apakšpunktam atbalstu par atjaunotās mežaudzes agrotehnisko kopšanu piešķir saskaņā ar regulas 2022/2472 42. pantu. Līdz ar to nav skaidra nepieciešamība noteikumu projektā atsaukties vēl uz atsevišķām regulas 2022/2472 42. un 43. panta apakšvienībām.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analoģiski attiecas arī uz noteikumu projekta IV. nodaļas 33. - 35.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noteikumu projekta 26. -31. punktus, atbilstoši noteikumu projekta 24.1. apakšpunktam (pēc precizētās numerācijas 23.2. apakšpunkts), kas nosaka, ka atbalstu par meža atjaunošanu piešķir saskaņā ar regulas 2022/2472 43. pantu. Savukārt atbilstoši noteikumu projekta 23.2. apakšpunktam atbalstu par atjaunotās mežaudzes agrotehnisko kopšanu piešķir saskaņā ar regulas 2022/2472 42. pantu. Līdz ar to noteikumu projektā nav saglabātas dublējošas atsauces uz atsevišķām regulas 2022/2472 42. un 43. panta apakšvienībām.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precizēti arī uz noteikumu projekta II nodaļa, dzēšot 14.1. apakšpunktu, precizējot 15.punktu un dzēšot 16. punktu, jo atsauce par atbalsta piešķiršanu meža ieaudzēšanai saskaņā ar regulas 2022/2472 41. pantu izteikta noteikumu projekta 10.punktā. Kā arī nav saglabāti IV. nodaļas 33. - 35. punkti, atsaucoties uz noteikumu projekta 25.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saņemšanas nosacījumi intervencēs "Ieguldījumi ilgtspējīgai mežsaimniecībai" un "Atbalsts meža ekosistēmu noturības un ekoloģiskās vērtības uzlabošanai un uzturēšanai" meža ugunsgrēkos un dabas katastrofās iznīcinātu mežaudžu atjaunošanas nolūkā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meža atjaunošanai atbalstu piešķir, ja projekti atbilst dalībvalsts izstrādātajam meža aizsardzības plānam, kas minēts regulas 2022/2472 43. panta 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ir šajā noteikumu projekta punktā minētais "dalībvalsts izstrādātais meža aizsardzības plāns" un kur tas pieejams. Lūdzam arī skaidrot un precizēt atsauci uz "dalībvalsti", ņemot vērā noteikumu projekta 4. punktā noteikto, ka intervenču īstenošanas vieta ir </w:t>
            </w:r>
            <w:r w:rsidR="00000000" w:rsidRPr="00000000" w:rsidDel="00000000">
              <w:rPr>
                <w:u w:val="single"/>
                <w:rtl w:val="0"/>
              </w:rPr>
              <w:t xml:space="preserve">Latvijas teritorija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pašreizējā redakcijā atsaucei uz regulas normu nav juridiskas slodzes, jo regulas 2022/2472 43. panta 7. punkts nekonkretizē attiecināmo plānu. Līdz ar to Tieslietu ministrijas ieskatā punkts svītrojams. Gadījumā, ja nepieciešams konkrētās regulas normas ieviešanas mehānisms, lūdzam atsaukties uz normatīvo aktu prasībām, kas konkretizē attiecināmo plānu un/vai tā saturu, piemēram, Ministru kabineta 2023. gada 27. jūnija noteikumiem Nr. 348 "Meža aizsardzības noteikumi" vai citu attiecināmo normatīvo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saistīts arī ar izziņas 3.punktu. Noteikumu projekta 27. punkts tiek svītrots, saistībā ar augstāk minēto skaidrojumu. Noteikumu projekta 24.1. apakšpunkts (pēc precizētās numerācijas 23.2. apakšpunkts) nosaka, ka atbalstu par meža atjaunošanu piešķir saskaņā ar regulas 2022/2472 43. pantu un noteikumu  projekta 23.2 apakšpunkts nosaka, ka atbalstu par atjaunotās mežaudzes agrotehnisko kopšanu piešķir saskaņā ar regulas 2022/2472 42. pantu. Līdz ar noteikumu projektā nav saglabātas dublējošas atsauces uz atsevišķām regulas 2022/2472 42. un 43. panta apakšvienībām.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pievienojam skaidrojumu par noteikumu projekta 27. 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43. panta 7. punkts nosaka, ka atbalstāmās darbības vai projekti atbilst dalībvalsts izstrādātajam meža aizsardzības plānam. Mežsaimnieciskā potenciāla atjaunošanas gadījumā, kas minēta 2. punkta d) apakšpunktā, atbalstu lieliem uzņēmumiem piešķir ar nosacījumu, ka ir iesniegta attiecīgā informācija no meža apsaimniekošanas plāna vai līdzvērtīga instrumenta saskaņā ar Vispārējām pamatnostādnēm par ilgtspējīgu meža apsaimniekošanu Eiropā. Šo prasību nepiemēro pašvaldībām, kas ir autonomas vietējās pašvaldības, kuru gada budžets ir mazāks par 10 miljoniem EUR un iedzīvotāju skaits mazāks par 5 000.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nosacījumiem: “atbalstu lieliem uzņēmumiem piešķir ar nosacījumu, ka ir iesniegta attiecīgā informācija no meža apsaimniekošanas plāna vai līdzvērtīga instrumenta saskaņā ar Vispārējām pamatnostādnēm par ilgtspējīgu meža apsaimniekošanu Eiropā”, norādām, ka šāds plāns uzņēmuma gadījumā, ja nepieciešams tiek izstrādāts saskaņā ar nacionālajiem normatīviem (plāna saturu, izstrādi utt. regulē 2014.gada 4.februāra Ministru kabineta noteikumi Nr.67 “Noteikumi par meža apsaimniekošanas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pretendējot uz atbalstu, neatkarīgi no uzņēmuma lieluma - par ikvienu atbalstam plānoto platību pretendents iesniedz un Valsts meža dienests saskaņo plānotās darbības - meža apsaimniekošanas atbalsta intervenču plānā (noteikumu projekta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un nav samaksājis administratīvo sodu. Ziņas par personu izdarītajiem administratīvajiem pārkāpumiem atbilstoši valsts informācijas sistēmās ietvertajai informācijai, Valsts meža dienests iegūst no valsts informācijas sistēmas “Sodu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39.punktā vārdus "un nav samaksājis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 projekta 39.punktā ietvertā regulējuma pēc būtības izriet, ka vienlaikus ir jāiestājas diviem kritērijiem, lai Valsts meža dienestam nebūtu pamata noraidīt pretendenta iesniegto intervenču plānu, proti, pretendentam nedrīkst būt spēkā esošas sodāmības par attiecīgu Meža likuma 51.pantā paredzēto administratīvo pārkāpumu izdarīšanu un jābūt nomaksātam par šo pārkāpumu  izdarīšanu piemērotajam naudas sodam. Vēršam uzmanību uz Administratīvās atbildības likuma 24.pantā ietverto regulējumu, kas cita starpā regulē sodāmības dzēšanu gan gadījumos, ja naudas sods tiek samaksāts (sk. Administratīvās atbildības likuma 24.panta trešo daļu), gan arī gadījumos, ja naudas sods netiek samaksāts (sk. Administratīvās atbildības likuma 24.panta ceturto daļu). Līdz ar to projekta 39.punktā nav nepieciešams nauda soda samaksas aspektu izdalīt kā patstāvīgu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par atsevišķu Meža likuma 51.pantā paredzēto administratīvo pārkāpumu izdarīšanu personai var tikt piemērots ne tikai naudas sods, bet arī brīdinājums. Līdz ar to nav saprotams, kāpēc patlaban projekta 39.punkta regulējumā ir ietverta norāde tikai par piemērotā naudas soda izpildi, bet ne par brīdinājuma izpildi (sk. Administratīvās atbildības likuma 261.pantu).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arī projekta sākotnējās ietekmes novērtējuma ziņojumā (anotācijā)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39. punkta redakcija un balstoties uz to precizēta arī 1.3. sadaļas informācija projekta sākotnējās ietekmes novērtējuma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kamēr sodāmība nav dzēsta. Ziņas par personu izdarītajiem administratīvajiem pārkāpumiem atbilstoši valsts informācijas sistēmās ietvertajai informācijai Valsts meža dienests iegūst no valsts informācijas sistēmas "Sodu reģistrs".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saglabāt, atjaunot un palielināt bioloģisko daudzveidību, atjaunojot mežu.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intervence ir "Atbalsts meža ekosistēmu noturības un ekoloģiskās vērtības uzlabošanai un uzturēšanai" un arī 70.2.apakšpunktā norādīts sasniedzamais mērķis - saglabāt, atjaunot un palielināt bioloģisko daudzveidību, atjaunojot mežu, tomēr anotācijā bioloģiskās daudzveidības saglabāšanas veicināšanas mērķi nav aprakstīti. Lūdzam papildināt anotāciju, norādot bioloģiskās daudzveidības saglabāšanas veicināšanas mērķi, kā arī plānotās darbības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meža ekosistēmu noturību un ekoloģiskās vērtības uzlabošanu nevar nodrošināt ar vienlaidus monoaudzēm. Jaunaudzes, kas veidotas kā tīraudzes, nākotnē neveicina bioloģisko daudzveidību, bet gan tieši pretēji, rada piemērotus apstākļus masveidīgai kukaiņu vai arī slimību izplatībai, kā piemēram, egļu monoaudzes ir krietni mazāk noturīgas gan pret klimata mainību, gan arī pret kaitēkļu masveidīgu invāziju.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ietvertā informācija saistībā ar bioloģiskās daudzveidības saglabāšanas veicināšanas mērķiem, skaidrojot kā intervencēs plānotās darbības nodrošina šī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meža ieaudzēšanu, visos gadījumos tiek atbalstīta tikai vietējo koku sugu mistraudžu veidošana, izņemot smiltājus, kuros zemās auglības dēļ ieaudzētu priežu mežaudzes. Nodrošinot katrai sugai atbilstošos augšanas apstākļus un izmantojot meža atjaunošanai selekcionētu un pēc adaptācijai svarīgām pazīmēm atlasītu stādmateriālu, arī klimata izmaiņu situācijā un pielāgošanās spēju kontekstā, iespējams nodrošināt būtiski augstāku mežaudžu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motivē zemju īpašniekus veidot bioloģiski daudzveidīgākas mežaudzes, kur to ļauj veikt attiecīgā augsnes kvalitāte, tādejādi iespējama augstāka dzīvo organismu daudzveidība, tā nodrošinot, gan vides prasības, gan pret klimata izmaiņām noturīgāku mežaudžu veidošanu. Atzīmējām, ka pilnīgi visus meža apsaimniekošanas atbalsta intervenču plānus ar atbalsta platībā plānotajiem darbiem un to saturu izvērtē un saskaņo 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saglabāt, atjaunot un palielināt bioloģisko daudzveidību, atjaunojot mežu.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daudzveidības intervences nodrošināšanai noteikumu projektā jāparedz konkrētus veicinošos atbalsta mehānismus, piemēram, noteikumu 1.pielikumā diferencējot atbalsta likmes, t.i., nosakot, ka par mistraudzēm, kas dod lielāku ieguldījumu bioloģiskajā daudzveidībā, ir lielāka atbalsta maksājuma likme nekā par tīraudzēm.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intervence nodrošina zemju īpašniekiem veidot bioloģiski daudzveidīgas mežaudzes, platībās, kur to ļauj veikt attiecīgā augsnes kvalitāte, jo veicot meža ieaudzēšanu, visos gadījumos tiek atbalstīta tikai vietējo koku sugu mistraudžu veidošana, izņemot smiltājus, kuros zemās auglības dēļ tiktu ieaudzētas priežu mežaudzes. Tādejādi kopumā ir iespējams nodrošināt, gan vides prasības, gan pret klimata izmaiņām noturīgāku mežaudžu veidošanu. Visus meža apsaimniekošanas atbalsta intervenču plānus ar atbalsta platībā plānotajiem darbiem un to saturu izvērtē un saskaņo 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Likmju diferencēšanu vai palielinājumu, pretendentam izvēloties veidot mistraudzi, šobrīd Kopējās lauksaimniecības politikas Stratēģiskajā plānā 2023.-2027. gadam (turpmāk - KLP SP) ietvaros nav iespējams veikt, jo KLP SP ir apstiprināts, t.sk. atbalsta likmju apmērs un atbilstošās atbalsta intensitātes apmērs. Šādas izmaiņas iespējams veikt vienlaicīgi ar KLP SP ikgadējiem grozījumiem. Informējam, ka šāda iespēja jau tiek izvērtēta, un pamatojoties uz esošās situācijas darbu un materiālu izmaksu kāpumu, Latvijas Lauku Konsultāciju Centrs veicis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nepamatoto priekšrocību pretendentu atlasē, ko veicina 4.pielikuma 2.kritērijs, kas sniedz priekšroku projektu iesniegumiem, kuros plānota sēto un stādīto mežaudzu retināšana. Lai veicinātu bioloģiskās daudzveidības mērķa sasniegšanu, lūdzam šajā kritērijā paredzēt maksimālo punktu skaitu projektiem, kas plāno retināšanas darbu veikšanu dabiski atjaunotās audzēs.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kritēriji kopīgi izvērtēti un saskaņoti Kopējās lauksaimniecības politikas Stratēģiskā plāna 2023.-2027. gadam Uzraudzības komitejas sēde 2023. gada 27. aprīlī, kuras sastāvā ir arī VARAM (sēdes protokols pieejams Zemkopības ministrijas tīmekļvietnē). Atzīmējam, ka šāds kritērijs, kurš sniedz priekšrocību projekta iesniegumam, kurā plānota sēto un stādīto mežaudžu retināšana, nodrošinās pozitīvo selekcijas efektu, veidojot pret klimata izmaiņām noturīgākas mežaudzes. Zemkopības ministrija pieņem zināšanai priekšlikumu projektu atlases kritērijiem un atzīmē, ka priekšlikumus izmaiņām projektu atlases kritērijos var iesniegt, izskatīšanai Kopējās lauksaimniecības politikas Stratēģiskā plāna 2023.-2027. gadam Uzraudzības komitejas sēdē, kā arī informē par šī iebildumu virzīšanu izvērtēšanai un izskatīšanai Uzraudzības komitejas sēdē, kā VARAM priekšlikumu, paredzot maksimālo punktu skaitu projektiem, kas plāno retināšanas darbu veikšanu dabiski atjaunotās audzēs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intervence ir "Atbalsts meža ekosistēmu noturības un ekoloģiskās vērtības uzlabošanai un uzturēšanai" un arī 70.2.apakšpunktā norādīts sasniedzamais mērķis - saglabāt, atjaunot un palielināt bioloģisko daudzveidību, atjaunojot mežu, tomēr anotācijā bioloģiskās daudzveidības saglabāšanas veicināšanas mērķi netiek aprakstīti. Lūdzam papildināt anotāciju, norādot bioloģiskās daudzveidības saglabāšanas veicināšanas mērķi, kā arī plānotās darbības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skaidri definēts, pēc kādiem kritērijiem, rādītājiem tiks izvērtēta plānotās ietekmes rezultāta sasniegšana, proti, ka projekta īstenošanas darbības un plānotā intervence ir nodrošinājusi  bioloģiskās daudzveidības palielināšanos un  ekosistēmas noturību pret klimata pārmaiņām, jo meža ekosistēmu noturību un ekoloģiskās vērtības uzlabošanos nevar nodrošināt ar vienlaidus monoaudzēm.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bioloģiskās daudzveidības saglabāšanas veicināšanas mērķi, kā arī intervencēs plānotās darbības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meža ieaudzēšanu, visos gadījumos tiek atbalstīta tikai vietējo koku sugu mistraudžu veidošana, izņemot smiltājus, kuros zemās auglības dēļ ieaudzētu priežu mežaudzes. Nodrošinot katrai sugai atbilstošos augšanas apstākļus un izmantojot meža atjaunošanai selekcionētu un pēc adaptācijai svarīgām pazīmēm atlasītu stādmateriālu, arī klimata izmaiņu situācijā un pielāgošanās spēju kontekstā, iespējams nodrošināt būtiski augstāku mežaudžu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dod iespēju veidot bioloģiski daudzveidīgākas mežaudzes, kur to atļauj veikt attiecīgā augsnes kvalitāte, tādejādi nodrošinot, gan vides prasības, gan pret klimata izmaiņām noturīgāku mežaudžu veidošanu. Ņemot vērā, ka intervencē iespējama veidot gan vienlaidus audzes, gan mistraudzes, atbilstoši atbalsta platības apstākļiem, plānotā intervence un tās sasniedzamie rādītāji, nodrošinās  bioloģiskās daudzveidības saglabāšanu vienlaikus ar audžu noturību pret klimata pārmaiņām.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punktā pēdējo rindkopu papildināt ar norādi, ka minētais finansējums ir piešķirts saskaņā ar Ministru kabineta 2023.gada 13.janvāra sēdes lēmumu (prot. Nr.2 1.§ 2.punkts) atbalstīto prioritāro pasākumu “Atbalsts lauku attīstības politikai, īstenojot Kopējās lauksaimniecības politikas Stratēģisko plānu 2023.-2027. gadam”. Vienlaikus vēršam uzmanību, kas saskaņā ar likumu “Par valsts budžetu 2023. gadam un budžeta ietvaru 2023., 2024. un 2025. gadam” šis finansējums 2024. un 2025.gadam ir ieplānos Zemkopības ministrijas budžeta programmā 65.10.00 “Maksājumu iestādes izdevumi Eiropas Lauksaimniecības fonda lauku attīstībai (ELFLA) projektu un pasākumu īstenošanai (2023-2027)”, attiecīgi lūdzam anotācijas 3.sadaļā ailē “saskaņā ar vidēja termiņa budžeta ietvaru” precizēt 1.1. un 2.1. apakšpunktu 2024. un 2025.gadam, norādot attiecīgi Zemkopības ministrijas budžetā plānoto finansējumu noteikumu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18. janvāra sēdē izskatītājā informatīvajā ziņojumā “Par Latvijas Kopējās lauksaimniecības politikas stratēģisko plānu 2023.-2027. gadam” (prot. Nr.3 34.§ ) intervencei "Ieguldījumi ilgtspējīgai mežsaimniecībai" un intervencē “Atbalsts meža ekosistēmu noturības un ekoloģiskās vērtības uzlabošanai uzturēšanai” publiskais finansējums norādīts 16 730 000 </w:t>
            </w:r>
            <w:r w:rsidR="00000000" w:rsidRPr="00000000" w:rsidDel="00000000">
              <w:rPr>
                <w:i w:val="1"/>
                <w:rtl w:val="0"/>
              </w:rPr>
              <w:t xml:space="preserve">euro </w:t>
            </w:r>
            <w:r w:rsidR="00000000" w:rsidRPr="00000000" w:rsidDel="00000000">
              <w:rPr>
                <w:rtl w:val="0"/>
              </w:rPr>
              <w:t xml:space="preserve">apmērā, savukārt šobrīd anotācijas 3.sadaļā minētajām intervencēm summa atbilstoši plānotajam sadalījumam pa gadiem kopsummā veido 15 730 000 </w:t>
            </w:r>
            <w:r w:rsidR="00000000" w:rsidRPr="00000000" w:rsidDel="00000000">
              <w:rPr>
                <w:i w:val="1"/>
                <w:rtl w:val="0"/>
              </w:rPr>
              <w:t xml:space="preserve">euro</w:t>
            </w:r>
            <w:r w:rsidR="00000000" w:rsidRPr="00000000" w:rsidDel="00000000">
              <w:rPr>
                <w:rtl w:val="0"/>
              </w:rPr>
              <w:t xml:space="preserve">. Lūdzam pārskatīt un precizēt vai pievienot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informāciju par finansējuma sadalījumu. Ministru Kabineta 2022. gada 18. janvāra sēdē izskatītājā informatīvajā ziņojumā “Par Latvijas Kopējās lauksaimniecības politikas stratēģisko plānu 2023.-2027. gadam” (prot. Nr.3 34.§ ) intervencei "Ieguldījumi ilgtspējīgai mežsaimniecībai" un intervencē “Atbalsts meža ekosistēmu noturības un ekoloģiskās vērtības uzlabošanai uzturēšanai” publiskais finansējums norādīts 16 730 000 euro apmērā, jo tajā skaitā ietverta arī intervence LA 7.2 "Atbalsts meža bojājumu profilaksei un atjaunošanai" ar kopējo publisko finansējumu 1 000 000,00 EUR, kas kopā sastāda minētos 16 730 000,00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2025.gadā finansējums plānots gan intervences "Ieguldījumi ilgtspējīgai mežsaimniecībai" apakšpasākumā “Ieguldījumi meža ieaudzēšanai, nomaiņai, atjaunošanai un retināšanai”, gan intervencē “Atbalsts meža ekosistēmu noturības un ekoloģiskās vērtības uzlabošanai uzturēšanai”, kopā veidojot summu 3 058 615 </w:t>
            </w:r>
            <w:r w:rsidR="00000000" w:rsidRPr="00000000" w:rsidDel="00000000">
              <w:rPr>
                <w:i w:val="1"/>
                <w:rtl w:val="0"/>
              </w:rPr>
              <w:t xml:space="preserve">euro</w:t>
            </w:r>
            <w:r w:rsidR="00000000" w:rsidRPr="00000000" w:rsidDel="00000000">
              <w:rPr>
                <w:rtl w:val="0"/>
              </w:rPr>
              <w:t xml:space="preserve">, attiecīgi lūdzam precizēt anotācijas 3.sadaļas ailē “izmaiņas, salīdzinot ar vidēja termiņa budžeta ietvaru” 1.1. un 2.1. apakšpunktā norādīto ieņēmumu un izdevumu apmēru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70.2.apakšpunktā ir noteikts atbalstāmo darbību mērķis vairot bioloģisko daudzveidību, lūdzam norādīt sagaidāmo pozitīvo ietekmi uz vidi, dabu.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noteikumu projekta anotācijas 1.3. un  8.1.6. sadaļas, sniedzot informāciju par atbalstāmo intervenču mērķi saglabāt un vairot bioloģisko daudzveidību.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iesniegumus vērtē, lēmumu par projektu iesniegumu apstiprināšanu vai noraidīšanu pieņem un paziņo, kā arī publisko finansējumu pieprasa saskaņā ar normatīvajiem aktiem par valsts un Eiropas Savienības atbalsta piešķiršanas, administrēšanas un uzraudzības vispārējo kārtību lauku un zivsaimniecības attīstībai. Lēmuma par projektu iesniegumu apstiprināšanu diena ir uzskatāma par valsts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atsevišķas specifiskas prasības intervenču un projektu īstenošanai, ierosinām noteikumu projekta 2.punkta pirmo teikumu papildināt ar vārdiem "ciktāl šie noteikumi nenosaka citādi"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iesniegumus vērtē, lēmumu par projektu iesniegumu apstiprināšanu vai noraidīšanu pieņem un paziņo, kā arī publisko finansējumu pieprasa saskaņā ar normatīvajiem aktiem par valsts un Eiropas Savienības atbalsta piešķiršanas, administrēšanas un uzraudzības vispārējo kārtību lauku un zivsaimniecības attīstībai, ciktāl šie noteikumi nenosaka citādi. Par valsts atbalsta piešķiršanas dienu uzskatāma diena, kad pieņemts lēmums par projektu iesniegumu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pretendents atbalstam piesaka vairākas lauksaimniecībā izmantojamās zemes vienības ar atšķirīgu zemes kontūru kvalitatīvo novērtējumu, kas ietilpst atšķirīgās kvalitātes grupās, projekta atlases otrā kritērija punktu skaita noteikšanai aprēķina vidējo svērto zemes kvalitatīvo novērtējumu (V</w:t>
            </w:r>
            <w:r w:rsidR="00000000" w:rsidRPr="00000000" w:rsidDel="00000000">
              <w:rPr>
                <w:vertAlign w:val="subscript"/>
                <w:rtl w:val="0"/>
              </w:rPr>
              <w:t xml:space="preserve">vid</w:t>
            </w:r>
            <w:r w:rsidR="00000000" w:rsidRPr="00000000" w:rsidDel="00000000">
              <w:rPr>
                <w:rtl w:val="0"/>
              </w:rPr>
              <w:t xml:space="preserve">),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vid</w:t>
            </w:r>
            <w:r w:rsidR="00000000" w:rsidRPr="00000000" w:rsidDel="00000000">
              <w:rPr>
                <w:rtl w:val="0"/>
              </w:rPr>
              <w:t xml:space="preserve"> = Σ (V</w:t>
            </w:r>
            <w:r w:rsidR="00000000" w:rsidRPr="00000000" w:rsidDel="00000000">
              <w:rPr>
                <w:vertAlign w:val="subscript"/>
                <w:rtl w:val="0"/>
              </w:rPr>
              <w:t xml:space="preserve">x</w:t>
            </w:r>
            <w:r w:rsidR="00000000" w:rsidRPr="00000000" w:rsidDel="00000000">
              <w:rPr>
                <w:rtl w:val="0"/>
              </w:rPr>
              <w:t xml:space="preserve"> * L</w:t>
            </w:r>
            <w:r w:rsidR="00000000" w:rsidRPr="00000000" w:rsidDel="00000000">
              <w:rPr>
                <w:vertAlign w:val="subscript"/>
                <w:rtl w:val="0"/>
              </w:rPr>
              <w:t xml:space="preserve">x</w:t>
            </w:r>
            <w:r w:rsidR="00000000" w:rsidRPr="00000000" w:rsidDel="00000000">
              <w:rPr>
                <w:rtl w:val="0"/>
              </w:rPr>
              <w:t xml:space="preserve">) / Σ L</w:t>
            </w:r>
            <w:r w:rsidR="00000000" w:rsidRPr="00000000" w:rsidDel="00000000">
              <w:rPr>
                <w:vertAlign w:val="subscript"/>
                <w:rtl w:val="0"/>
              </w:rPr>
              <w:t xml:space="preserve">x</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x</w:t>
            </w:r>
            <w:r w:rsidR="00000000" w:rsidRPr="00000000" w:rsidDel="00000000">
              <w:rPr>
                <w:rtl w:val="0"/>
              </w:rPr>
              <w:t xml:space="preserve"> – tās lauksaimniecībā izmantojamās zemes vienības kontūras kvalitatīvais novērtējums ballēs, kurā paredzēts ieaudzēt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vertAlign w:val="subscript"/>
                <w:rtl w:val="0"/>
              </w:rPr>
              <w:t xml:space="preserve">x</w:t>
            </w:r>
            <w:r w:rsidR="00000000" w:rsidRPr="00000000" w:rsidDel="00000000">
              <w:rPr>
                <w:rtl w:val="0"/>
              </w:rPr>
              <w:t xml:space="preserve"> – tās lauksaimniecībā izmantojamās zemes vienības kontūras platība hektāros, kurā paredzēts ieaudzēt mežaudzi.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frāzi "projekta atlases otrais kritērijs", ja nepieciešams, pievienojot atsauci uz noteikumu projekta attiecīgo pielikumu, kurā šis kritērijs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20. punkta (pēc precizētas numerācijas 19. punkts)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pretendents atbalstam piesaka vairākas lauksaimniecībā izmantojamās zemes vienības ar atšķirīgu zemes kontūru kvalitatīvo novērtējumu, kas ietilpst atšķirīgās kvalitātes grupās, projekta atlases otrā kritērija punktu skaita noteikšanai meža ieaudzēšanai aprēķina vidējo svērto zemes kvalitatīvo novērtējumu (V</w:t>
            </w:r>
            <w:r w:rsidR="00000000" w:rsidRPr="00000000" w:rsidDel="00000000">
              <w:rPr>
                <w:vertAlign w:val="subscript"/>
                <w:rtl w:val="0"/>
              </w:rPr>
              <w:t xml:space="preserve">vid</w:t>
            </w:r>
            <w:r w:rsidR="00000000" w:rsidRPr="00000000" w:rsidDel="00000000">
              <w:rPr>
                <w:rtl w:val="0"/>
              </w:rPr>
              <w:t xml:space="preserve">),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vid</w:t>
            </w:r>
            <w:r w:rsidR="00000000" w:rsidRPr="00000000" w:rsidDel="00000000">
              <w:rPr>
                <w:rtl w:val="0"/>
              </w:rPr>
              <w:t xml:space="preserve"> = Σ (V</w:t>
            </w:r>
            <w:r w:rsidR="00000000" w:rsidRPr="00000000" w:rsidDel="00000000">
              <w:rPr>
                <w:vertAlign w:val="subscript"/>
                <w:rtl w:val="0"/>
              </w:rPr>
              <w:t xml:space="preserve">x</w:t>
            </w:r>
            <w:r w:rsidR="00000000" w:rsidRPr="00000000" w:rsidDel="00000000">
              <w:rPr>
                <w:rtl w:val="0"/>
              </w:rPr>
              <w:t xml:space="preserve"> * L</w:t>
            </w:r>
            <w:r w:rsidR="00000000" w:rsidRPr="00000000" w:rsidDel="00000000">
              <w:rPr>
                <w:vertAlign w:val="subscript"/>
                <w:rtl w:val="0"/>
              </w:rPr>
              <w:t xml:space="preserve">x</w:t>
            </w:r>
            <w:r w:rsidR="00000000" w:rsidRPr="00000000" w:rsidDel="00000000">
              <w:rPr>
                <w:rtl w:val="0"/>
              </w:rPr>
              <w:t xml:space="preserve">) / Σ L</w:t>
            </w:r>
            <w:r w:rsidR="00000000" w:rsidRPr="00000000" w:rsidDel="00000000">
              <w:rPr>
                <w:vertAlign w:val="subscript"/>
                <w:rtl w:val="0"/>
              </w:rPr>
              <w:t xml:space="preserve">x</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x</w:t>
            </w:r>
            <w:r w:rsidR="00000000" w:rsidRPr="00000000" w:rsidDel="00000000">
              <w:rPr>
                <w:rtl w:val="0"/>
              </w:rPr>
              <w:t xml:space="preserve"> – tās lauksaimniecībā izmantojamās zemes vienības kontūras kvalitatīvais novērtējums ballēs, kurā paredzēts ieaudzēt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vertAlign w:val="subscript"/>
                <w:rtl w:val="0"/>
              </w:rPr>
              <w:t xml:space="preserve">x</w:t>
            </w:r>
            <w:r w:rsidR="00000000" w:rsidRPr="00000000" w:rsidDel="00000000">
              <w:rPr>
                <w:rtl w:val="0"/>
              </w:rPr>
              <w:t xml:space="preserve"> – tās lauksaimniecībā izmantojamās zemes vienības kontūras platība hektāros, kurā paredzēts ieaudzēt mežaudzi.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tāda plantāciju meža ieaudzēšanu, kurā koku skaits vienā hektārā ir mazāks par minimālo skaitu, lai atzītu mežaudzi par ieaudzētu, kāds paredzēts normatīvajos aktos par meža atjaunošanu, meža ieaudzēšanu un plantāciju mežu;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tiesiskās skaidrības nolūkos, piemēram: "tāda plantāciju meža ieaudzēšanu, kurā koku skaits vienā hektārā ir mazāks par n</w:t>
            </w:r>
            <w:r w:rsidR="00000000" w:rsidRPr="00000000" w:rsidDel="00000000">
              <w:rPr>
                <w:i w:val="1"/>
                <w:rtl w:val="0"/>
              </w:rPr>
              <w:t xml:space="preserve">ormatīvajos aktos par meža atjaunošanu, meža ieaudzēšanu un plantāciju mežu</w:t>
            </w:r>
            <w:r w:rsidR="00000000" w:rsidRPr="00000000" w:rsidDel="00000000">
              <w:rPr>
                <w:rtl w:val="0"/>
              </w:rPr>
              <w:t xml:space="preserve"> noteikto mežaudzes ieaudzēšanai nepieciešamo minimālo koku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precizēt šo noteikumu projekta punktu, šie nosacījumi ir atbilstoši 2012. gada 2.maija Ministru kabineta noteikumu Nr.308 "Meža atjaunošanas, meža ieaudzēšanas un plantāciju meža noteikumi"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meža dienests mēneša laikā pēc intervenču plāna iesniegšanas izvērtē tā atbilstību attiecīgās intervences īstenošanas nosacījumiem un pieņem lēmumu par intervenču plāna saskaņošanu vai noraidīšanu. Intervenču plāna derīguma termiņš ir viens gads pēc saskaņojuma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"pēc saskaņojuma saņemšanas" aizstāt ar vārdiem "pēc lēmuma par intervenču plāna saskaņošanu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47. punkta (37.punkts pēc precizētas numerācijas)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Valsts meža dienests mēneša laikā pēc intervenču plāna iesniegšanas izvērtē tā atbilstību attiecīgās intervences īstenošanas nosacījumiem un pieņem lēmumu par intervenču plāna saskaņošanu vai noraidīšanu. Intervenču plāna derīguma termiņš ir viens gads pēc lēmuma par intervenču plāna saskaņošanu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kamēr sodāmība nav dzēsta. Ziņas par personu izdarītajiem administratīvajiem pārkāpumiem atbilstoši valsts informācijas sistēmās ietvertajai informācijai Valsts meža dienests iegūst no valsts informācijas sistēmas "Sodu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punkta pirmais teikums nosaka, ka intervenču plāns tiek noraidīts, ja pretendents ir administratīvi sodīts saskaņā ar attiecīgajām Meža likuma tiesību normām, kamēr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24. panta pirmo, trešo un ceturto daļu administratīvā sodāmība ir administratīvo pārkāpumu izdarījušas personas soda piemērošanas administratīvi tiesiskās sekas, kas ir spēkā nolēmuma par sodu izpildes laikā, kā arī pēc tam līdz administratīvās sodāmības dzēšanai. Persona atzīstama par administratīvi nesodītu gadu pēc soda izpildes. Administratīvās sodāmības dzēšanas termiņu skaita no dienas, kad pilnībā ir izpildīts pamatsods un papildsods. Ja sods nav izpildīts,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 ir saprotams, ka ar terminu "administratīvi sodītā persona" tiek saprasts spēkā esošā sodāmība, līdz ar to aicinām izvērtēt vārdu "kamēr sodāmība nav dzēsta" lietošanas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bet ņemot vērā samērīguma principu, saglabāta noteikumu projekta 39.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kamēr sodāmība nav dzēsta. Ziņas par personu izdarītajiem administratīvajiem pārkāpumiem atbilstoši valsts informācijas sistēmās ietvertajai informācijai Valsts meža dienests iegūst no valsts informācijas sistēmas "Sodu reģistrs".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un nav samaksājis administratīvo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noteic, ka Valsts meža dienests intervenču plānu noraida, ja pretendents ir administratīvi sodīts saskaņā ar Meža likuma 51.panta ceturto, sesto, astoto, desmito, vienpadsmito, divpadsmito, četrpadsmito, piecpadsmito vai sešpadsmito daļu un nav samaksājis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noteikumu projektā un tā sākotnējās ietekmes (ex-ante) novērtējuma ziņojumā (turpmāk – anotācija) nav norādīts, no kāda informācijas avota tiks saņemta minētā informācija, kā arī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personu izdarītajiem administratīvajiem pārkāpumiem un noziedzīgajiem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Sodu reģistra likuma 21.panta pirmās daļas regulējumam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Iekšlietu ministrijas Informācijas centrs kā valsts informācijas sistēmas “Sodu reģistrs” pārzinis ir atbildīgs par personas datu apstrādes atbilstību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49.punktā ietverto informāciju paredzēts iegūt no valsts informācijas sistēmas “Sodu reģistrs”, tad tiesiskās noteiktības nodrošināšanai, precizēt projektu vai anotāciju, norādot  noteikumu projekta 49.punktā ietvertās informācijas iegūšanas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39.punkts precizēts, papildinot un norādot  noteikumu projekta 39. punktā (pēc precizētas numerācijas) ietvertās informācijas iegūšanas avotu un tās saņemšanas veidu. Kā arī norma papildināta ar nosacījumu “kamēr sodāmība nav dzēsta”, lai izvairītos no iespējamības, ka persona, kurai kādreiz tika piemērots sods, bet sodāmība jau ir dzēsta, turpina saskarties ar ierobežojumiem. Pretējā gadījumā tas neatbilstu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kamēr sodāmība nav dzēsta. Ziņas par personu izdarītajiem administratīvajiem pārkāpumiem atbilstoši valsts informācijas sistēmās ietvertajai informācijai Valsts meža dienests iegūst no valsts informācijas sistēmas "Sodu reģistrs".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vērtē pretendenta atbilstību regulas 2022/2472 1. panta 5. punkta un 2. panta 59.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51.1.punkts (vai cita 51.punkta apakšvienība) nav jāpapildina ar norādi par atbilstību šo noteikumu prasībām, kā arī citām regulas 2022/2472 prasībām. Vēršam uzmanību, ka noteikumu projektā pretendentam un tā plānotajai intervencei noteiktas ievērojami plašākas atbilstības prasības, nekā šobrīd norādīts noteikumu projekta 51.punktā, un nav skaidrs, vai un kurā brīdī tiek vērtēta pretendenta atbilstība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papildināt, vai dublēt nosacījumus, jo projektu vērtē, lēmumu par projektu iesniegumu apstiprināšanu vai noraidīšanu pieņem un paziņo, kā arī publisko finansējumu pieprasa saskaņā ar 2023. gada 7. marta Ministru kabineta noteikumiem Nr. 113 "Valsts un Eiropas Savienības atbalsta piešķiršanas, administrēšanas un uzraudzības vispārējā kārtība lauku un zivsaimniecības attīstībai". Atbilstoši minēto noteikumu 6.punktam, iesniedzot projekta iesniegumu, atbalsta pretendents apliecina atbalsta pretendenta deklarācijā minēto nosacījumu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vērtē pretendenta atbilstību regulas 2022/2472 1. panta 5. punkta un 2. panta 59. 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un 4. pielikumā norādīto noteikto atlases kritēriju maksimāli iespējamo punktu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projektu atlases kritēriju maksimāli iespējamās punktu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ziņojumā (anotācijā) minēto informāciju, norādot konkrētu veidu, kādā Valsts meža dienests ir paredzējis iegūt projekta 39.punktā minēto informāciju par personas sodāmības (ne)esamību no valsts informācijas sistēmas "Sodu reģistrs" atbilstoši Sodu reģistra likuma 21.panta regulējumam. Patlaban nav saprotams, vai Valsts meža dienests minēto informāciju ir paredzējis iegūt tiešsaistes datu pārraides režīmā vai arī izziņas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novērtējuma ziņojumā (anotācijā)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"paredzēta informācijas apmaiņa starp Zemkopības ministriju, Lauku atbalsta dienestu, Valsts meža dienestu un atbalsta pretendentu, lai nodrošinātu atbilstošas informācijas savlaicīgu sagatavošanu". Lūdzu izvērtēt nepieciešamību plānot arī datu apmaiņu ar Dabas aizsardzības pārvaldi tiktāl, cik tas skar īpaši aizsargājamās dabas teritorijas un ar sugu un biotopu aizsardzību saistītos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informāciju par institūciju savstarpējo sadarbību un datu apmaiņu arī ar Dabas aizsardzības pārvaldi tiktāl, cik tas skar īpaši aizsargājamās dabas teritorijas un ar sugu un biotopu aizsardzību saistītos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summas norādīt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sadaļas papildināta ar šādu informāciju: "Iekšlietu ministrijas Informācijas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23-TA-395</w:t>
    </w:r>
    <w:r>
      <w:br/>
    </w:r>
    <w:r w:rsidR="00000000" w:rsidRPr="00000000" w:rsidDel="00000000">
      <w:rPr>
        <w:rtl w:val="0"/>
      </w:rPr>
      <w:t xml:space="preserve">07.09.2023. 16.49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23-TA-395</w:t>
    </w:r>
    <w:r>
      <w:br/>
    </w:r>
    <w:r w:rsidR="00000000" w:rsidRPr="00000000" w:rsidDel="00000000">
      <w:rPr>
        <w:rtl w:val="0"/>
      </w:rPr>
      <w:t xml:space="preserve">07.09.2023. 16.49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Izziņa_23-TA-395.docx</dc:title>
</cp:coreProperties>
</file>

<file path=docProps/custom.xml><?xml version="1.0" encoding="utf-8"?>
<Properties xmlns="http://schemas.openxmlformats.org/officeDocument/2006/custom-properties" xmlns:vt="http://schemas.openxmlformats.org/officeDocument/2006/docPropsVTypes"/>
</file>