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6FA38" w14:textId="77777777" w:rsidR="00F82019" w:rsidRPr="00F82019" w:rsidRDefault="00F82019" w:rsidP="00F82019">
      <w:pPr>
        <w:shd w:val="clear" w:color="auto" w:fill="FFFFFF"/>
        <w:spacing w:after="0" w:line="240" w:lineRule="auto"/>
        <w:rPr>
          <w:rFonts w:ascii="Segoe UI" w:eastAsia="Times New Roman" w:hAnsi="Segoe UI" w:cs="Segoe UI"/>
          <w:color w:val="212121"/>
          <w:sz w:val="23"/>
          <w:szCs w:val="23"/>
          <w:lang w:eastAsia="lv-LV"/>
        </w:rPr>
      </w:pPr>
      <w:r w:rsidRPr="00F82019">
        <w:rPr>
          <w:rFonts w:ascii="Calibri" w:eastAsia="Times New Roman" w:hAnsi="Calibri" w:cs="Calibri"/>
          <w:b/>
          <w:bCs/>
          <w:color w:val="212121"/>
          <w:lang w:eastAsia="lv-LV"/>
        </w:rPr>
        <w:t>From:</w:t>
      </w:r>
      <w:r w:rsidRPr="00F82019">
        <w:rPr>
          <w:rFonts w:ascii="Calibri" w:eastAsia="Times New Roman" w:hAnsi="Calibri" w:cs="Calibri"/>
          <w:color w:val="212121"/>
          <w:lang w:eastAsia="lv-LV"/>
        </w:rPr>
        <w:t> Ilze Māliņa &lt;Ilze.Malina@TM.GOV.LV&gt;</w:t>
      </w:r>
      <w:r w:rsidRPr="00F82019">
        <w:rPr>
          <w:rFonts w:ascii="Calibri" w:eastAsia="Times New Roman" w:hAnsi="Calibri" w:cs="Calibri"/>
          <w:color w:val="212121"/>
          <w:lang w:eastAsia="lv-LV"/>
        </w:rPr>
        <w:br/>
      </w:r>
      <w:r w:rsidRPr="00F82019">
        <w:rPr>
          <w:rFonts w:ascii="Calibri" w:eastAsia="Times New Roman" w:hAnsi="Calibri" w:cs="Calibri"/>
          <w:b/>
          <w:bCs/>
          <w:color w:val="212121"/>
          <w:lang w:eastAsia="lv-LV"/>
        </w:rPr>
        <w:t>Sent:</w:t>
      </w:r>
      <w:r w:rsidRPr="00F82019">
        <w:rPr>
          <w:rFonts w:ascii="Calibri" w:eastAsia="Times New Roman" w:hAnsi="Calibri" w:cs="Calibri"/>
          <w:color w:val="212121"/>
          <w:lang w:eastAsia="lv-LV"/>
        </w:rPr>
        <w:t> Thursday, June 10, 2021 4:14 PM</w:t>
      </w:r>
      <w:r w:rsidRPr="00F82019">
        <w:rPr>
          <w:rFonts w:ascii="Calibri" w:eastAsia="Times New Roman" w:hAnsi="Calibri" w:cs="Calibri"/>
          <w:color w:val="212121"/>
          <w:lang w:eastAsia="lv-LV"/>
        </w:rPr>
        <w:br/>
      </w:r>
      <w:r w:rsidRPr="00F82019">
        <w:rPr>
          <w:rFonts w:ascii="Calibri" w:eastAsia="Times New Roman" w:hAnsi="Calibri" w:cs="Calibri"/>
          <w:b/>
          <w:bCs/>
          <w:color w:val="212121"/>
          <w:lang w:eastAsia="lv-LV"/>
        </w:rPr>
        <w:t>To:</w:t>
      </w:r>
      <w:r w:rsidRPr="00F82019">
        <w:rPr>
          <w:rFonts w:ascii="Calibri" w:eastAsia="Times New Roman" w:hAnsi="Calibri" w:cs="Calibri"/>
          <w:color w:val="212121"/>
          <w:lang w:eastAsia="lv-LV"/>
        </w:rPr>
        <w:t> ZM &lt;pasts@zm.gov.lv&gt;</w:t>
      </w:r>
      <w:r w:rsidRPr="00F82019">
        <w:rPr>
          <w:rFonts w:ascii="Calibri" w:eastAsia="Times New Roman" w:hAnsi="Calibri" w:cs="Calibri"/>
          <w:color w:val="212121"/>
          <w:lang w:eastAsia="lv-LV"/>
        </w:rPr>
        <w:br/>
      </w:r>
      <w:r w:rsidRPr="00F82019">
        <w:rPr>
          <w:rFonts w:ascii="Calibri" w:eastAsia="Times New Roman" w:hAnsi="Calibri" w:cs="Calibri"/>
          <w:b/>
          <w:bCs/>
          <w:color w:val="212121"/>
          <w:lang w:eastAsia="lv-LV"/>
        </w:rPr>
        <w:t>Cc:</w:t>
      </w:r>
      <w:r w:rsidRPr="00F82019">
        <w:rPr>
          <w:rFonts w:ascii="Calibri" w:eastAsia="Times New Roman" w:hAnsi="Calibri" w:cs="Calibri"/>
          <w:color w:val="212121"/>
          <w:lang w:eastAsia="lv-LV"/>
        </w:rPr>
        <w:t> TM KANCELEJA &lt;pasts@tm.gov.lv&gt;; Juta Ķupe &lt;Juta.Kupe@tm.gov.lv&gt;</w:t>
      </w:r>
      <w:r w:rsidRPr="00F82019">
        <w:rPr>
          <w:rFonts w:ascii="Calibri" w:eastAsia="Times New Roman" w:hAnsi="Calibri" w:cs="Calibri"/>
          <w:color w:val="212121"/>
          <w:lang w:eastAsia="lv-LV"/>
        </w:rPr>
        <w:br/>
      </w:r>
      <w:r w:rsidRPr="00F82019">
        <w:rPr>
          <w:rFonts w:ascii="Calibri" w:eastAsia="Times New Roman" w:hAnsi="Calibri" w:cs="Calibri"/>
          <w:b/>
          <w:bCs/>
          <w:color w:val="212121"/>
          <w:lang w:eastAsia="lv-LV"/>
        </w:rPr>
        <w:t>Subject:</w:t>
      </w:r>
      <w:r w:rsidRPr="00F82019">
        <w:rPr>
          <w:rFonts w:ascii="Calibri" w:eastAsia="Times New Roman" w:hAnsi="Calibri" w:cs="Calibri"/>
          <w:color w:val="212121"/>
          <w:lang w:eastAsia="lv-LV"/>
        </w:rPr>
        <w:t> Atb.: par VSS-238 un VSS-239 elektronisko saskaņošanu</w:t>
      </w:r>
    </w:p>
    <w:p w14:paraId="3429FFB3" w14:textId="77777777" w:rsidR="00F82019" w:rsidRPr="00F82019" w:rsidRDefault="00F82019" w:rsidP="00F82019">
      <w:pPr>
        <w:shd w:val="clear" w:color="auto" w:fill="FFFFFF"/>
        <w:spacing w:after="0" w:line="240" w:lineRule="auto"/>
        <w:rPr>
          <w:rFonts w:ascii="Segoe UI" w:eastAsia="Times New Roman" w:hAnsi="Segoe UI" w:cs="Segoe UI"/>
          <w:color w:val="212121"/>
          <w:sz w:val="23"/>
          <w:szCs w:val="23"/>
          <w:lang w:eastAsia="lv-LV"/>
        </w:rPr>
      </w:pPr>
      <w:r w:rsidRPr="00F82019">
        <w:rPr>
          <w:rFonts w:ascii="Calibri" w:eastAsia="Times New Roman" w:hAnsi="Calibri" w:cs="Calibri"/>
          <w:color w:val="212121"/>
          <w:lang w:eastAsia="lv-LV"/>
        </w:rPr>
        <w:t> </w:t>
      </w:r>
    </w:p>
    <w:p w14:paraId="4A434933" w14:textId="77777777" w:rsidR="00F82019" w:rsidRPr="00F82019" w:rsidRDefault="00F82019" w:rsidP="00F82019">
      <w:pPr>
        <w:shd w:val="clear" w:color="auto" w:fill="FFFFFF"/>
        <w:spacing w:after="0" w:line="240" w:lineRule="auto"/>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lang w:eastAsia="lv-LV"/>
        </w:rPr>
        <w:t> </w:t>
      </w:r>
    </w:p>
    <w:p w14:paraId="125BF4D5" w14:textId="77777777" w:rsidR="00F82019" w:rsidRPr="00F82019" w:rsidRDefault="00F82019" w:rsidP="00F82019">
      <w:pPr>
        <w:shd w:val="clear" w:color="auto" w:fill="FFFFFF"/>
        <w:spacing w:after="0" w:line="240" w:lineRule="auto"/>
        <w:ind w:firstLine="720"/>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lang w:eastAsia="lv-LV"/>
        </w:rPr>
        <w:t>Tieslietu ministrija saskaņā ar Zemkopības ministrijas 2021. gada 3. jūnija elektronisko sūtījumu ir izskatījusi precizēto Ministru kabineta noteikumu projektu "Grozījumi Ministru kabineta 2014. gada 23. septembra noteikumos Nr. 567 "Noteikumi par mednieku un medību vadītāju apmācību un eksamināciju, kā arī medību dokumentu izsniegšanu un anulēšanu"" (turpmāk – projekts) un atbalsta projekta virzību, izsakot šādus iebildumus: </w:t>
      </w:r>
    </w:p>
    <w:p w14:paraId="6CCC57E8" w14:textId="77777777" w:rsidR="00F82019" w:rsidRPr="00F82019" w:rsidRDefault="00F82019" w:rsidP="00F82019">
      <w:pPr>
        <w:shd w:val="clear" w:color="auto" w:fill="FFFFFF"/>
        <w:spacing w:after="0" w:line="240" w:lineRule="auto"/>
        <w:ind w:firstLine="720"/>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lang w:eastAsia="lv-LV"/>
        </w:rPr>
        <w:t>1. Projekta 2. punktā paredzētais Ministru kabineta 2014. gada 23. septembra noteikumu Nr. 567 "Noteikumi par mednieku un medību vadītāju apmācību un eksamināciju, kā arī medību dokumentu izsniegšanu un anulēšanu" (turpmāk – noteikumi) 2.</w:t>
      </w:r>
      <w:r w:rsidRPr="00F82019">
        <w:rPr>
          <w:rFonts w:ascii="Calibri" w:eastAsia="Times New Roman" w:hAnsi="Calibri" w:cs="Calibri"/>
          <w:color w:val="000000"/>
          <w:sz w:val="20"/>
          <w:szCs w:val="20"/>
          <w:vertAlign w:val="superscript"/>
          <w:lang w:eastAsia="lv-LV"/>
        </w:rPr>
        <w:t>1</w:t>
      </w:r>
      <w:r w:rsidRPr="00F82019">
        <w:rPr>
          <w:rFonts w:ascii="Calibri" w:eastAsia="Times New Roman" w:hAnsi="Calibri" w:cs="Calibri"/>
          <w:color w:val="000000"/>
          <w:sz w:val="24"/>
          <w:szCs w:val="24"/>
          <w:lang w:eastAsia="lv-LV"/>
        </w:rPr>
        <w:t> punkts noteic, ka mednieku un medību vadītāju apmācības, eksaminācijas, kā arī medību dokumentu izsniegšanas un anulēšanas pakalpojumus var saņemt elektroniski autentificējoties Meža valsts reģistrā (izmantojot kādu no valsts pārvaldes pakalpojumu portāla </w:t>
      </w:r>
      <w:hyperlink r:id="rId4" w:tgtFrame="_blank" w:history="1">
        <w:r w:rsidRPr="00F82019">
          <w:rPr>
            <w:rFonts w:ascii="Calibri" w:eastAsia="Times New Roman" w:hAnsi="Calibri" w:cs="Calibri"/>
            <w:color w:val="0000FF"/>
            <w:sz w:val="24"/>
            <w:szCs w:val="24"/>
            <w:u w:val="single"/>
            <w:lang w:eastAsia="lv-LV"/>
          </w:rPr>
          <w:t>https://www.latvija.lv</w:t>
        </w:r>
      </w:hyperlink>
      <w:r w:rsidRPr="00F82019">
        <w:rPr>
          <w:rFonts w:ascii="Calibri" w:eastAsia="Times New Roman" w:hAnsi="Calibri" w:cs="Calibri"/>
          <w:color w:val="000000"/>
          <w:sz w:val="24"/>
          <w:szCs w:val="24"/>
          <w:lang w:eastAsia="lv-LV"/>
        </w:rPr>
        <w:t> sniegtajiem autentificēšanās pakalpojumiem) un aizpildot elektronisko iesnieguma formu vai vēršoties ar iesniegumu Valsts meža dienestā. Iesniegumā, papildus iesniegumu apriti reglamentējošajos normatīvajos aktos noteiktajai informācijai, norāda personas kodu vai nacionālās identifikācijas numuru un elektroniskā pasta adresi. </w:t>
      </w:r>
    </w:p>
    <w:p w14:paraId="765558E3" w14:textId="77777777" w:rsidR="00F82019" w:rsidRPr="00F82019" w:rsidRDefault="00F82019" w:rsidP="00F82019">
      <w:pPr>
        <w:shd w:val="clear" w:color="auto" w:fill="FFFFFF"/>
        <w:spacing w:after="0" w:line="240" w:lineRule="auto"/>
        <w:ind w:firstLine="720"/>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lang w:eastAsia="lv-LV"/>
        </w:rPr>
        <w:t>Attiecīgs regulējums ir paredzēts arī projekta 5., 7., 8., 13., 14. un 15. punktā. </w:t>
      </w:r>
    </w:p>
    <w:p w14:paraId="433FF52D" w14:textId="77777777" w:rsidR="00F82019" w:rsidRPr="00F82019" w:rsidRDefault="00F82019" w:rsidP="00F82019">
      <w:pPr>
        <w:shd w:val="clear" w:color="auto" w:fill="FFFFFF"/>
        <w:spacing w:after="0" w:line="240" w:lineRule="auto"/>
        <w:ind w:firstLine="720"/>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lang w:eastAsia="lv-LV"/>
        </w:rPr>
        <w:t>Projekta sākotnējās (</w:t>
      </w:r>
      <w:r w:rsidRPr="00F82019">
        <w:rPr>
          <w:rFonts w:ascii="Calibri" w:eastAsia="Times New Roman" w:hAnsi="Calibri" w:cs="Calibri"/>
          <w:i/>
          <w:iCs/>
          <w:color w:val="000000"/>
          <w:sz w:val="24"/>
          <w:szCs w:val="24"/>
          <w:lang w:eastAsia="lv-LV"/>
        </w:rPr>
        <w:t>ex–ante</w:t>
      </w:r>
      <w:r w:rsidRPr="00F82019">
        <w:rPr>
          <w:rFonts w:ascii="Calibri" w:eastAsia="Times New Roman" w:hAnsi="Calibri" w:cs="Calibri"/>
          <w:color w:val="000000"/>
          <w:sz w:val="24"/>
          <w:szCs w:val="24"/>
          <w:lang w:eastAsia="lv-LV"/>
        </w:rPr>
        <w:t>) ietekmes novērtējuma ziņojumā (turpmāk – anotācija) ir skaidrots, ka projekts ir paredzēts, lai nodrošinātu iespējas privātpersonām elektroniski pieteikties medību eksāmenam, kā arī samaksāt valsts nodevu ar internetbankas starpniecību; elektroniski nokārtot mednieka vai medību vadītāja eksāmenu u.tml. </w:t>
      </w:r>
    </w:p>
    <w:p w14:paraId="07AD8ACE" w14:textId="77777777" w:rsidR="00F82019" w:rsidRPr="00F82019" w:rsidRDefault="00F82019" w:rsidP="00F82019">
      <w:pPr>
        <w:shd w:val="clear" w:color="auto" w:fill="FFFFFF"/>
        <w:spacing w:after="0" w:line="240" w:lineRule="auto"/>
        <w:ind w:firstLine="720"/>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lang w:eastAsia="lv-LV"/>
        </w:rPr>
        <w:t>Atkārtoti norādām, ka Administratīvā procesa likuma 56. panta pirmā daļa paredz iespēju vērsties iestādē dažādos veidos, gan ar iesniegumu mutvārdos, gan rakstveidā. Šis regulējums attiecas gan uz iesniegumu par administratīvā akta izdošanu, gan uz iesniegumu par faktiskās rīcības veikšanu. Medību likums neparedz iespēju vērsties Valsts meža dienestā tikai ar elektronisku iesniegumu Meža valsts reģistrā, tāpēc projektā ietvertais regulējums neatbilst augstāka juridiskā spēka normatīvajiem aktiem (likumiem). </w:t>
      </w:r>
    </w:p>
    <w:p w14:paraId="27B2B0F1" w14:textId="77777777" w:rsidR="00F82019" w:rsidRPr="00F82019" w:rsidRDefault="00F82019" w:rsidP="00F82019">
      <w:pPr>
        <w:shd w:val="clear" w:color="auto" w:fill="FFFFFF"/>
        <w:spacing w:after="0" w:line="240" w:lineRule="auto"/>
        <w:ind w:firstLine="720"/>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lang w:eastAsia="lv-LV"/>
        </w:rPr>
        <w:t>Papildus vēršam uzmanību uz to, ka, piemēram, projekta 15. punktā paredzētajā noteikumu 34. punktā ir ietverts regulējums par attiecīgās apliecības apmaiņu un atjaunošanu, bet projekta 4. punktā paredzētajā noteikumu 2.</w:t>
      </w:r>
      <w:r w:rsidRPr="00F82019">
        <w:rPr>
          <w:rFonts w:ascii="Calibri" w:eastAsia="Times New Roman" w:hAnsi="Calibri" w:cs="Calibri"/>
          <w:color w:val="000000"/>
          <w:sz w:val="20"/>
          <w:szCs w:val="20"/>
          <w:vertAlign w:val="superscript"/>
          <w:lang w:eastAsia="lv-LV"/>
        </w:rPr>
        <w:t>1</w:t>
      </w:r>
      <w:r w:rsidRPr="00F82019">
        <w:rPr>
          <w:rFonts w:ascii="Calibri" w:eastAsia="Times New Roman" w:hAnsi="Calibri" w:cs="Calibri"/>
          <w:color w:val="000000"/>
          <w:sz w:val="24"/>
          <w:szCs w:val="24"/>
          <w:lang w:eastAsia="lv-LV"/>
        </w:rPr>
        <w:t> punktā nav attiecīga regulējuma. </w:t>
      </w:r>
    </w:p>
    <w:p w14:paraId="0D3AD88F" w14:textId="77777777" w:rsidR="00F82019" w:rsidRPr="00F82019" w:rsidRDefault="00F82019" w:rsidP="00F82019">
      <w:pPr>
        <w:shd w:val="clear" w:color="auto" w:fill="FFFFFF"/>
        <w:spacing w:after="0" w:line="240" w:lineRule="auto"/>
        <w:ind w:firstLine="720"/>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lang w:eastAsia="lv-LV"/>
        </w:rPr>
        <w:t>Turklāt norādām, ka nav skaidrs, kas ir projekta 4. punktā paredzētajā noteikumu 2.</w:t>
      </w:r>
      <w:r w:rsidRPr="00F82019">
        <w:rPr>
          <w:rFonts w:ascii="Calibri" w:eastAsia="Times New Roman" w:hAnsi="Calibri" w:cs="Calibri"/>
          <w:color w:val="000000"/>
          <w:sz w:val="20"/>
          <w:szCs w:val="20"/>
          <w:vertAlign w:val="superscript"/>
          <w:lang w:eastAsia="lv-LV"/>
        </w:rPr>
        <w:t>1</w:t>
      </w:r>
      <w:r w:rsidRPr="00F82019">
        <w:rPr>
          <w:rFonts w:ascii="Calibri" w:eastAsia="Times New Roman" w:hAnsi="Calibri" w:cs="Calibri"/>
          <w:color w:val="000000"/>
          <w:sz w:val="24"/>
          <w:szCs w:val="24"/>
          <w:lang w:eastAsia="lv-LV"/>
        </w:rPr>
        <w:t> punktā minētie iesniegumu apriti reglamentējošie normatīvie akti. Līdz ar to nav skaidrs, kas jānorāda attiecīgajā iesniegumā. </w:t>
      </w:r>
    </w:p>
    <w:p w14:paraId="2592929C" w14:textId="77777777" w:rsidR="00F82019" w:rsidRPr="00F82019" w:rsidRDefault="00F82019" w:rsidP="00F82019">
      <w:pPr>
        <w:shd w:val="clear" w:color="auto" w:fill="FFFFFF"/>
        <w:spacing w:after="0" w:line="240" w:lineRule="auto"/>
        <w:ind w:firstLine="720"/>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lang w:eastAsia="lv-LV"/>
        </w:rPr>
        <w:t>Ievērojot minēto, lūdzam izvērtēt projekta 4., 5., 7., 8., 13., 14. un 15. punktā ietverto regulējumu un attiecīgi precizēt projektu. </w:t>
      </w:r>
    </w:p>
    <w:p w14:paraId="030F280B" w14:textId="77777777" w:rsidR="00F82019" w:rsidRPr="00F82019" w:rsidRDefault="00F82019" w:rsidP="00F82019">
      <w:pPr>
        <w:shd w:val="clear" w:color="auto" w:fill="FFFFFF"/>
        <w:spacing w:after="0" w:line="240" w:lineRule="auto"/>
        <w:ind w:firstLine="720"/>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lang w:eastAsia="lv-LV"/>
        </w:rPr>
        <w:t xml:space="preserve">2. Administratīvā procesa likuma 70. panta pirmā daļa noteic, ka, ja ārējā normatīvajā aktā vai pašā administratīvajā aktā nav noteikts citādi, administratīvais </w:t>
      </w:r>
      <w:r w:rsidRPr="00F82019">
        <w:rPr>
          <w:rFonts w:ascii="Calibri" w:eastAsia="Times New Roman" w:hAnsi="Calibri" w:cs="Calibri"/>
          <w:color w:val="000000"/>
          <w:sz w:val="24"/>
          <w:szCs w:val="24"/>
          <w:lang w:eastAsia="lv-LV"/>
        </w:rPr>
        <w:lastRenderedPageBreak/>
        <w:t>akts stājas spēkā ar brīdi, kad </w:t>
      </w:r>
      <w:r w:rsidRPr="00F82019">
        <w:rPr>
          <w:rFonts w:ascii="Calibri" w:eastAsia="Times New Roman" w:hAnsi="Calibri" w:cs="Calibri"/>
          <w:color w:val="000000"/>
          <w:sz w:val="24"/>
          <w:szCs w:val="24"/>
          <w:u w:val="single"/>
          <w:lang w:eastAsia="lv-LV"/>
        </w:rPr>
        <w:t>tas paziņots adresātam</w:t>
      </w:r>
      <w:r w:rsidRPr="00F82019">
        <w:rPr>
          <w:rFonts w:ascii="Calibri" w:eastAsia="Times New Roman" w:hAnsi="Calibri" w:cs="Calibri"/>
          <w:color w:val="000000"/>
          <w:sz w:val="24"/>
          <w:szCs w:val="24"/>
          <w:lang w:eastAsia="lv-LV"/>
        </w:rPr>
        <w:t>. Vienlaikus Administratīvā procesa likuma 70. panta otrā daļa noteic, ka administratīvo aktu paziņo adresātam atbilstoši Paziņošanas likumam. </w:t>
      </w:r>
    </w:p>
    <w:p w14:paraId="777FD867" w14:textId="77777777" w:rsidR="00F82019" w:rsidRPr="00F82019" w:rsidRDefault="00F82019" w:rsidP="00F82019">
      <w:pPr>
        <w:shd w:val="clear" w:color="auto" w:fill="FFFFFF"/>
        <w:spacing w:after="0" w:line="240" w:lineRule="auto"/>
        <w:ind w:firstLine="720"/>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lang w:eastAsia="lv-LV"/>
        </w:rPr>
        <w:t>Papildus vēršam uzmanību uz to, ka Medību likums neparedz, ka lēmumus var paziņot Meža valsts reģistrā. </w:t>
      </w:r>
    </w:p>
    <w:p w14:paraId="7E9DE047" w14:textId="77777777" w:rsidR="00F82019" w:rsidRPr="00F82019" w:rsidRDefault="00F82019" w:rsidP="00F82019">
      <w:pPr>
        <w:shd w:val="clear" w:color="auto" w:fill="FFFFFF"/>
        <w:spacing w:after="0" w:line="240" w:lineRule="auto"/>
        <w:ind w:firstLine="720"/>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lang w:eastAsia="lv-LV"/>
        </w:rPr>
        <w:t>Ievērojot minēto, kā arī to, ka atbilstoši Ministru kabineta 2009. gada 3. februāra noteikumu Nr. 108 "Normatīvo aktu projektu sagatavošanas noteikumu" 3.2. apakšpunktā noteiktajam normatīvā akta projektā neietver normas, kas </w:t>
      </w:r>
      <w:r w:rsidRPr="00F82019">
        <w:rPr>
          <w:rFonts w:ascii="Calibri" w:eastAsia="Times New Roman" w:hAnsi="Calibri" w:cs="Calibri"/>
          <w:color w:val="000000"/>
          <w:sz w:val="24"/>
          <w:szCs w:val="24"/>
          <w:shd w:val="clear" w:color="auto" w:fill="FFFFFF"/>
          <w:lang w:eastAsia="lv-LV"/>
        </w:rPr>
        <w:t>dublē augstāka spēka normatīvā akta tiesību normās ietverto normatīvo regulējumu, lūdzam svītrot projekta 4. punktā paredzēto noteikumu 2.</w:t>
      </w:r>
      <w:r w:rsidRPr="00F82019">
        <w:rPr>
          <w:rFonts w:ascii="Calibri" w:eastAsia="Times New Roman" w:hAnsi="Calibri" w:cs="Calibri"/>
          <w:color w:val="000000"/>
          <w:sz w:val="20"/>
          <w:szCs w:val="20"/>
          <w:shd w:val="clear" w:color="auto" w:fill="FFFFFF"/>
          <w:vertAlign w:val="superscript"/>
          <w:lang w:eastAsia="lv-LV"/>
        </w:rPr>
        <w:t>2</w:t>
      </w:r>
      <w:r w:rsidRPr="00F82019">
        <w:rPr>
          <w:rFonts w:ascii="Calibri" w:eastAsia="Times New Roman" w:hAnsi="Calibri" w:cs="Calibri"/>
          <w:color w:val="000000"/>
          <w:sz w:val="24"/>
          <w:szCs w:val="24"/>
          <w:shd w:val="clear" w:color="auto" w:fill="FFFFFF"/>
          <w:lang w:eastAsia="lv-LV"/>
        </w:rPr>
        <w:t> punktu.</w:t>
      </w:r>
      <w:r w:rsidRPr="00F82019">
        <w:rPr>
          <w:rFonts w:ascii="Calibri" w:eastAsia="Times New Roman" w:hAnsi="Calibri" w:cs="Calibri"/>
          <w:color w:val="000000"/>
          <w:sz w:val="24"/>
          <w:szCs w:val="24"/>
          <w:lang w:eastAsia="lv-LV"/>
        </w:rPr>
        <w:t> </w:t>
      </w:r>
    </w:p>
    <w:p w14:paraId="09B1F41D" w14:textId="77777777" w:rsidR="00F82019" w:rsidRPr="00F82019" w:rsidRDefault="00F82019" w:rsidP="00F82019">
      <w:pPr>
        <w:shd w:val="clear" w:color="auto" w:fill="FFFFFF"/>
        <w:spacing w:after="0" w:line="240" w:lineRule="auto"/>
        <w:ind w:firstLine="720"/>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lang w:eastAsia="lv-LV"/>
        </w:rPr>
        <w:t>3. Projekta 13. punktā paredzētais noteikumu 28.</w:t>
      </w:r>
      <w:r w:rsidRPr="00F82019">
        <w:rPr>
          <w:rFonts w:ascii="Calibri" w:eastAsia="Times New Roman" w:hAnsi="Calibri" w:cs="Calibri"/>
          <w:color w:val="000000"/>
          <w:sz w:val="20"/>
          <w:szCs w:val="20"/>
          <w:vertAlign w:val="superscript"/>
          <w:lang w:eastAsia="lv-LV"/>
        </w:rPr>
        <w:t>2</w:t>
      </w:r>
      <w:r w:rsidRPr="00F82019">
        <w:rPr>
          <w:rFonts w:ascii="Calibri" w:eastAsia="Times New Roman" w:hAnsi="Calibri" w:cs="Calibri"/>
          <w:color w:val="000000"/>
          <w:sz w:val="24"/>
          <w:szCs w:val="24"/>
          <w:lang w:eastAsia="lv-LV"/>
        </w:rPr>
        <w:t> punkts un projekta 14. punktā paredzētais noteikumu 30. punkts noteic, ka mednieka sezonas karte un atļauja ārzemniekam medīt Latvijas teritorijā ir Meža valsts reģistrā izdarīts ieraksts. Vēršam uzmanību, ka lēmums par ieraksta izdarīšanu reģistrā ir administratīvais akts ar ilgstošu iedarbību, savukārt pats ieraksts ir tikai lēmuma atspoguļojums ieraksta formā </w:t>
      </w:r>
      <w:r w:rsidRPr="00F82019">
        <w:rPr>
          <w:rFonts w:ascii="Calibri" w:eastAsia="Times New Roman" w:hAnsi="Calibri" w:cs="Calibri"/>
          <w:i/>
          <w:iCs/>
          <w:color w:val="000000"/>
          <w:sz w:val="24"/>
          <w:szCs w:val="24"/>
          <w:lang w:eastAsia="lv-LV"/>
        </w:rPr>
        <w:t>(sk. Augstākās tiesas Senāta Administratīvo lietu departamenta 2011. gada 13. maija sprieduma lietā Nr. SKA-210/2011 10. punktu). </w:t>
      </w:r>
    </w:p>
    <w:p w14:paraId="0AEEBACE" w14:textId="77777777" w:rsidR="00F82019" w:rsidRPr="00F82019" w:rsidRDefault="00F82019" w:rsidP="00F82019">
      <w:pPr>
        <w:shd w:val="clear" w:color="auto" w:fill="FFFFFF"/>
        <w:spacing w:after="0" w:line="240" w:lineRule="auto"/>
        <w:ind w:firstLine="720"/>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lang w:eastAsia="lv-LV"/>
        </w:rPr>
        <w:t>Anotācijā norādīts, ka ar projektu paredzēts, ka varēs iegādāties mednieka sezonas karti, nesaņemot to kā dokumentu, bet fiksējot Meža valsts reģistrā informāciju par valsts nodevas maksājuma veikšanu. Paredzēts, ka izdrukāt varēs tikai informāciju par izsniegtu sezonas karti. Projekts paredz, ka varēs iegādāties atļauju ārvalstu medniekam medīt Latvijā. Atļauja vairs nebūs dokuments papīra formā. Paredzēts, ka izdrukāt varēs tikai informāciju par izsniegtu atļauju ārvalstu medniekam medīt Latvijā. </w:t>
      </w:r>
    </w:p>
    <w:p w14:paraId="03812225" w14:textId="77777777" w:rsidR="00F82019" w:rsidRPr="00F82019" w:rsidRDefault="00F82019" w:rsidP="00F82019">
      <w:pPr>
        <w:shd w:val="clear" w:color="auto" w:fill="FFFFFF"/>
        <w:spacing w:after="0" w:line="240" w:lineRule="auto"/>
        <w:ind w:firstLine="720"/>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lang w:eastAsia="lv-LV"/>
        </w:rPr>
        <w:t>No minētā skaidrojuma nav saprotams, kā administratīvais akts (piemēram, mednieka sezonas karte) tiks paziņots adresātam. Vēršam uzmanību uz to, ka Medību likums nenoteic obligātu autentificēšanos Meža valsts reģistrā. Tāpat norādām, ka saskaņā ar Administratīvā procesa likuma 70. panta pirmo daļu, ja ārējā normatīvajā aktā vai pašā administratīvajā aktā nav noteikts citādi, administratīvais akts stājas spēkā ar brīdi, kad tas paziņots adresātam. Vienlaikus Administratīvā procesa likuma 70. panta otrā daļa noteic, ka administratīvo aktu paziņo adresātam atbilstoši Paziņošanas likumam. </w:t>
      </w:r>
    </w:p>
    <w:p w14:paraId="0C07867D" w14:textId="77777777" w:rsidR="00F82019" w:rsidRPr="00F82019" w:rsidRDefault="00F82019" w:rsidP="00F82019">
      <w:pPr>
        <w:shd w:val="clear" w:color="auto" w:fill="FFFFFF"/>
        <w:spacing w:after="0" w:line="240" w:lineRule="auto"/>
        <w:ind w:firstLine="720"/>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lang w:eastAsia="lv-LV"/>
        </w:rPr>
        <w:t>Ievērojot minēto, lūdzam precizēt projektu, kā arī papildināt anotāciju ar skaidrojumu, kā adresātam tiks paziņots administratīvais akts, lai būtu skaidrs administratīvā akta spēkā stāšanās brīdis, kā arī apstrīdēšanas termiņš. </w:t>
      </w:r>
    </w:p>
    <w:p w14:paraId="17BF20DC" w14:textId="77777777" w:rsidR="00F82019" w:rsidRPr="00F82019" w:rsidRDefault="00F82019" w:rsidP="00F82019">
      <w:pPr>
        <w:shd w:val="clear" w:color="auto" w:fill="FFFFFF"/>
        <w:spacing w:after="0" w:line="240" w:lineRule="auto"/>
        <w:ind w:firstLine="720"/>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lang w:eastAsia="lv-LV"/>
        </w:rPr>
        <w:t>4. Ministru kabineta 2009. gada 3. februāra noteikumu Nr. 108 "Normatīvo aktu projektu sagatavošanas noteikumu" 3.1. apakšpunkts noteic, ka normatīvā akta projektā neietver normas, kas ir deklaratīvas. Ievērojot minēto, lūdzam svītrot projekta 17. punktā paredzēto noteikumu 37. punktu. </w:t>
      </w:r>
    </w:p>
    <w:p w14:paraId="1A5C5B49" w14:textId="77777777" w:rsidR="00F82019" w:rsidRPr="00F82019" w:rsidRDefault="00F82019" w:rsidP="00F82019">
      <w:pPr>
        <w:shd w:val="clear" w:color="auto" w:fill="FFFFFF"/>
        <w:spacing w:after="0" w:line="240" w:lineRule="auto"/>
        <w:ind w:firstLine="720"/>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lang w:eastAsia="lv-LV"/>
        </w:rPr>
        <w:t>Vienlaikus izsakām šādu priekšlikumu: </w:t>
      </w:r>
    </w:p>
    <w:p w14:paraId="6426BE4F" w14:textId="77777777" w:rsidR="00F82019" w:rsidRPr="00F82019" w:rsidRDefault="00F82019" w:rsidP="00F82019">
      <w:pPr>
        <w:shd w:val="clear" w:color="auto" w:fill="FFFFFF"/>
        <w:spacing w:after="0" w:line="240" w:lineRule="auto"/>
        <w:ind w:firstLine="720"/>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lang w:eastAsia="lv-LV"/>
        </w:rPr>
        <w:t>1. Ievērojot, ka nav skaidrs, kuru noteikumu nodaļu nepieciešams papildināt ar noteikumu 4. punktā paredzētajiem grozījumiem, lūdzam precizēt projekta 4. punkta ievaddaļu. </w:t>
      </w:r>
    </w:p>
    <w:p w14:paraId="3D5FBEC8" w14:textId="77777777" w:rsidR="00F82019" w:rsidRPr="00F82019" w:rsidRDefault="00F82019" w:rsidP="00F82019">
      <w:pPr>
        <w:shd w:val="clear" w:color="auto" w:fill="FFFFFF"/>
        <w:spacing w:after="0" w:line="240" w:lineRule="auto"/>
        <w:ind w:firstLine="720"/>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lang w:eastAsia="lv-LV"/>
        </w:rPr>
        <w:t xml:space="preserve">2. Ievērojot, ka projekta 7. punktā paredzētais noteikumu 14.3. apakšpunkts noteic, ka iesniegumam pievieno informāciju par valsts nodevas samaksu, lūdzam svītrot noteikumu 14. punkta ievaddaļā minētos vārdus "pēc valsts nodevas </w:t>
      </w:r>
      <w:r w:rsidRPr="00F82019">
        <w:rPr>
          <w:rFonts w:ascii="Calibri" w:eastAsia="Times New Roman" w:hAnsi="Calibri" w:cs="Calibri"/>
          <w:color w:val="000000"/>
          <w:sz w:val="24"/>
          <w:szCs w:val="24"/>
          <w:lang w:eastAsia="lv-LV"/>
        </w:rPr>
        <w:lastRenderedPageBreak/>
        <w:t>samaksas". Atbilstoši minētajam lūdzam precizēt arī projekta 14. punktā paredzēto noteikumu 29. punktu un projekta 15. punktā paredzēto noteikumu 34. punktu. </w:t>
      </w:r>
    </w:p>
    <w:p w14:paraId="1D26CF95" w14:textId="77777777" w:rsidR="00F82019" w:rsidRPr="00F82019" w:rsidRDefault="00F82019" w:rsidP="00F82019">
      <w:pPr>
        <w:shd w:val="clear" w:color="auto" w:fill="FFFFFF"/>
        <w:spacing w:after="0" w:line="240" w:lineRule="auto"/>
        <w:ind w:firstLine="720"/>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lang w:eastAsia="lv-LV"/>
        </w:rPr>
        <w:t>3. Lūdzam precizēt projekta 13. punktā paredzēto noteikumu 28.</w:t>
      </w:r>
      <w:r w:rsidRPr="00F82019">
        <w:rPr>
          <w:rFonts w:ascii="Calibri" w:eastAsia="Times New Roman" w:hAnsi="Calibri" w:cs="Calibri"/>
          <w:color w:val="000000"/>
          <w:sz w:val="20"/>
          <w:szCs w:val="20"/>
          <w:vertAlign w:val="superscript"/>
          <w:lang w:eastAsia="lv-LV"/>
        </w:rPr>
        <w:t>1</w:t>
      </w:r>
      <w:r w:rsidRPr="00F82019">
        <w:rPr>
          <w:rFonts w:ascii="Calibri" w:eastAsia="Times New Roman" w:hAnsi="Calibri" w:cs="Calibri"/>
          <w:color w:val="000000"/>
          <w:sz w:val="24"/>
          <w:szCs w:val="24"/>
          <w:lang w:eastAsia="lv-LV"/>
        </w:rPr>
        <w:t> punktu un projekta 14. punktā paredzēto noteikumu 29. punktu, aizstājot vārdu "iegūt" ar vārdu "saņemt" vai citu atbilstošu vārdu. </w:t>
      </w:r>
    </w:p>
    <w:p w14:paraId="74F64132" w14:textId="77777777" w:rsidR="00F82019" w:rsidRPr="00F82019" w:rsidRDefault="00F82019" w:rsidP="00F82019">
      <w:pPr>
        <w:shd w:val="clear" w:color="auto" w:fill="FFFFFF"/>
        <w:spacing w:after="0" w:line="240" w:lineRule="auto"/>
        <w:ind w:firstLine="720"/>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lang w:eastAsia="lv-LV"/>
        </w:rPr>
        <w:t>4. Ievērojot, ka, piemēram, iesniegumā nevar norādīt personas fotogrāfiju, lūdzam precizēt projekta 15. punktā paredzēto noteikumu 34. punktu. </w:t>
      </w:r>
    </w:p>
    <w:p w14:paraId="2630129A" w14:textId="77777777" w:rsidR="00F82019" w:rsidRPr="00F82019" w:rsidRDefault="00F82019" w:rsidP="00F82019">
      <w:pPr>
        <w:shd w:val="clear" w:color="auto" w:fill="FFFFFF"/>
        <w:spacing w:after="0" w:line="240" w:lineRule="auto"/>
        <w:rPr>
          <w:rFonts w:ascii="Segoe UI" w:eastAsia="Times New Roman" w:hAnsi="Segoe UI" w:cs="Segoe UI"/>
          <w:color w:val="212121"/>
          <w:sz w:val="23"/>
          <w:szCs w:val="23"/>
          <w:lang w:eastAsia="lv-LV"/>
        </w:rPr>
      </w:pPr>
      <w:r w:rsidRPr="00F82019">
        <w:rPr>
          <w:rFonts w:ascii="Calibri" w:eastAsia="Times New Roman" w:hAnsi="Calibri" w:cs="Calibri"/>
          <w:color w:val="000000"/>
          <w:sz w:val="24"/>
          <w:szCs w:val="24"/>
          <w:shd w:val="clear" w:color="auto" w:fill="FFFFFF"/>
          <w:lang w:eastAsia="lv-LV"/>
        </w:rPr>
        <w:t> </w:t>
      </w:r>
    </w:p>
    <w:p w14:paraId="1D46661B" w14:textId="77777777" w:rsidR="00F82019" w:rsidRPr="00F82019" w:rsidRDefault="00F82019" w:rsidP="00F82019">
      <w:pPr>
        <w:shd w:val="clear" w:color="auto" w:fill="FFFFFF"/>
        <w:spacing w:after="0" w:line="240" w:lineRule="auto"/>
        <w:rPr>
          <w:rFonts w:ascii="Segoe UI" w:eastAsia="Times New Roman" w:hAnsi="Segoe UI" w:cs="Segoe UI"/>
          <w:color w:val="212121"/>
          <w:sz w:val="23"/>
          <w:szCs w:val="23"/>
          <w:lang w:eastAsia="lv-LV"/>
        </w:rPr>
      </w:pPr>
      <w:r w:rsidRPr="00F82019">
        <w:rPr>
          <w:rFonts w:ascii="Arial" w:eastAsia="Times New Roman" w:hAnsi="Arial" w:cs="Arial"/>
          <w:color w:val="000000"/>
          <w:sz w:val="20"/>
          <w:szCs w:val="20"/>
          <w:shd w:val="clear" w:color="auto" w:fill="FFFFFF"/>
          <w:lang w:eastAsia="lv-LV"/>
        </w:rPr>
        <w:t>Ar cieņu</w:t>
      </w:r>
      <w:r w:rsidRPr="00F82019">
        <w:rPr>
          <w:rFonts w:ascii="Calibri" w:eastAsia="Times New Roman" w:hAnsi="Calibri" w:cs="Calibri"/>
          <w:color w:val="000000"/>
          <w:shd w:val="clear" w:color="auto" w:fill="FFFFFF"/>
          <w:lang w:eastAsia="lv-LV"/>
        </w:rPr>
        <w:t> </w:t>
      </w:r>
    </w:p>
    <w:p w14:paraId="30C7CA37" w14:textId="77777777" w:rsidR="00F82019" w:rsidRPr="00F82019" w:rsidRDefault="00F82019" w:rsidP="00F82019">
      <w:pPr>
        <w:shd w:val="clear" w:color="auto" w:fill="FFFFFF"/>
        <w:spacing w:after="0" w:line="240" w:lineRule="auto"/>
        <w:rPr>
          <w:rFonts w:ascii="Segoe UI" w:eastAsia="Times New Roman" w:hAnsi="Segoe UI" w:cs="Segoe UI"/>
          <w:color w:val="212121"/>
          <w:sz w:val="23"/>
          <w:szCs w:val="23"/>
          <w:lang w:eastAsia="lv-LV"/>
        </w:rPr>
      </w:pPr>
      <w:r w:rsidRPr="00F82019">
        <w:rPr>
          <w:rFonts w:ascii="Arial" w:eastAsia="Times New Roman" w:hAnsi="Arial" w:cs="Arial"/>
          <w:b/>
          <w:bCs/>
          <w:color w:val="201F1E"/>
          <w:sz w:val="20"/>
          <w:szCs w:val="20"/>
          <w:shd w:val="clear" w:color="auto" w:fill="FFFFFF"/>
          <w:lang w:eastAsia="lv-LV"/>
        </w:rPr>
        <w:t>Jutas Ķupes p.i. </w:t>
      </w:r>
    </w:p>
    <w:p w14:paraId="7BA5607E" w14:textId="77777777" w:rsidR="00F82019" w:rsidRPr="00F82019" w:rsidRDefault="00F82019" w:rsidP="00F82019">
      <w:pPr>
        <w:shd w:val="clear" w:color="auto" w:fill="FFFFFF"/>
        <w:spacing w:after="0" w:line="240" w:lineRule="auto"/>
        <w:rPr>
          <w:rFonts w:ascii="Segoe UI" w:eastAsia="Times New Roman" w:hAnsi="Segoe UI" w:cs="Segoe UI"/>
          <w:color w:val="212121"/>
          <w:sz w:val="23"/>
          <w:szCs w:val="23"/>
          <w:lang w:eastAsia="lv-LV"/>
        </w:rPr>
      </w:pPr>
      <w:r w:rsidRPr="00F82019">
        <w:rPr>
          <w:rFonts w:ascii="Arial" w:eastAsia="Times New Roman" w:hAnsi="Arial" w:cs="Arial"/>
          <w:b/>
          <w:bCs/>
          <w:color w:val="201F1E"/>
          <w:sz w:val="20"/>
          <w:szCs w:val="20"/>
          <w:shd w:val="clear" w:color="auto" w:fill="FFFFFF"/>
          <w:lang w:eastAsia="lv-LV"/>
        </w:rPr>
        <w:t>Ilze Māliņa</w:t>
      </w:r>
      <w:r w:rsidRPr="00F82019">
        <w:rPr>
          <w:rFonts w:ascii="Calibri" w:eastAsia="Times New Roman" w:hAnsi="Calibri" w:cs="Calibri"/>
          <w:color w:val="000000"/>
          <w:shd w:val="clear" w:color="auto" w:fill="FFFFFF"/>
          <w:lang w:eastAsia="lv-LV"/>
        </w:rPr>
        <w:t> </w:t>
      </w:r>
    </w:p>
    <w:p w14:paraId="1273AAAD" w14:textId="77777777" w:rsidR="00F82019" w:rsidRPr="00F82019" w:rsidRDefault="00F82019" w:rsidP="00F82019">
      <w:pPr>
        <w:shd w:val="clear" w:color="auto" w:fill="FFFFFF"/>
        <w:spacing w:after="0" w:line="240" w:lineRule="auto"/>
        <w:rPr>
          <w:rFonts w:ascii="Segoe UI" w:eastAsia="Times New Roman" w:hAnsi="Segoe UI" w:cs="Segoe UI"/>
          <w:color w:val="212121"/>
          <w:sz w:val="23"/>
          <w:szCs w:val="23"/>
          <w:lang w:eastAsia="lv-LV"/>
        </w:rPr>
      </w:pPr>
      <w:r w:rsidRPr="00F82019">
        <w:rPr>
          <w:rFonts w:ascii="Arial" w:eastAsia="Times New Roman" w:hAnsi="Arial" w:cs="Arial"/>
          <w:color w:val="201F1E"/>
          <w:sz w:val="20"/>
          <w:szCs w:val="20"/>
          <w:shd w:val="clear" w:color="auto" w:fill="FFFFFF"/>
          <w:lang w:eastAsia="lv-LV"/>
        </w:rPr>
        <w:t>Tieslietu ministrijas</w:t>
      </w:r>
      <w:r w:rsidRPr="00F82019">
        <w:rPr>
          <w:rFonts w:ascii="Calibri" w:eastAsia="Times New Roman" w:hAnsi="Calibri" w:cs="Calibri"/>
          <w:color w:val="000000"/>
          <w:shd w:val="clear" w:color="auto" w:fill="FFFFFF"/>
          <w:lang w:eastAsia="lv-LV"/>
        </w:rPr>
        <w:t> </w:t>
      </w:r>
    </w:p>
    <w:p w14:paraId="7A676DB6" w14:textId="77777777" w:rsidR="00F82019" w:rsidRPr="00F82019" w:rsidRDefault="00F82019" w:rsidP="00F82019">
      <w:pPr>
        <w:shd w:val="clear" w:color="auto" w:fill="FFFFFF"/>
        <w:spacing w:after="0" w:line="240" w:lineRule="auto"/>
        <w:rPr>
          <w:rFonts w:ascii="Segoe UI" w:eastAsia="Times New Roman" w:hAnsi="Segoe UI" w:cs="Segoe UI"/>
          <w:color w:val="212121"/>
          <w:sz w:val="23"/>
          <w:szCs w:val="23"/>
          <w:lang w:eastAsia="lv-LV"/>
        </w:rPr>
      </w:pPr>
      <w:r w:rsidRPr="00F82019">
        <w:rPr>
          <w:rFonts w:ascii="Arial" w:eastAsia="Times New Roman" w:hAnsi="Arial" w:cs="Arial"/>
          <w:color w:val="201F1E"/>
          <w:sz w:val="20"/>
          <w:szCs w:val="20"/>
          <w:shd w:val="clear" w:color="auto" w:fill="FFFFFF"/>
          <w:lang w:eastAsia="lv-LV"/>
        </w:rPr>
        <w:t>Valststiesību departamenta</w:t>
      </w:r>
      <w:r w:rsidRPr="00F82019">
        <w:rPr>
          <w:rFonts w:ascii="Calibri" w:eastAsia="Times New Roman" w:hAnsi="Calibri" w:cs="Calibri"/>
          <w:color w:val="000000"/>
          <w:shd w:val="clear" w:color="auto" w:fill="FFFFFF"/>
          <w:lang w:eastAsia="lv-LV"/>
        </w:rPr>
        <w:t> </w:t>
      </w:r>
    </w:p>
    <w:p w14:paraId="6CE8C82A" w14:textId="77777777" w:rsidR="00F82019" w:rsidRPr="00F82019" w:rsidRDefault="00F82019" w:rsidP="00F82019">
      <w:pPr>
        <w:shd w:val="clear" w:color="auto" w:fill="FFFFFF"/>
        <w:spacing w:after="0" w:line="240" w:lineRule="auto"/>
        <w:rPr>
          <w:rFonts w:ascii="Segoe UI" w:eastAsia="Times New Roman" w:hAnsi="Segoe UI" w:cs="Segoe UI"/>
          <w:color w:val="212121"/>
          <w:sz w:val="23"/>
          <w:szCs w:val="23"/>
          <w:lang w:eastAsia="lv-LV"/>
        </w:rPr>
      </w:pPr>
      <w:r w:rsidRPr="00F82019">
        <w:rPr>
          <w:rFonts w:ascii="Arial" w:eastAsia="Times New Roman" w:hAnsi="Arial" w:cs="Arial"/>
          <w:color w:val="201F1E"/>
          <w:sz w:val="20"/>
          <w:szCs w:val="20"/>
          <w:shd w:val="clear" w:color="auto" w:fill="FFFFFF"/>
          <w:lang w:eastAsia="lv-LV"/>
        </w:rPr>
        <w:t>Administratīvo tiesību nodaļas juriste</w:t>
      </w:r>
      <w:r w:rsidRPr="00F82019">
        <w:rPr>
          <w:rFonts w:ascii="Calibri" w:eastAsia="Times New Roman" w:hAnsi="Calibri" w:cs="Calibri"/>
          <w:color w:val="000000"/>
          <w:shd w:val="clear" w:color="auto" w:fill="FFFFFF"/>
          <w:lang w:eastAsia="lv-LV"/>
        </w:rPr>
        <w:t> </w:t>
      </w:r>
    </w:p>
    <w:p w14:paraId="3953E693" w14:textId="77777777" w:rsidR="00F82019" w:rsidRPr="00F82019" w:rsidRDefault="00F82019" w:rsidP="00F82019">
      <w:pPr>
        <w:shd w:val="clear" w:color="auto" w:fill="FFFFFF"/>
        <w:spacing w:after="0" w:line="240" w:lineRule="auto"/>
        <w:rPr>
          <w:rFonts w:ascii="Segoe UI" w:eastAsia="Times New Roman" w:hAnsi="Segoe UI" w:cs="Segoe UI"/>
          <w:color w:val="212121"/>
          <w:sz w:val="23"/>
          <w:szCs w:val="23"/>
          <w:lang w:eastAsia="lv-LV"/>
        </w:rPr>
      </w:pPr>
      <w:r w:rsidRPr="00F82019">
        <w:rPr>
          <w:rFonts w:ascii="Arial" w:eastAsia="Times New Roman" w:hAnsi="Arial" w:cs="Arial"/>
          <w:color w:val="201F1E"/>
          <w:sz w:val="20"/>
          <w:szCs w:val="20"/>
          <w:shd w:val="clear" w:color="auto" w:fill="FFFFFF"/>
          <w:lang w:eastAsia="lv-LV"/>
        </w:rPr>
        <w:t>tālr. 67036910</w:t>
      </w:r>
      <w:r w:rsidRPr="00F82019">
        <w:rPr>
          <w:rFonts w:ascii="Calibri" w:eastAsia="Times New Roman" w:hAnsi="Calibri" w:cs="Calibri"/>
          <w:color w:val="000000"/>
          <w:shd w:val="clear" w:color="auto" w:fill="FFFFFF"/>
          <w:lang w:eastAsia="lv-LV"/>
        </w:rPr>
        <w:t> </w:t>
      </w:r>
    </w:p>
    <w:p w14:paraId="62C15DDB" w14:textId="77777777" w:rsidR="00F82019" w:rsidRPr="00F82019" w:rsidRDefault="00F82019" w:rsidP="00F82019">
      <w:pPr>
        <w:shd w:val="clear" w:color="auto" w:fill="FFFFFF"/>
        <w:spacing w:after="0" w:line="240" w:lineRule="auto"/>
        <w:rPr>
          <w:rFonts w:ascii="Segoe UI" w:eastAsia="Times New Roman" w:hAnsi="Segoe UI" w:cs="Segoe UI"/>
          <w:color w:val="212121"/>
          <w:sz w:val="23"/>
          <w:szCs w:val="23"/>
          <w:lang w:eastAsia="lv-LV"/>
        </w:rPr>
      </w:pPr>
      <w:r w:rsidRPr="00F82019">
        <w:rPr>
          <w:rFonts w:ascii="Arial" w:eastAsia="Times New Roman" w:hAnsi="Arial" w:cs="Arial"/>
          <w:color w:val="201F1E"/>
          <w:sz w:val="20"/>
          <w:szCs w:val="20"/>
          <w:shd w:val="clear" w:color="auto" w:fill="FFFFFF"/>
          <w:lang w:eastAsia="lv-LV"/>
        </w:rPr>
        <w:t>Juridiskā adrese: Brīvības bulvārī 36, Rīgā, LV-1536</w:t>
      </w:r>
      <w:r w:rsidRPr="00F82019">
        <w:rPr>
          <w:rFonts w:ascii="Calibri" w:eastAsia="Times New Roman" w:hAnsi="Calibri" w:cs="Calibri"/>
          <w:color w:val="000000"/>
          <w:shd w:val="clear" w:color="auto" w:fill="FFFFFF"/>
          <w:lang w:eastAsia="lv-LV"/>
        </w:rPr>
        <w:t> </w:t>
      </w:r>
    </w:p>
    <w:p w14:paraId="2F3A8D33" w14:textId="77777777" w:rsidR="00F82019" w:rsidRPr="00F82019" w:rsidRDefault="00F82019" w:rsidP="00F82019">
      <w:pPr>
        <w:shd w:val="clear" w:color="auto" w:fill="FFFFFF"/>
        <w:spacing w:after="0" w:line="240" w:lineRule="auto"/>
        <w:rPr>
          <w:rFonts w:ascii="Segoe UI" w:eastAsia="Times New Roman" w:hAnsi="Segoe UI" w:cs="Segoe UI"/>
          <w:color w:val="212121"/>
          <w:sz w:val="23"/>
          <w:szCs w:val="23"/>
          <w:lang w:eastAsia="lv-LV"/>
        </w:rPr>
      </w:pPr>
      <w:r w:rsidRPr="00F82019">
        <w:rPr>
          <w:rFonts w:ascii="Arial" w:eastAsia="Times New Roman" w:hAnsi="Arial" w:cs="Arial"/>
          <w:color w:val="201F1E"/>
          <w:sz w:val="20"/>
          <w:szCs w:val="20"/>
          <w:shd w:val="clear" w:color="auto" w:fill="FFFFFF"/>
          <w:lang w:eastAsia="lv-LV"/>
        </w:rPr>
        <w:t>Atrašanās vieta: Raiņa bulvārī 15, Rīgā, LV-1050</w:t>
      </w:r>
      <w:r w:rsidRPr="00F82019">
        <w:rPr>
          <w:rFonts w:ascii="Calibri" w:eastAsia="Times New Roman" w:hAnsi="Calibri" w:cs="Calibri"/>
          <w:color w:val="000000"/>
          <w:shd w:val="clear" w:color="auto" w:fill="FFFFFF"/>
          <w:lang w:eastAsia="lv-LV"/>
        </w:rPr>
        <w:t> </w:t>
      </w:r>
    </w:p>
    <w:p w14:paraId="55F5F994" w14:textId="77777777" w:rsidR="0008438F" w:rsidRDefault="0008438F"/>
    <w:sectPr w:rsidR="0008438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019"/>
    <w:rsid w:val="0008438F"/>
    <w:rsid w:val="002F0077"/>
    <w:rsid w:val="00F820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6C0E8"/>
  <w15:chartTrackingRefBased/>
  <w15:docId w15:val="{63A99657-5B22-467D-AE39-3CE6AA77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194383">
      <w:bodyDiv w:val="1"/>
      <w:marLeft w:val="0"/>
      <w:marRight w:val="0"/>
      <w:marTop w:val="0"/>
      <w:marBottom w:val="0"/>
      <w:divBdr>
        <w:top w:val="none" w:sz="0" w:space="0" w:color="auto"/>
        <w:left w:val="none" w:sz="0" w:space="0" w:color="auto"/>
        <w:bottom w:val="none" w:sz="0" w:space="0" w:color="auto"/>
        <w:right w:val="none" w:sz="0" w:space="0" w:color="auto"/>
      </w:divBdr>
      <w:divsChild>
        <w:div w:id="1029451780">
          <w:marLeft w:val="0"/>
          <w:marRight w:val="0"/>
          <w:marTop w:val="0"/>
          <w:marBottom w:val="0"/>
          <w:divBdr>
            <w:top w:val="none" w:sz="0" w:space="0" w:color="auto"/>
            <w:left w:val="none" w:sz="0" w:space="0" w:color="auto"/>
            <w:bottom w:val="none" w:sz="0" w:space="0" w:color="auto"/>
            <w:right w:val="none" w:sz="0" w:space="0" w:color="auto"/>
          </w:divBdr>
          <w:divsChild>
            <w:div w:id="1592622470">
              <w:marLeft w:val="0"/>
              <w:marRight w:val="0"/>
              <w:marTop w:val="0"/>
              <w:marBottom w:val="0"/>
              <w:divBdr>
                <w:top w:val="single" w:sz="8" w:space="3" w:color="E1E1E1"/>
                <w:left w:val="none" w:sz="0" w:space="0" w:color="auto"/>
                <w:bottom w:val="none" w:sz="0" w:space="0" w:color="auto"/>
                <w:right w:val="none" w:sz="0" w:space="0" w:color="auto"/>
              </w:divBdr>
              <w:divsChild>
                <w:div w:id="5270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89974">
          <w:marLeft w:val="0"/>
          <w:marRight w:val="0"/>
          <w:marTop w:val="0"/>
          <w:marBottom w:val="0"/>
          <w:divBdr>
            <w:top w:val="none" w:sz="0" w:space="0" w:color="auto"/>
            <w:left w:val="none" w:sz="0" w:space="0" w:color="auto"/>
            <w:bottom w:val="none" w:sz="0" w:space="0" w:color="auto"/>
            <w:right w:val="none" w:sz="0" w:space="0" w:color="auto"/>
          </w:divBdr>
        </w:div>
        <w:div w:id="1713386666">
          <w:marLeft w:val="0"/>
          <w:marRight w:val="0"/>
          <w:marTop w:val="0"/>
          <w:marBottom w:val="0"/>
          <w:divBdr>
            <w:top w:val="none" w:sz="0" w:space="0" w:color="auto"/>
            <w:left w:val="none" w:sz="0" w:space="0" w:color="auto"/>
            <w:bottom w:val="none" w:sz="0" w:space="0" w:color="auto"/>
            <w:right w:val="none" w:sz="0" w:space="0" w:color="auto"/>
          </w:divBdr>
          <w:divsChild>
            <w:div w:id="1667629169">
              <w:marLeft w:val="0"/>
              <w:marRight w:val="0"/>
              <w:marTop w:val="0"/>
              <w:marBottom w:val="0"/>
              <w:divBdr>
                <w:top w:val="none" w:sz="0" w:space="0" w:color="auto"/>
                <w:left w:val="none" w:sz="0" w:space="0" w:color="auto"/>
                <w:bottom w:val="none" w:sz="0" w:space="0" w:color="auto"/>
                <w:right w:val="none" w:sz="0" w:space="0" w:color="auto"/>
              </w:divBdr>
            </w:div>
          </w:divsChild>
        </w:div>
        <w:div w:id="1743604748">
          <w:marLeft w:val="0"/>
          <w:marRight w:val="0"/>
          <w:marTop w:val="0"/>
          <w:marBottom w:val="0"/>
          <w:divBdr>
            <w:top w:val="none" w:sz="0" w:space="0" w:color="auto"/>
            <w:left w:val="none" w:sz="0" w:space="0" w:color="auto"/>
            <w:bottom w:val="none" w:sz="0" w:space="0" w:color="auto"/>
            <w:right w:val="none" w:sz="0" w:space="0" w:color="auto"/>
          </w:divBdr>
          <w:divsChild>
            <w:div w:id="56830626">
              <w:marLeft w:val="0"/>
              <w:marRight w:val="0"/>
              <w:marTop w:val="0"/>
              <w:marBottom w:val="0"/>
              <w:divBdr>
                <w:top w:val="none" w:sz="0" w:space="0" w:color="auto"/>
                <w:left w:val="none" w:sz="0" w:space="0" w:color="auto"/>
                <w:bottom w:val="none" w:sz="0" w:space="0" w:color="auto"/>
                <w:right w:val="none" w:sz="0" w:space="0" w:color="auto"/>
              </w:divBdr>
            </w:div>
            <w:div w:id="480119133">
              <w:marLeft w:val="0"/>
              <w:marRight w:val="0"/>
              <w:marTop w:val="0"/>
              <w:marBottom w:val="0"/>
              <w:divBdr>
                <w:top w:val="none" w:sz="0" w:space="0" w:color="auto"/>
                <w:left w:val="none" w:sz="0" w:space="0" w:color="auto"/>
                <w:bottom w:val="none" w:sz="0" w:space="0" w:color="auto"/>
                <w:right w:val="none" w:sz="0" w:space="0" w:color="auto"/>
              </w:divBdr>
            </w:div>
            <w:div w:id="794450319">
              <w:marLeft w:val="0"/>
              <w:marRight w:val="0"/>
              <w:marTop w:val="0"/>
              <w:marBottom w:val="0"/>
              <w:divBdr>
                <w:top w:val="none" w:sz="0" w:space="0" w:color="auto"/>
                <w:left w:val="none" w:sz="0" w:space="0" w:color="auto"/>
                <w:bottom w:val="none" w:sz="0" w:space="0" w:color="auto"/>
                <w:right w:val="none" w:sz="0" w:space="0" w:color="auto"/>
              </w:divBdr>
            </w:div>
            <w:div w:id="1663117231">
              <w:marLeft w:val="0"/>
              <w:marRight w:val="0"/>
              <w:marTop w:val="0"/>
              <w:marBottom w:val="0"/>
              <w:divBdr>
                <w:top w:val="none" w:sz="0" w:space="0" w:color="auto"/>
                <w:left w:val="none" w:sz="0" w:space="0" w:color="auto"/>
                <w:bottom w:val="none" w:sz="0" w:space="0" w:color="auto"/>
                <w:right w:val="none" w:sz="0" w:space="0" w:color="auto"/>
              </w:divBdr>
            </w:div>
            <w:div w:id="1997807303">
              <w:marLeft w:val="0"/>
              <w:marRight w:val="0"/>
              <w:marTop w:val="0"/>
              <w:marBottom w:val="0"/>
              <w:divBdr>
                <w:top w:val="none" w:sz="0" w:space="0" w:color="auto"/>
                <w:left w:val="none" w:sz="0" w:space="0" w:color="auto"/>
                <w:bottom w:val="none" w:sz="0" w:space="0" w:color="auto"/>
                <w:right w:val="none" w:sz="0" w:space="0" w:color="auto"/>
              </w:divBdr>
            </w:div>
            <w:div w:id="1099370182">
              <w:marLeft w:val="0"/>
              <w:marRight w:val="0"/>
              <w:marTop w:val="0"/>
              <w:marBottom w:val="0"/>
              <w:divBdr>
                <w:top w:val="none" w:sz="0" w:space="0" w:color="auto"/>
                <w:left w:val="none" w:sz="0" w:space="0" w:color="auto"/>
                <w:bottom w:val="none" w:sz="0" w:space="0" w:color="auto"/>
                <w:right w:val="none" w:sz="0" w:space="0" w:color="auto"/>
              </w:divBdr>
            </w:div>
            <w:div w:id="1001467979">
              <w:marLeft w:val="0"/>
              <w:marRight w:val="0"/>
              <w:marTop w:val="0"/>
              <w:marBottom w:val="0"/>
              <w:divBdr>
                <w:top w:val="none" w:sz="0" w:space="0" w:color="auto"/>
                <w:left w:val="none" w:sz="0" w:space="0" w:color="auto"/>
                <w:bottom w:val="none" w:sz="0" w:space="0" w:color="auto"/>
                <w:right w:val="none" w:sz="0" w:space="0" w:color="auto"/>
              </w:divBdr>
            </w:div>
            <w:div w:id="1443188436">
              <w:marLeft w:val="0"/>
              <w:marRight w:val="0"/>
              <w:marTop w:val="0"/>
              <w:marBottom w:val="0"/>
              <w:divBdr>
                <w:top w:val="none" w:sz="0" w:space="0" w:color="auto"/>
                <w:left w:val="none" w:sz="0" w:space="0" w:color="auto"/>
                <w:bottom w:val="none" w:sz="0" w:space="0" w:color="auto"/>
                <w:right w:val="none" w:sz="0" w:space="0" w:color="auto"/>
              </w:divBdr>
            </w:div>
            <w:div w:id="754936404">
              <w:marLeft w:val="0"/>
              <w:marRight w:val="0"/>
              <w:marTop w:val="0"/>
              <w:marBottom w:val="0"/>
              <w:divBdr>
                <w:top w:val="none" w:sz="0" w:space="0" w:color="auto"/>
                <w:left w:val="none" w:sz="0" w:space="0" w:color="auto"/>
                <w:bottom w:val="none" w:sz="0" w:space="0" w:color="auto"/>
                <w:right w:val="none" w:sz="0" w:space="0" w:color="auto"/>
              </w:divBdr>
            </w:div>
            <w:div w:id="759184431">
              <w:marLeft w:val="0"/>
              <w:marRight w:val="0"/>
              <w:marTop w:val="0"/>
              <w:marBottom w:val="0"/>
              <w:divBdr>
                <w:top w:val="none" w:sz="0" w:space="0" w:color="auto"/>
                <w:left w:val="none" w:sz="0" w:space="0" w:color="auto"/>
                <w:bottom w:val="none" w:sz="0" w:space="0" w:color="auto"/>
                <w:right w:val="none" w:sz="0" w:space="0" w:color="auto"/>
              </w:divBdr>
            </w:div>
            <w:div w:id="1816868511">
              <w:marLeft w:val="0"/>
              <w:marRight w:val="0"/>
              <w:marTop w:val="0"/>
              <w:marBottom w:val="0"/>
              <w:divBdr>
                <w:top w:val="none" w:sz="0" w:space="0" w:color="auto"/>
                <w:left w:val="none" w:sz="0" w:space="0" w:color="auto"/>
                <w:bottom w:val="none" w:sz="0" w:space="0" w:color="auto"/>
                <w:right w:val="none" w:sz="0" w:space="0" w:color="auto"/>
              </w:divBdr>
            </w:div>
            <w:div w:id="362678021">
              <w:marLeft w:val="0"/>
              <w:marRight w:val="0"/>
              <w:marTop w:val="0"/>
              <w:marBottom w:val="0"/>
              <w:divBdr>
                <w:top w:val="none" w:sz="0" w:space="0" w:color="auto"/>
                <w:left w:val="none" w:sz="0" w:space="0" w:color="auto"/>
                <w:bottom w:val="none" w:sz="0" w:space="0" w:color="auto"/>
                <w:right w:val="none" w:sz="0" w:space="0" w:color="auto"/>
              </w:divBdr>
            </w:div>
            <w:div w:id="1637568885">
              <w:marLeft w:val="0"/>
              <w:marRight w:val="0"/>
              <w:marTop w:val="0"/>
              <w:marBottom w:val="0"/>
              <w:divBdr>
                <w:top w:val="none" w:sz="0" w:space="0" w:color="auto"/>
                <w:left w:val="none" w:sz="0" w:space="0" w:color="auto"/>
                <w:bottom w:val="none" w:sz="0" w:space="0" w:color="auto"/>
                <w:right w:val="none" w:sz="0" w:space="0" w:color="auto"/>
              </w:divBdr>
            </w:div>
            <w:div w:id="654145640">
              <w:marLeft w:val="0"/>
              <w:marRight w:val="0"/>
              <w:marTop w:val="0"/>
              <w:marBottom w:val="0"/>
              <w:divBdr>
                <w:top w:val="none" w:sz="0" w:space="0" w:color="auto"/>
                <w:left w:val="none" w:sz="0" w:space="0" w:color="auto"/>
                <w:bottom w:val="none" w:sz="0" w:space="0" w:color="auto"/>
                <w:right w:val="none" w:sz="0" w:space="0" w:color="auto"/>
              </w:divBdr>
            </w:div>
            <w:div w:id="1245726083">
              <w:marLeft w:val="0"/>
              <w:marRight w:val="0"/>
              <w:marTop w:val="0"/>
              <w:marBottom w:val="0"/>
              <w:divBdr>
                <w:top w:val="none" w:sz="0" w:space="0" w:color="auto"/>
                <w:left w:val="none" w:sz="0" w:space="0" w:color="auto"/>
                <w:bottom w:val="none" w:sz="0" w:space="0" w:color="auto"/>
                <w:right w:val="none" w:sz="0" w:space="0" w:color="auto"/>
              </w:divBdr>
            </w:div>
            <w:div w:id="1375155503">
              <w:marLeft w:val="0"/>
              <w:marRight w:val="0"/>
              <w:marTop w:val="0"/>
              <w:marBottom w:val="0"/>
              <w:divBdr>
                <w:top w:val="none" w:sz="0" w:space="0" w:color="auto"/>
                <w:left w:val="none" w:sz="0" w:space="0" w:color="auto"/>
                <w:bottom w:val="none" w:sz="0" w:space="0" w:color="auto"/>
                <w:right w:val="none" w:sz="0" w:space="0" w:color="auto"/>
              </w:divBdr>
            </w:div>
            <w:div w:id="1375081730">
              <w:marLeft w:val="0"/>
              <w:marRight w:val="0"/>
              <w:marTop w:val="0"/>
              <w:marBottom w:val="0"/>
              <w:divBdr>
                <w:top w:val="none" w:sz="0" w:space="0" w:color="auto"/>
                <w:left w:val="none" w:sz="0" w:space="0" w:color="auto"/>
                <w:bottom w:val="none" w:sz="0" w:space="0" w:color="auto"/>
                <w:right w:val="none" w:sz="0" w:space="0" w:color="auto"/>
              </w:divBdr>
            </w:div>
            <w:div w:id="172577715">
              <w:marLeft w:val="0"/>
              <w:marRight w:val="0"/>
              <w:marTop w:val="0"/>
              <w:marBottom w:val="0"/>
              <w:divBdr>
                <w:top w:val="none" w:sz="0" w:space="0" w:color="auto"/>
                <w:left w:val="none" w:sz="0" w:space="0" w:color="auto"/>
                <w:bottom w:val="none" w:sz="0" w:space="0" w:color="auto"/>
                <w:right w:val="none" w:sz="0" w:space="0" w:color="auto"/>
              </w:divBdr>
            </w:div>
            <w:div w:id="699941532">
              <w:marLeft w:val="0"/>
              <w:marRight w:val="0"/>
              <w:marTop w:val="0"/>
              <w:marBottom w:val="0"/>
              <w:divBdr>
                <w:top w:val="none" w:sz="0" w:space="0" w:color="auto"/>
                <w:left w:val="none" w:sz="0" w:space="0" w:color="auto"/>
                <w:bottom w:val="none" w:sz="0" w:space="0" w:color="auto"/>
                <w:right w:val="none" w:sz="0" w:space="0" w:color="auto"/>
              </w:divBdr>
            </w:div>
            <w:div w:id="1931158885">
              <w:marLeft w:val="0"/>
              <w:marRight w:val="0"/>
              <w:marTop w:val="0"/>
              <w:marBottom w:val="0"/>
              <w:divBdr>
                <w:top w:val="none" w:sz="0" w:space="0" w:color="auto"/>
                <w:left w:val="none" w:sz="0" w:space="0" w:color="auto"/>
                <w:bottom w:val="none" w:sz="0" w:space="0" w:color="auto"/>
                <w:right w:val="none" w:sz="0" w:space="0" w:color="auto"/>
              </w:divBdr>
            </w:div>
            <w:div w:id="723795407">
              <w:marLeft w:val="0"/>
              <w:marRight w:val="0"/>
              <w:marTop w:val="0"/>
              <w:marBottom w:val="0"/>
              <w:divBdr>
                <w:top w:val="none" w:sz="0" w:space="0" w:color="auto"/>
                <w:left w:val="none" w:sz="0" w:space="0" w:color="auto"/>
                <w:bottom w:val="none" w:sz="0" w:space="0" w:color="auto"/>
                <w:right w:val="none" w:sz="0" w:space="0" w:color="auto"/>
              </w:divBdr>
            </w:div>
            <w:div w:id="971638248">
              <w:marLeft w:val="0"/>
              <w:marRight w:val="0"/>
              <w:marTop w:val="0"/>
              <w:marBottom w:val="0"/>
              <w:divBdr>
                <w:top w:val="none" w:sz="0" w:space="0" w:color="auto"/>
                <w:left w:val="none" w:sz="0" w:space="0" w:color="auto"/>
                <w:bottom w:val="none" w:sz="0" w:space="0" w:color="auto"/>
                <w:right w:val="none" w:sz="0" w:space="0" w:color="auto"/>
              </w:divBdr>
            </w:div>
            <w:div w:id="786851055">
              <w:marLeft w:val="0"/>
              <w:marRight w:val="0"/>
              <w:marTop w:val="0"/>
              <w:marBottom w:val="0"/>
              <w:divBdr>
                <w:top w:val="none" w:sz="0" w:space="0" w:color="auto"/>
                <w:left w:val="none" w:sz="0" w:space="0" w:color="auto"/>
                <w:bottom w:val="none" w:sz="0" w:space="0" w:color="auto"/>
                <w:right w:val="none" w:sz="0" w:space="0" w:color="auto"/>
              </w:divBdr>
            </w:div>
            <w:div w:id="1250893406">
              <w:marLeft w:val="0"/>
              <w:marRight w:val="0"/>
              <w:marTop w:val="0"/>
              <w:marBottom w:val="0"/>
              <w:divBdr>
                <w:top w:val="none" w:sz="0" w:space="0" w:color="auto"/>
                <w:left w:val="none" w:sz="0" w:space="0" w:color="auto"/>
                <w:bottom w:val="none" w:sz="0" w:space="0" w:color="auto"/>
                <w:right w:val="none" w:sz="0" w:space="0" w:color="auto"/>
              </w:divBdr>
            </w:div>
            <w:div w:id="360013945">
              <w:marLeft w:val="0"/>
              <w:marRight w:val="0"/>
              <w:marTop w:val="0"/>
              <w:marBottom w:val="0"/>
              <w:divBdr>
                <w:top w:val="none" w:sz="0" w:space="0" w:color="auto"/>
                <w:left w:val="none" w:sz="0" w:space="0" w:color="auto"/>
                <w:bottom w:val="none" w:sz="0" w:space="0" w:color="auto"/>
                <w:right w:val="none" w:sz="0" w:space="0" w:color="auto"/>
              </w:divBdr>
            </w:div>
            <w:div w:id="583681415">
              <w:marLeft w:val="0"/>
              <w:marRight w:val="0"/>
              <w:marTop w:val="0"/>
              <w:marBottom w:val="0"/>
              <w:divBdr>
                <w:top w:val="none" w:sz="0" w:space="0" w:color="auto"/>
                <w:left w:val="none" w:sz="0" w:space="0" w:color="auto"/>
                <w:bottom w:val="none" w:sz="0" w:space="0" w:color="auto"/>
                <w:right w:val="none" w:sz="0" w:space="0" w:color="auto"/>
              </w:divBdr>
            </w:div>
            <w:div w:id="1980959488">
              <w:marLeft w:val="0"/>
              <w:marRight w:val="0"/>
              <w:marTop w:val="0"/>
              <w:marBottom w:val="0"/>
              <w:divBdr>
                <w:top w:val="none" w:sz="0" w:space="0" w:color="auto"/>
                <w:left w:val="none" w:sz="0" w:space="0" w:color="auto"/>
                <w:bottom w:val="none" w:sz="0" w:space="0" w:color="auto"/>
                <w:right w:val="none" w:sz="0" w:space="0" w:color="auto"/>
              </w:divBdr>
            </w:div>
            <w:div w:id="21516854">
              <w:marLeft w:val="0"/>
              <w:marRight w:val="0"/>
              <w:marTop w:val="0"/>
              <w:marBottom w:val="0"/>
              <w:divBdr>
                <w:top w:val="none" w:sz="0" w:space="0" w:color="auto"/>
                <w:left w:val="none" w:sz="0" w:space="0" w:color="auto"/>
                <w:bottom w:val="none" w:sz="0" w:space="0" w:color="auto"/>
                <w:right w:val="none" w:sz="0" w:space="0" w:color="auto"/>
              </w:divBdr>
            </w:div>
            <w:div w:id="220219818">
              <w:marLeft w:val="0"/>
              <w:marRight w:val="0"/>
              <w:marTop w:val="0"/>
              <w:marBottom w:val="0"/>
              <w:divBdr>
                <w:top w:val="none" w:sz="0" w:space="0" w:color="auto"/>
                <w:left w:val="none" w:sz="0" w:space="0" w:color="auto"/>
                <w:bottom w:val="none" w:sz="0" w:space="0" w:color="auto"/>
                <w:right w:val="none" w:sz="0" w:space="0" w:color="auto"/>
              </w:divBdr>
            </w:div>
            <w:div w:id="368839562">
              <w:marLeft w:val="0"/>
              <w:marRight w:val="0"/>
              <w:marTop w:val="0"/>
              <w:marBottom w:val="0"/>
              <w:divBdr>
                <w:top w:val="none" w:sz="0" w:space="0" w:color="auto"/>
                <w:left w:val="none" w:sz="0" w:space="0" w:color="auto"/>
                <w:bottom w:val="none" w:sz="0" w:space="0" w:color="auto"/>
                <w:right w:val="none" w:sz="0" w:space="0" w:color="auto"/>
              </w:divBdr>
            </w:div>
            <w:div w:id="10179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central-1.protection.sophos.com/?d=latvija.lv&amp;u=aHR0cHM6Ly93d3cubGF0dmlqYS5sdg==&amp;i=NWZjZjllOTZmOTIxY2QwZTA1Mzk1OTJk&amp;t=aEtXOUM4eTR0K2tqaFNKaisrdHJVY1FhUnJ0Tkdya3g0QnZxN1pKTi9mQT0=&amp;h=df4dd561085447f08c3c1259b37ce00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4778</Words>
  <Characters>2725</Characters>
  <Application>Microsoft Office Word</Application>
  <DocSecurity>0</DocSecurity>
  <Lines>22</Lines>
  <Paragraphs>14</Paragraphs>
  <ScaleCrop>false</ScaleCrop>
  <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2021-06-29T14:52:00Z</dcterms:created>
  <dcterms:modified xsi:type="dcterms:W3CDTF">2021-06-29T14:52:00Z</dcterms:modified>
</cp:coreProperties>
</file>