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jūlija noteikumos Nr. 507 "Govju veneriskās kampilobakteriozes uzraudzības, kontroles un apkarošanas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tabulas "C" aili, ņemot vērā, ka, norādot uz Eiropas Savienības tiesību aktu normu daļēju ieviešanu, par to sniedz attiecīgu skaidrojumu, precīzi norāda, kad un kādā veidā tiks nodrošināta minēto saistību izpilde pilnībā un institūciju, kura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redakcijai un anotācijas 5.4. apakšsadaļas 1. tabulā sniegtajiem skaidrojumiem noteikumus projekts ievieš visu </w:t>
            </w:r>
            <w:r w:rsidR="00000000" w:rsidRPr="00000000" w:rsidDel="00000000">
              <w:rPr>
                <w:i w:val="1"/>
                <w:rtl w:val="0"/>
              </w:rPr>
              <w:t xml:space="preserve">Komisijas 2019. gada 15. marta Īstenošanas Regulu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w:t>
            </w:r>
            <w:r w:rsidR="00000000" w:rsidRPr="00000000" w:rsidDel="00000000">
              <w:rPr>
                <w:rtl w:val="0"/>
              </w:rPr>
              <w:t xml:space="preserve"> (turpmāk - regula 2019/627) kopumā, rīcības brīvības izmantošanas sadaļā skaidrojama visu no regulas 2019/627 izrietošo rīcības brīvību izmantošana. Vēršam uzmanību, ka, piemēram, arī regulas 18. panta 2. punkta a) apakšpunktā noteikts, ka "</w:t>
            </w:r>
            <w:r w:rsidR="00000000" w:rsidRPr="00000000" w:rsidDel="00000000">
              <w:rPr>
                <w:i w:val="1"/>
                <w:rtl w:val="0"/>
              </w:rPr>
              <w:t xml:space="preserve">[..] dalībvalstis </w:t>
            </w:r>
            <w:r w:rsidR="00000000" w:rsidRPr="00000000" w:rsidDel="00000000">
              <w:rPr>
                <w:i w:val="1"/>
                <w:u w:val="single"/>
                <w:rtl w:val="0"/>
              </w:rPr>
              <w:t xml:space="preserve">var izlemt</w:t>
            </w:r>
            <w:r w:rsidR="00000000" w:rsidRPr="00000000" w:rsidDel="00000000">
              <w:rPr>
                <w:i w:val="1"/>
                <w:rtl w:val="0"/>
              </w:rPr>
              <w:t xml:space="preserve"> veikt papildu izmeklēšanu; mutes un žāvu apskate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izvērtēt, vai tiešām ar noteikumu projekta 1.7. apakšpunktu ieviesta visa regula 2019/627 un normā nepieciešams ietvert vispārīgu atsauci uz visu regulu kopumā vai arī ir iespējams norādīt atsauci uz konkrētām regulas vienībām. Pamatojoties uz izvērtējumu, nepieciešamības gadījumā lūdzam precizēt noteikumu projekta 1.7. apakšpunktu un skaidrojumus anotācijas 5.4. apakšsadaļas 1. tabulā. Gadījumā, ja nepieciešama vispārīga atsauce uz regulu, iesakām, piemēram, papildināt anotācijas 5.1. apakšsadaļu, konkrētāk norādot uz noteikumu projekta un regulas 2019/627 savstarpējo saistību.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24-TA-2394</w:t>
    </w:r>
    <w:r>
      <w:br/>
    </w:r>
    <w:r w:rsidR="00000000" w:rsidRPr="00000000" w:rsidDel="00000000">
      <w:rPr>
        <w:rtl w:val="0"/>
      </w:rPr>
      <w:t xml:space="preserve">30.01.2025. 09.41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24-TA-2394</w:t>
    </w:r>
    <w:r>
      <w:br/>
    </w:r>
    <w:r w:rsidR="00000000" w:rsidRPr="00000000" w:rsidDel="00000000">
      <w:rPr>
        <w:rtl w:val="0"/>
      </w:rPr>
      <w:t xml:space="preserve">30.01.2025. 09.41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Izziņa_24-TA-2394.docx</dc:title>
</cp:coreProperties>
</file>

<file path=docProps/custom.xml><?xml version="1.0" encoding="utf-8"?>
<Properties xmlns="http://schemas.openxmlformats.org/officeDocument/2006/custom-properties" xmlns:vt="http://schemas.openxmlformats.org/officeDocument/2006/docPropsVTypes"/>
</file>