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22-TA-1132: Noteikumu projekts (Groza manuāli)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2015. gada 9. jūnija noteikumos Nr. 294 "Noteikumi par Latvijas būvnormatīvu LBN 261-15 "Ēku iekšējā elektroinstalācija""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noteikumu projekta 2. punktā ietverto normu formulējumus un pēc iespējas vienkāršot, kā arī izmantot jau iepriekš izmantotos formulējumus (salīdzinājumam sk. spēkā esošā būvnormatīva III</w:t>
            </w:r>
            <w:r w:rsidR="00000000" w:rsidRPr="00000000" w:rsidDel="00000000">
              <w:rPr>
                <w:vertAlign w:val="superscript"/>
                <w:rtl w:val="0"/>
              </w:rPr>
              <w:t xml:space="preserve">1</w:t>
            </w:r>
            <w:r w:rsidR="00000000" w:rsidRPr="00000000" w:rsidDel="00000000">
              <w:rPr>
                <w:rtl w:val="0"/>
              </w:rPr>
              <w:t xml:space="preserve">. nodaļu, kā arī Eiropas Parlamenta un Padomes 2010. gada 19. maija Direktīvas 2010/31/ES par ēku energoefektivitāti (pārstrādāta versija) (turpmāk - direktīva) 8. panta 2. un 5.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Piemēram, vēršam uzmanību, ka vairākas normas iespējams apvienot, tādējādi tās vienkāršojot. Piemēram, ņemot vērā 41.</w:t>
            </w:r>
            <w:r w:rsidR="00000000" w:rsidRPr="00000000" w:rsidDel="00000000">
              <w:rPr>
                <w:vertAlign w:val="superscript"/>
                <w:rtl w:val="0"/>
              </w:rPr>
              <w:t xml:space="preserve">5</w:t>
            </w:r>
            <w:r w:rsidR="00000000" w:rsidRPr="00000000" w:rsidDel="00000000">
              <w:rPr>
                <w:rtl w:val="0"/>
              </w:rPr>
              <w:t xml:space="preserve"> un 41.</w:t>
            </w:r>
            <w:r w:rsidR="00000000" w:rsidRPr="00000000" w:rsidDel="00000000">
              <w:rPr>
                <w:vertAlign w:val="superscript"/>
                <w:rtl w:val="0"/>
              </w:rPr>
              <w:t xml:space="preserve">6</w:t>
            </w:r>
            <w:r w:rsidR="00000000" w:rsidRPr="00000000" w:rsidDel="00000000">
              <w:rPr>
                <w:rtl w:val="0"/>
              </w:rPr>
              <w:t xml:space="preserve"> punktā ietverto nosacījumu būtisko lomu iepriekšējo punktu piemērošanā, lūdzam izvērtēt iespēju neveidot atsevišķu 41.</w:t>
            </w:r>
            <w:r w:rsidR="00000000" w:rsidRPr="00000000" w:rsidDel="00000000">
              <w:rPr>
                <w:vertAlign w:val="superscript"/>
                <w:rtl w:val="0"/>
              </w:rPr>
              <w:t xml:space="preserve">5</w:t>
            </w:r>
            <w:r w:rsidR="00000000" w:rsidRPr="00000000" w:rsidDel="00000000">
              <w:rPr>
                <w:rtl w:val="0"/>
              </w:rPr>
              <w:t xml:space="preserve"> un 41.</w:t>
            </w:r>
            <w:r w:rsidR="00000000" w:rsidRPr="00000000" w:rsidDel="00000000">
              <w:rPr>
                <w:vertAlign w:val="superscript"/>
                <w:rtl w:val="0"/>
              </w:rPr>
              <w:t xml:space="preserve">6</w:t>
            </w:r>
            <w:r w:rsidR="00000000" w:rsidRPr="00000000" w:rsidDel="00000000">
              <w:rPr>
                <w:rtl w:val="0"/>
              </w:rPr>
              <w:t xml:space="preserve"> punktu, bet tā vietā tajos ietvertās normas ietvert jau attiecīgajos iepriekšējos punktos (piemēram, veidojot vēl vienu teikumu vai ietverot palīgteikumu), lai lasītājs, secīgi lasot normas, uzreiz jau iepazītos ar būtisko nosacījumu, kas šobrīd ietverts 41.</w:t>
            </w:r>
            <w:r w:rsidR="00000000" w:rsidRPr="00000000" w:rsidDel="00000000">
              <w:rPr>
                <w:vertAlign w:val="superscript"/>
                <w:rtl w:val="0"/>
              </w:rPr>
              <w:t xml:space="preserve">5</w:t>
            </w:r>
            <w:r w:rsidR="00000000" w:rsidRPr="00000000" w:rsidDel="00000000">
              <w:rPr>
                <w:rtl w:val="0"/>
              </w:rPr>
              <w:t xml:space="preserve"> un 41.</w:t>
            </w:r>
            <w:r w:rsidR="00000000" w:rsidRPr="00000000" w:rsidDel="00000000">
              <w:rPr>
                <w:vertAlign w:val="superscript"/>
                <w:rtl w:val="0"/>
              </w:rPr>
              <w:t xml:space="preserve">6</w:t>
            </w:r>
            <w:r w:rsidR="00000000" w:rsidRPr="00000000" w:rsidDel="00000000">
              <w:rPr>
                <w:rtl w:val="0"/>
              </w:rPr>
              <w:t xml:space="preserve">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izvērtēt un veikt precizējumus projektā vai sniegt skaidrojumus.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par redakciju saskaņošanas sanāksmes laikā.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direktīvas 8. panta 2. punktā vārda "vismaz" lietošanu attiecībā uz uzlādes punktu (sk. lietoto formulējumu "[..] dalībvalstis nodrošina, ka tiek ierīkots vismaz viens uzlādes punkts"), aicinām nodrošināt minētās normas korektu ieviešanu būvnormatīva jaunā redakcijā izteiktajā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2</w:t>
            </w:r>
            <w:r w:rsidR="00000000" w:rsidRPr="00000000" w:rsidDel="00000000">
              <w:rPr>
                <w:rtl w:val="0"/>
              </w:rPr>
              <w:t xml:space="preserve">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2. punktā jaunā redakcijā izteiktajā 41.</w:t>
            </w:r>
            <w:r w:rsidR="00000000" w:rsidRPr="00000000" w:rsidDel="00000000">
              <w:rPr>
                <w:vertAlign w:val="superscript"/>
                <w:rtl w:val="0"/>
              </w:rPr>
              <w:t xml:space="preserve">1</w:t>
            </w:r>
            <w:r w:rsidR="00000000" w:rsidRPr="00000000" w:rsidDel="00000000">
              <w:rPr>
                <w:rtl w:val="0"/>
              </w:rPr>
              <w:t xml:space="preserve"> punktā u.c. punktos pirms vārda "uzlādes" nepieciešams iekļaut vārdu "elektrotransportlīdzekļu", kā arī pirms vārda "kabeļu" - vārdu "elektrības". Papildus lūdzam nelietot iekavas, ņemot vērā, ka tajās ietvertā informācija būtībā ir tā pati, kas jau pirms iekavām minētā informācija, bet tā vietā izmantot tikai vienu no formulējumiem (piemēram, "elektrības kabeļiem paredzēti kanāli"), ja nepieciešams, anotācijā to skaidrojot detalizētāk.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noteikumu projekta 2. punktā ietvertajās normās iekļauto frāzes "paredzot būvprojektā vairāk nekā desmit autostāvvietas" nepieciešamību tieši šādā izteiksmē. Salīdzinājumam lūdzam sk. direktīvas 8. panta 2. un 5. punktu, kā arī pašreiz spēkā esošā būvnormatīva 41.</w:t>
            </w:r>
            <w:r w:rsidR="00000000" w:rsidRPr="00000000" w:rsidDel="00000000">
              <w:rPr>
                <w:vertAlign w:val="superscript"/>
                <w:rtl w:val="0"/>
              </w:rPr>
              <w:t xml:space="preserve">1</w:t>
            </w:r>
            <w:r w:rsidR="00000000" w:rsidRPr="00000000" w:rsidDel="00000000">
              <w:rPr>
                <w:rtl w:val="0"/>
              </w:rPr>
              <w:t xml:space="preserve"> punkta redakciju un tajā lietoto frāzi "ar vairāk nekā desmit autostāvvietām". Vēršam uzmanību, ka šobrīd iekļautais formulējums (norādi uz būvprojektā paredzētajām vairāk nekā desmit autostāvvietām) šķiet mulsinošs, īpaši attiecībā uz pārbūvi - proti, nav skaidrs, vai tas attiecas gan uz gadījumus, kad autostāvvietas iepriekš nav bijušas, gan uz gadījumu, kad tās jau ir bijušas un kā tādas attiecīgi būvprojektā paredzētas, iespējams, netiek, bet tiek paredzēta kāda būvniecība saistībā ar tām. Attiecīgi lūdzam izvērtēt un, ja nepieciešams, precizēt projektu, nodrošinot skaidras normas. Alternatīvi lūdzam sniegt skaidrojumus.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Sniegts skaidrojums saskaņošanas sanāksmē. Noteikumu projekts atsevišķi izdala jaunas ēkas būvniecības un esošas ēkas atjaunošanu vai pārbūvi, ar to skaidri saprotot, ka atjaunošanas vai pārbūves gadījumā autostāvvietas jau ir iepriekš tikušas izbūvētas.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tiktu nodrošināta nepārprotama un vienveidīga normas izpilde, aicinām izvērtēt būvnormatīva 41.</w:t>
            </w:r>
            <w:r w:rsidR="00000000" w:rsidRPr="00000000" w:rsidDel="00000000">
              <w:rPr>
                <w:vertAlign w:val="superscript"/>
                <w:rtl w:val="0"/>
              </w:rPr>
              <w:t xml:space="preserve">5</w:t>
            </w:r>
            <w:r w:rsidR="00000000" w:rsidRPr="00000000" w:rsidDel="00000000">
              <w:rPr>
                <w:rtl w:val="0"/>
              </w:rPr>
              <w:t xml:space="preserve"> 2. apakšpunkta formulējumu un to anotācijā izvērsti skaidrot. Vēršam uzmanību, ka spēkā esošajā būvnormatīva 41.</w:t>
            </w:r>
            <w:r w:rsidR="00000000" w:rsidRPr="00000000" w:rsidDel="00000000">
              <w:rPr>
                <w:vertAlign w:val="superscript"/>
                <w:rtl w:val="0"/>
              </w:rPr>
              <w:t xml:space="preserve">1</w:t>
            </w:r>
            <w:r w:rsidR="00000000" w:rsidRPr="00000000" w:rsidDel="00000000">
              <w:rPr>
                <w:rtl w:val="0"/>
              </w:rPr>
              <w:t xml:space="preserve"> punktā ietvertā norāde uz funkcionālo saistību ar ēku, šķiet, bija konkrētāka, ņemot vērā, ka "fiziski blakus" var arī tikt interpretēts kā tikai noteikts attālums.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aicinām izvērtēt un nepieciešamības gadījumā veikt precizējumus projektā, kā arī sniegt izvērstus skaidrojumus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Sniegts skaidrojums saskaņošanas sanāksmē. Noteikumu projekta lietotā terminoloģija atbilst Direktīvas formulējumiem.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atšķirības no pašreizējās būvnormatīva III</w:t>
            </w:r>
            <w:r w:rsidR="00000000" w:rsidRPr="00000000" w:rsidDel="00000000">
              <w:rPr>
                <w:vertAlign w:val="superscript"/>
                <w:rtl w:val="0"/>
              </w:rPr>
              <w:t xml:space="preserve">1</w:t>
            </w:r>
            <w:r w:rsidR="00000000" w:rsidRPr="00000000" w:rsidDel="00000000">
              <w:rPr>
                <w:rtl w:val="0"/>
              </w:rPr>
              <w:t xml:space="preserve">. nodaļas redakcijas (piemēram, iepriekš regulējums konkrētajā būvnormatīvā tika attiecināts uz publiskām ēkām, šobrīd uz nedzīvojamām un dzīvojamām ēkām). Papildus lūdzam anotācijā skaidrot, kas ir saprotams ar dzīvojamām un nedzīvojamām ēkām.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papildus skaidrojumiem.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sadaļā norādīts: "Papildus jānorāda, ka saskaņā ar direktīvas preambulas 16.punktā saistībā ar nozīmīgo atjaunošanu tiek lietots jēdziens “rekonstrukcija”, kas saskaņā ar Būvniecības likuma pārejas noteikumu 7.punktu atbilst jēdzienam “pārbūve”. Līdz ar to direktīvas vārdu kopa "nozīmīga atjaunošana" ir pārņemts Latvijas regulējumā kā "pārbūve". Attiecībā uz šo aspektu Eiropas Komisija nebija izteikusi iebildumus." Pirmkārt, norādām, ka direktīvu preambulās nav ietvertas saistošas tiesību normas, taču tādas ir ietvertas to pamattekstā. Otrkārt, vēršam uzmanību, ka direktīvas 2. panta 10. punktā tiek skaidrots termins "nozīmīga atjaunošana" - “nozīmīga atjaunošana” ir ēkas atjaunošana, ja: a) atjaunošanas kopējās izmaksas, kas attiecas uz norobežojošām konstrukcijām vai ēkas inženiertehniskajām sistēmām, pārsniedz 25 % no ēkas vērtības, izņemot zemes vērtību, uz kuras ēka atrodas; vai b) atjaunošana jāveic vairāk nekā 25 % norobežojošās konstrukcijas virsmas.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nodrošināt normas ieviešanu un skaidrot, vai norma ir ieviesta pēc būtības saturiski (ne tikai ievērota atbilstība termina nosaukumam). Attiecīgi lūdzam nodrošināt korektu normas ieviešanu. Ja tiek noteiktas stingrākas prasības (piemēram, ja prasības tiek attiecinātas uz jebkuru pārbūvi, ne tikai nozīmīgu atjaunošanu minētās normas izpratnē), lūdzam to skaidrot anotācijas 1.3. sadaļā, kā arī anotācijas 5.4. sadaļas 1. tabulā. Nepieciešamības gadījumā lūdzam precizēt projektu.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papildus skaidrojumiem.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korekti un pilnīgi aizpildīt anotācijas 2. sadaļu, atspoguļojot izmaiņu ietekmi atbilstoši noteikumu projektā paredzētajam (šobrīd aprakstīta tikai ietekme attiecībā uz dzīvojamām ēkām).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izvērstāk skaidrot rīcības brīvības izmantošanu attiecībā uz direktīvas 8. panta 6. punkta "a" apakšpunktu. Proti, lūdzam skaidrot, kādēļ minētā norma zaudējusi savu aktualitāti (salīdzinājumam. sk. iepriekšējā saskaņošanas posmā anotācijā ietverto informāciju). Papildus aicinām izvērtēt, vai rīcības brīvība gadījumā nav izmantota ar būvnormatīva 4. punkta izteikšanu jaunā redakcijā ar 2021. gada 19. oktobra grozījumiem (iepriekš līdzīga satura norma, konkrēti minot datumu (līdz 2021. gada 10. martam), bija iekļauta nu jau spēku zaudējušo Ministru kabineta 2015.gada 30.jūnija noteikumu Nr.331 "Noteikumi par Latvijas būvnormatīvu LBN 208-15 "Publiskas būves"" 4. punktā, kas tika ietverts ar 2020. gada 16. jūnija noteikumu grozījumiem attiecībā uz elektromobilitāti).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izvērtēt un sniegt detalizētāku skaidrojumu par direktīvas 8. panta 6. punkta "a" apakšpunktā ietvertās rīcības brīvības izmantošanu un tās izmantošanas korektumu.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Rīcības brīvība izmantota ar būvnormatīva 4. punkta izteikšanu jaunā redakcijā ar 2021. gada 19. oktobra grozījumiem.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izvērstāk skaidrot, kā un kādēļ ir izmantota direktīvas 8. panta 6. punkta "c" apakšpunktā paredzētā rīcības brīvība, kā arī skaidrot, kāpēc tā izmantota nevis attiecībā uz visiem gadījumiem (41.</w:t>
            </w:r>
            <w:r w:rsidR="00000000" w:rsidRPr="00000000" w:rsidDel="00000000">
              <w:rPr>
                <w:vertAlign w:val="superscript"/>
                <w:rtl w:val="0"/>
              </w:rPr>
              <w:t xml:space="preserve">1 </w:t>
            </w:r>
            <w:r w:rsidR="00000000" w:rsidRPr="00000000" w:rsidDel="00000000">
              <w:rPr>
                <w:rtl w:val="0"/>
              </w:rPr>
              <w:t xml:space="preserve">- 41.</w:t>
            </w:r>
            <w:r w:rsidR="00000000" w:rsidRPr="00000000" w:rsidDel="00000000">
              <w:rPr>
                <w:vertAlign w:val="superscript"/>
                <w:rtl w:val="0"/>
              </w:rPr>
              <w:t xml:space="preserve">4 </w:t>
            </w:r>
            <w:r w:rsidR="00000000" w:rsidRPr="00000000" w:rsidDel="00000000">
              <w:rPr>
                <w:rtl w:val="0"/>
              </w:rPr>
              <w:t xml:space="preserve">punktu), bet tieši attiecībā uz pārbūvi (41.</w:t>
            </w:r>
            <w:r w:rsidR="00000000" w:rsidRPr="00000000" w:rsidDel="00000000">
              <w:rPr>
                <w:vertAlign w:val="superscript"/>
                <w:rtl w:val="0"/>
              </w:rPr>
              <w:t xml:space="preserve">2 </w:t>
            </w:r>
            <w:r w:rsidR="00000000" w:rsidRPr="00000000" w:rsidDel="00000000">
              <w:rPr>
                <w:rtl w:val="0"/>
              </w:rPr>
              <w:t xml:space="preserve">un 41.</w:t>
            </w:r>
            <w:r w:rsidR="00000000" w:rsidRPr="00000000" w:rsidDel="00000000">
              <w:rPr>
                <w:vertAlign w:val="superscript"/>
                <w:rtl w:val="0"/>
              </w:rPr>
              <w:t xml:space="preserve">4</w:t>
            </w:r>
            <w:r w:rsidR="00000000" w:rsidRPr="00000000" w:rsidDel="00000000">
              <w:rPr>
                <w:rtl w:val="0"/>
              </w:rPr>
              <w:t xml:space="preserve"> punktu), un kāpēc tā izmantota uz visām ēku kategorijām. Skaidrojuma sniegšanā lūdzam ņemt vērā iepriekš saskaņošanā nodotajā anotācijā ietverto informāciju "Direktīvas 2010/31/ES 8. panta 6. punkta c) apakšpunktā paredzētā rīcības brīvība nav izmantota, jo iztrūkst atvieglojuma piemērošanas un kontroles mehānisms, turklāt būvniecības kopējās izmaksas procesa gaitā var mainīties." Attiecīgi lūdzam arī skaidrot minētā atvieglojuma (būvnormatīva 41.</w:t>
            </w:r>
            <w:r w:rsidR="00000000" w:rsidRPr="00000000" w:rsidDel="00000000">
              <w:rPr>
                <w:vertAlign w:val="superscript"/>
                <w:rtl w:val="0"/>
              </w:rPr>
              <w:t xml:space="preserve">7</w:t>
            </w:r>
            <w:r w:rsidR="00000000" w:rsidRPr="00000000" w:rsidDel="00000000">
              <w:rPr>
                <w:rtl w:val="0"/>
              </w:rPr>
              <w:t xml:space="preserve"> punkta) piemērošanas un kontroles mehānismu, kā arī piemērošanu kontekstā ar būvniecības kopējo izmaksu mainīgumu procesa gaitā. Papildus, ņemot vērā iepriekš minēto, lūdzam izvērtēt nepieciešamību precizēt projektu, lai nodrošinātu normas piemērošanu. Alternatīvi lūdzam sniegt skaidrojumus anotācijā par atvieglojuma piemērošanu un kontroli (piemēram, vai to paredz kādi citi normatīvie akti).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Rīcības brīvība netiks izmantota, ievērojot, ka iztrūkst atvieglojuma piemērošanas un kontroles mehānisms, turklāt būvniecības kopējās izmaksas procesa gaitā var mainīties.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Izdarīt Ministru kabineta 2015. gada 17. jūnija noteikumos Nr. 294 “Noteikumi par Latvijas būvnormatīvu LBN 261-15  “Ēku iekšējā elektroinstalācija”” (Latvijas Vēstnesis, 2015, 116. nr.;  2021, 207. nr.) šādus grozījumus: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Papildināt noteikumus ar informatīvo atsauci uz Eiropas Savienības direktīvu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 atsauce uz Eiropas Savienības direktīvu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iekļautas tiesību normas, kas izriet no Eiropas Parlamenta un Padomes 2010. gada 19. maija Direktīvas 2010/31/ES par ēku energoefektivitāti (pārstrādāta versija)."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Papildināt  būvnormatīva III</w:t>
            </w:r>
            <w:r w:rsidR="00000000" w:rsidRPr="00000000" w:rsidDel="00000000">
              <w:rPr>
                <w:vertAlign w:val="superscript"/>
                <w:rtl w:val="0"/>
              </w:rPr>
              <w:t xml:space="preserve">1</w:t>
            </w:r>
            <w:r w:rsidR="00000000" w:rsidRPr="00000000" w:rsidDel="00000000">
              <w:rPr>
                <w:rtl w:val="0"/>
              </w:rPr>
              <w:t xml:space="preserve">. nodaļu ar 41.</w:t>
            </w:r>
            <w:r w:rsidR="00000000" w:rsidRPr="00000000" w:rsidDel="00000000">
              <w:rPr>
                <w:vertAlign w:val="superscript"/>
                <w:rtl w:val="0"/>
              </w:rPr>
              <w:t xml:space="preserve">3</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 </w:t>
            </w:r>
            <w:r w:rsidR="00000000" w:rsidRPr="00000000" w:rsidDel="00000000">
              <w:rPr>
                <w:rtl w:val="0"/>
              </w:rPr>
              <w:t xml:space="preserve">Projektējot daudzdzīvokļu dzīvojamās ēkās iebūvētas garāžas un autostāvvietas, daudzdzīvokļu dzīvojamās ēkās ar vairāk nekā 10 autostāvvietām, paredz  katrai autostāvvietai kanālus elektrības kabeļiem, lai, ja nepieciešams, varētu ierīkot elektrotransportlīdzekļu uzlādes punktus. Minētās prasības piemēro arī ar dzīvojamo ēku funkcionāli saistītu, bet ārpus šīs ēkas esošu autostāvvietu projektēšanai.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Veicot pārbūvi, šā būvnormatīva 41.</w:t>
            </w:r>
            <w:r w:rsidR="00000000" w:rsidRPr="00000000" w:rsidDel="00000000">
              <w:rPr>
                <w:vertAlign w:val="superscript"/>
                <w:rtl w:val="0"/>
              </w:rPr>
              <w:t xml:space="preserve">3</w:t>
            </w:r>
            <w:r w:rsidR="00000000" w:rsidRPr="00000000" w:rsidDel="00000000">
              <w:rPr>
                <w:rtl w:val="0"/>
              </w:rPr>
              <w:t xml:space="preserve"> punktā noteiktās prasības piemēro attiecībā uz pārbūvējamo daļu, ja šī daļa ir paredzēta autostāvvietām."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noteikumu projekta 1. punktu, paredzot papildināt noteikumus ar informatīvo atsauci ne tikai uz Eiropas Parlamenta un Padomes 2010. gada 19. maija Direktīvu 2010/31/ES par ēku energoefektivitāti (pārstrādāta versija), bet arī uz Eiropas Parlamenta un Padomes 2018. gada 30. maija Direktīvu 2018/844, ar ko groza Direktīvu 2010/31/ES par ēku energoefektivitāti un Direktīvu 2012/27/ES par energoefektivitāti, un noformējot atsauces atbilstoši Ministru kabineta 2009. gada 3. februāra noteikumu Nr. 108 "Normatīvo aktu projektu sagatavošanas noteikumi" 165. un 168. 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iebildumam/priekšlikumam.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Izdarīt Ministru kabineta 2015. gada 17. jūnija noteikumos Nr. 294 “Noteikumi par Latvijas būvnormatīvu LBN 261-15  “Ēku iekšējā elektroinstalācija”” (Latvijas Vēstnesis, 2015, 116. nr.;  2021, 207. nr.) šādus grozījumus: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Papildināt noteikumus ar informatīvo atsauci uz Eiropas Savienības direktīvu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“Informatīva atsauce uz Eiropas Savienības direktīvu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iekļautas tiesību normas, kas izriet no Eiropas Parlamenta un Padomes 2010. gada 19. maija Direktīvas 2010/31/ES par ēku energoefektivitāti (pārstrādāta versija)."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Papildināt  būvnormatīva III</w:t>
            </w:r>
            <w:r w:rsidR="00000000" w:rsidRPr="00000000" w:rsidDel="00000000">
              <w:rPr>
                <w:vertAlign w:val="superscript"/>
                <w:rtl w:val="0"/>
              </w:rPr>
              <w:t xml:space="preserve">1</w:t>
            </w:r>
            <w:r w:rsidR="00000000" w:rsidRPr="00000000" w:rsidDel="00000000">
              <w:rPr>
                <w:rtl w:val="0"/>
              </w:rPr>
              <w:t xml:space="preserve">. nodaļu ar 41.</w:t>
            </w:r>
            <w:r w:rsidR="00000000" w:rsidRPr="00000000" w:rsidDel="00000000">
              <w:rPr>
                <w:vertAlign w:val="superscript"/>
                <w:rtl w:val="0"/>
              </w:rPr>
              <w:t xml:space="preserve">3</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 </w:t>
            </w:r>
            <w:r w:rsidR="00000000" w:rsidRPr="00000000" w:rsidDel="00000000">
              <w:rPr>
                <w:rtl w:val="0"/>
              </w:rPr>
              <w:t xml:space="preserve">Projektējot daudzdzīvokļu dzīvojamās ēkās iebūvētas garāžas un autostāvvietas, daudzdzīvokļu dzīvojamās ēkās ar vairāk nekā 10 autostāvvietām, paredz  katrai autostāvvietai kanālus elektrības kabeļiem, lai, ja nepieciešams, varētu ierīkot elektrotransportlīdzekļu uzlādes punktus. Minētās prasības piemēro arī ar dzīvojamo ēku funkcionāli saistītu, bet ārpus šīs ēkas esošu autostāvvietu projektēšanai.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Veicot pārbūvi, šā būvnormatīva 41.</w:t>
            </w:r>
            <w:r w:rsidR="00000000" w:rsidRPr="00000000" w:rsidDel="00000000">
              <w:rPr>
                <w:vertAlign w:val="superscript"/>
                <w:rtl w:val="0"/>
              </w:rPr>
              <w:t xml:space="preserve">3</w:t>
            </w:r>
            <w:r w:rsidR="00000000" w:rsidRPr="00000000" w:rsidDel="00000000">
              <w:rPr>
                <w:rtl w:val="0"/>
              </w:rPr>
              <w:t xml:space="preserve"> punktā noteiktās prasības piemēro attiecībā uz pārbūvējamo daļu, ja šī daļa ir paredzēta autostāvvietām."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noteikumu projekta 2. punktā (noteikumu 41.</w:t>
            </w:r>
            <w:r w:rsidR="00000000" w:rsidRPr="00000000" w:rsidDel="00000000">
              <w:rPr>
                <w:vertAlign w:val="superscript"/>
                <w:rtl w:val="0"/>
              </w:rPr>
              <w:t xml:space="preserve">3</w:t>
            </w:r>
            <w:r w:rsidR="00000000" w:rsidRPr="00000000" w:rsidDel="00000000">
              <w:rPr>
                <w:rtl w:val="0"/>
              </w:rPr>
              <w:t xml:space="preserve"> punktā) pēc vārdiem "garāžas un autostāvvietas" svītrot vārdus "daudzdzīvokļu dzīvojamās ēkās", ņemot vērā, ka tie jau ietverti teikuma sākumā un attiecīgi izmantoti dubultā. Attiecīgi aicinām 41.3 punkta sākuma daļu izteikt, piemēram, šādā redakcijā: "41.</w:t>
            </w:r>
            <w:r w:rsidR="00000000" w:rsidRPr="00000000" w:rsidDel="00000000">
              <w:rPr>
                <w:vertAlign w:val="superscript"/>
                <w:rtl w:val="0"/>
              </w:rPr>
              <w:t xml:space="preserve">3</w:t>
            </w:r>
            <w:r w:rsidR="00000000" w:rsidRPr="00000000" w:rsidDel="00000000">
              <w:rPr>
                <w:rtl w:val="0"/>
              </w:rPr>
              <w:t xml:space="preserve"> Projektējot daudzdzīvokļu dzīvojamās ēkās iebūvētas garāžas un autostāvvietas ar vairāk nekā 10 autostāvvietām katrai autostāvvietai paredz kanālus elektrības kabeļiem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attiecinot to uz visām dzīvojamām ēkām, ne tikai daudzdzīvokļu.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uz atkārtoto saskaņošanu nodotajā noteikumu projekta redakcijā ieviesušās neuzmanības kļūdas un ietvert noteikumu projektā korektu norādi "Izdarīt Ministru kabineta 2015. gada 9. jūnija noteikumos Nr. 294 "Noteikumi par Latvijas būvnormatīvu LBN 261-15 "Ēku iekšējā elektroinstalācija"" (Latvijas Vēstnesis, 2015, 116. nr.; 2021, 207. nr.) šādus grozījumus:", kā arī norādi 2. punktā: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uz noteikumu projektā kļūdaini dublētu būvnormatīva 41.</w:t>
            </w:r>
            <w:r w:rsidR="00000000" w:rsidRPr="00000000" w:rsidDel="00000000">
              <w:rPr>
                <w:vertAlign w:val="superscript"/>
                <w:rtl w:val="0"/>
              </w:rPr>
              <w:t xml:space="preserve">5</w:t>
            </w:r>
            <w:r w:rsidR="00000000" w:rsidRPr="00000000" w:rsidDel="00000000">
              <w:rPr>
                <w:rtl w:val="0"/>
              </w:rPr>
              <w:t xml:space="preserve"> un 41.</w:t>
            </w:r>
            <w:r w:rsidR="00000000" w:rsidRPr="00000000" w:rsidDel="00000000">
              <w:rPr>
                <w:vertAlign w:val="superscript"/>
                <w:rtl w:val="0"/>
              </w:rPr>
              <w:t xml:space="preserve">6</w:t>
            </w:r>
            <w:r w:rsidR="00000000" w:rsidRPr="00000000" w:rsidDel="00000000">
              <w:rPr>
                <w:rtl w:val="0"/>
              </w:rPr>
              <w:t xml:space="preserve">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Svītroti dublējošie punkti.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būvnormatīva III</w:t>
            </w:r>
            <w:r w:rsidR="00000000" w:rsidRPr="00000000" w:rsidDel="00000000">
              <w:rPr>
                <w:vertAlign w:val="superscript"/>
                <w:rtl w:val="0"/>
              </w:rPr>
              <w:t xml:space="preserve">1</w:t>
            </w:r>
            <w:r w:rsidR="00000000" w:rsidRPr="00000000" w:rsidDel="00000000">
              <w:rPr>
                <w:rtl w:val="0"/>
              </w:rPr>
              <w:t xml:space="preserve"> nodaļu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būvnormatīva 41.</w:t>
            </w:r>
            <w:r w:rsidR="00000000" w:rsidRPr="00000000" w:rsidDel="00000000">
              <w:rPr>
                <w:vertAlign w:val="superscript"/>
                <w:rtl w:val="0"/>
              </w:rPr>
              <w:t xml:space="preserve">6</w:t>
            </w:r>
            <w:r w:rsidR="00000000" w:rsidRPr="00000000" w:rsidDel="00000000">
              <w:rPr>
                <w:rtl w:val="0"/>
              </w:rPr>
              <w:t xml:space="preserve"> un 41.</w:t>
            </w:r>
            <w:r w:rsidR="00000000" w:rsidRPr="00000000" w:rsidDel="00000000">
              <w:rPr>
                <w:vertAlign w:val="superscript"/>
                <w:rtl w:val="0"/>
              </w:rPr>
              <w:t xml:space="preserve">7</w:t>
            </w:r>
            <w:r w:rsidR="00000000" w:rsidRPr="00000000" w:rsidDel="00000000">
              <w:rPr>
                <w:rtl w:val="0"/>
              </w:rPr>
              <w:t xml:space="preserve"> punktu, pirms vārda "būvnormatīva" ietverot vārdu "šī", tādējādi konkretizējot atsauci.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41.1 un 41.3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41.2 un 41.4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tiesību normu nepārprotamas piemērošanas labad jaunā redakcijā izteiktajā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2</w:t>
            </w:r>
            <w:r w:rsidR="00000000" w:rsidRPr="00000000" w:rsidDel="00000000">
              <w:rPr>
                <w:rtl w:val="0"/>
              </w:rPr>
              <w:t xml:space="preserve"> punktā pēc vārdiem "vismaz katrai piektajai stāvvietai" ievietot vārdu "paredz".</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2. 41.</w:t>
            </w:r>
            <w:r w:rsidR="00000000" w:rsidRPr="00000000" w:rsidDel="00000000">
              <w:rPr>
                <w:vertAlign w:val="superscript"/>
                <w:rtl w:val="0"/>
              </w:rPr>
              <w:t xml:space="preserve">1</w:t>
            </w:r>
            <w:r w:rsidR="00000000" w:rsidRPr="00000000" w:rsidDel="00000000">
              <w:rPr>
                <w:rtl w:val="0"/>
              </w:rPr>
              <w:t xml:space="preserve"> Jaunas nedzīvojamas ēkas būvniecības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2</w:t>
            </w:r>
            <w:r w:rsidR="00000000" w:rsidRPr="00000000" w:rsidDel="00000000">
              <w:rPr>
                <w:rtl w:val="0"/>
              </w:rPr>
              <w:t xml:space="preserve"> Nedzīvojamas ēkas atjaunošanas vai pārbūves gadījumā, paredzot būvprojektā vairāk nekā desmit autostāvvietas, vismaz vienai no šīm autostāvvietām paredz elektrotransportlīdzekļu uzlādes punktu un vismaz katrai piektajai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3</w:t>
            </w:r>
            <w:r w:rsidR="00000000" w:rsidRPr="00000000" w:rsidDel="00000000">
              <w:rPr>
                <w:rtl w:val="0"/>
              </w:rPr>
              <w:t xml:space="preserve"> Jaunas dzīvojamas ēkas būvniecības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4</w:t>
            </w:r>
            <w:r w:rsidR="00000000" w:rsidRPr="00000000" w:rsidDel="00000000">
              <w:rPr>
                <w:rtl w:val="0"/>
              </w:rPr>
              <w:t xml:space="preserve"> Dzīvojamas ēkas atjaunošanas vai pārbūves gadījumā, paredzot būvprojektā vairāk nekā desmit autostāvvietas, katrai stāvvietai paredz nepieciešamo elektrības kabeļu kanālu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Šā būvnormatīva 41.</w:t>
            </w:r>
            <w:r w:rsidR="00000000" w:rsidRPr="00000000" w:rsidDel="00000000">
              <w:rPr>
                <w:vertAlign w:val="superscript"/>
                <w:rtl w:val="0"/>
              </w:rPr>
              <w:t xml:space="preserve">1</w:t>
            </w:r>
            <w:r w:rsidR="00000000" w:rsidRPr="00000000" w:rsidDel="00000000">
              <w:rPr>
                <w:rtl w:val="0"/>
              </w:rPr>
              <w:t xml:space="preserve"> un 41.</w:t>
            </w:r>
            <w:r w:rsidR="00000000" w:rsidRPr="00000000" w:rsidDel="00000000">
              <w:rPr>
                <w:vertAlign w:val="superscript"/>
                <w:rtl w:val="0"/>
              </w:rPr>
              <w:t xml:space="preserve">3</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1. automašīnu stāvvietas atrodas ēkas iekšienē;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5</w:t>
            </w:r>
            <w:r w:rsidR="00000000" w:rsidRPr="00000000" w:rsidDel="00000000">
              <w:rPr>
                <w:rtl w:val="0"/>
              </w:rPr>
              <w:t xml:space="preserve"> 2. automašīnu stāvvietas atrodas fiziski blakus ēkai.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Šā būvnormatīva 41.</w:t>
            </w:r>
            <w:r w:rsidR="00000000" w:rsidRPr="00000000" w:rsidDel="00000000">
              <w:rPr>
                <w:vertAlign w:val="superscript"/>
                <w:rtl w:val="0"/>
              </w:rPr>
              <w:t xml:space="preserve">2</w:t>
            </w:r>
            <w:r w:rsidR="00000000" w:rsidRPr="00000000" w:rsidDel="00000000">
              <w:rPr>
                <w:rtl w:val="0"/>
              </w:rPr>
              <w:t xml:space="preserve"> un 41.</w:t>
            </w:r>
            <w:r w:rsidR="00000000" w:rsidRPr="00000000" w:rsidDel="00000000">
              <w:rPr>
                <w:vertAlign w:val="superscript"/>
                <w:rtl w:val="0"/>
              </w:rPr>
              <w:t xml:space="preserve">4</w:t>
            </w:r>
            <w:r w:rsidR="00000000" w:rsidRPr="00000000" w:rsidDel="00000000">
              <w:rPr>
                <w:rtl w:val="0"/>
              </w:rPr>
              <w:t xml:space="preserve"> punktu piemēro, ja papildus iestājas vismaz viens no šādiem gadījumiem: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1. atjaunošana vai pārbūve skar vismaz 25 % no ēkas būves elementu kopējās laukuma virsmas un automašīnu stāvvietas atrodas ēkas iekšienē un atjaunošana vai pārbūve ietver automašīnu stāvvietas vai ēkas elektroinstalāciju;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r w:rsidR="00000000" w:rsidRPr="00000000" w:rsidDel="00000000">
              <w:rPr>
                <w:vertAlign w:val="superscript"/>
                <w:rtl w:val="0"/>
              </w:rPr>
              <w:t xml:space="preserve">6</w:t>
            </w:r>
            <w:r w:rsidR="00000000" w:rsidRPr="00000000" w:rsidDel="00000000">
              <w:rPr>
                <w:rtl w:val="0"/>
              </w:rPr>
              <w:t xml:space="preserve"> 2. atjaunošana vai pārbūve skar vismaz 25 % no ēkas būves elementu kopējās laukuma virsmas un automašīnu stāvvietas atrodas fiziski blakus ēkai un atjaunošana vai pārbūve ietver automašīnu stāvvietas vai automašīnu stāvvietu elektroinstalāciju.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anotācijas 1.3. sadaļas pašreizējās situācijas aprakstā ietvert arī informāciju par pašreizējām elektromobilitātes prasībām, kādas iekļautas būvnormatīvā.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direktīvas 8. panta 4., kā arī 7.-9. punktā arī ir paredzēta rīcības brīvība dalībvalstij, lūdzam arī par šajās normās ietvertās rīcības brīvības izmantošanu sniegt skaidrojumu anotācijas 5.4. sadaļas 1. tabulas atbilstošajā ailē.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Sniegts skaidrojums saskaņošanas sanāksmē. Noteikumu projekts paredz grozījumus par Eiropas Komisijas izvirzītajiem iebildumiem Pārkāpuma procedūras pret Latviju ietvaros, neskarot jaunu izvērtējumu par rīcības brīvības izmantošanu. Priekšlikumā norādītās rīcības brīvības iespējas tika vērtētas, iepriekš ieviešot Direktīvas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anotācijas 7.4. un 7.5. sadaļā ietvertā informācija nav precizējama, ņemot vērā noteikumu projekta regulējumu. Attiecīgi lūdzam izvērtēt un nepieciešamības gadījumā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7.4. un 7.5. sadaļā jau sniegta korekta informācija, norādot, ka: “Noteikumu projekts neietekmē institūciju funkcijas un struktūru. Nav plānota jaunu institūciju izveide, esošu institūciju likvidācija vai reorganizācija. Noteikumu projekts tiks izpildīts esošo cilvēkresursu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novērst, šķiet, neuzmanības kļūdu un svītrot informāciju anotācijas 5.4. sadaļas 1. tabulā par Direktīvas 2018/844 1. panta 5. punkta (daļā par Direktīvas 2010/31/ES 8. panta 6. punktu "c" apakšpunktu) pārņemšanu noteikumu projekta 2. punktā izteiktajā būvnormatīva 41.</w:t>
            </w:r>
            <w:r w:rsidR="00000000" w:rsidRPr="00000000" w:rsidDel="00000000">
              <w:rPr>
                <w:vertAlign w:val="superscript"/>
                <w:rtl w:val="0"/>
              </w:rPr>
              <w:t xml:space="preserve">7</w:t>
            </w:r>
            <w:r w:rsidR="00000000" w:rsidRPr="00000000" w:rsidDel="00000000">
              <w:rPr>
                <w:rtl w:val="0"/>
              </w:rPr>
              <w:t xml:space="preserve"> punktā, ņemot vērā, ka tāds 41.</w:t>
            </w:r>
            <w:r w:rsidR="00000000" w:rsidRPr="00000000" w:rsidDel="00000000">
              <w:rPr>
                <w:vertAlign w:val="superscript"/>
                <w:rtl w:val="0"/>
              </w:rPr>
              <w:t xml:space="preserve">7</w:t>
            </w:r>
            <w:r w:rsidR="00000000" w:rsidRPr="00000000" w:rsidDel="00000000">
              <w:rPr>
                <w:rtl w:val="0"/>
              </w:rPr>
              <w:t xml:space="preserve"> punkts nav paredzēts. Kontekstā ar minēto aicinām arī anotācijas 1.3. sadaļā apsvērt iespēju svītrot vai precizēt teikumu "Papildus tika konstatēts, ka nav izmantota Direktīvas 8. panta 6. punkta "c" apakšpunktā noteiktā atkāpe no prasībām.", ņemot vērā, ka norāde ir mulsinoša, jo vedina domāt, ka rīcības brīvība ar noteikumu projektu tiek izmantota, taču anotācijas 5. sadaļas 1. tabulā korekti atbilstoši noteikumu projektā paredzētajam tiek norādīts uz attiecīgās rīcības brīvības neizmantošanu.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daļā par Direktīvas 2010/31/ES 8. panta 6. punktu "c" apakšpunktu pārņemšanu,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anotācijas 1.3. sadaļā minēto informāciju par likumprojekta ”Transporta enerģijas likums” izstrādi, kas, cita starpā, definēs un regulēs elektrotransportlīdzekļu uzlādes iespējas un prasības, aicinām to norādīt arī anotācijas 4. sadaļā.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4.nodaļa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22-TA-1132</w:t>
    </w:r>
    <w:r>
      <w:br/>
    </w:r>
    <w:r w:rsidR="00000000" w:rsidRPr="00000000" w:rsidDel="00000000">
      <w:rPr>
        <w:rtl w:val="0"/>
      </w:rPr>
      <w:t xml:space="preserve">05.09.2022. 13.13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22-TA-1132</w:t>
    </w:r>
    <w:r>
      <w:br/>
    </w:r>
    <w:r w:rsidR="00000000" w:rsidRPr="00000000" w:rsidDel="00000000">
      <w:rPr>
        <w:rtl w:val="0"/>
      </w:rPr>
      <w:t xml:space="preserve">05.09.2022. 13.13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Izziņa_22-TA-1132.docx</dc:title>
</cp:coreProperties>
</file>

<file path=docProps/custom.xml><?xml version="1.0" encoding="utf-8"?>
<Properties xmlns="http://schemas.openxmlformats.org/officeDocument/2006/custom-properties" xmlns:vt="http://schemas.openxmlformats.org/officeDocument/2006/docPropsVTypes"/>
</file>