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Preču un pakalpojumu piekļūstamības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preču un pakalpojumu piekļūstamības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Attiecīgi lūdzam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un pakalpojumu piekļūstamības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piekļūstamības prasības precēm, preces iepakojumam un instrukcijai, pakalpojumiem, vienotajam ārkārtas palīdzības izsaukuma numuram “112”, preču un pakalpojumu iezīmēm, elementiem un funkcijām, kā arī funkcionālā snieguma kritērijus un atbilstības deklarācijas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atbilstības deklarācijas esamību, skaidri nenosakot atbilstības novērtēšanas procesu. Iekļaujams regulējums preču un pakalpojumu atbilstības novērtēšanai vai testēšanai. (Cita starpā var tikt paredzēti arī mērķa grupas lietotāju testi).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ar VARAM. Regulējums preču atbilstības novērtēšanas procesam jau ir iekļauts Preču un pakalpojumu piekļūstamības likumā, tādēļ to nav nepieciešams vēlreiz atrunāt MK noteikumos. Proti, preces atbilstības novērtēšanas process, ražotāja pienākumi un tehniskās dokumentācijas sagatavošanas nosacījumi atrunāti Preču un pakalpojumu piekļūstamības likuma 6. un 7.pantā, tāpat minētā likuma 16.pants nosaka prasības atbilstības deklarācijas sagatavošanai. Regulējums atbilst Direktīvas 2019/882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piekļūstamības prasības precēm, preces iepakojumam un instrukcijai, pakalpojumiem, vienotajam ārkārtas palīdzības izsaukuma numuram “112”, preču un pakalpojumu iezīmēm, elementiem un funkcijām, kā arī funkcionālā snieguma kritērijus un atbilstības deklarācijas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Preces lietotāja saskarnei nodrošina tādu funkcionalitāti, elementus un iespējas, kas personām ar invaliditāti ļauj precei piekļūt, to uztvert, lietot, saprast un vadīt, nodrošinot,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Eiropas Parlamenta un Padomes 2019. gada 17. aprīļa direktīvas (ES) 2019/882 par produktu un pakalpojumu piekļūstamības prasībām (turpmāk - direktīva 2019/882) prasību korektu un pilnīgu pārņemšanu vai nepieciešamības gadījumā precizēt projektu, kā arī anotācijas 5.4. sadaļas 1. tabulā skaidrot, ja noteiktas stingrākas prasības, nekā paredz attiecīgā direktīvas norma.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4. punkts paredz, ka "</w:t>
            </w:r>
            <w:r w:rsidR="00000000" w:rsidRPr="00000000" w:rsidDel="00000000">
              <w:rPr>
                <w:u w:val="single"/>
                <w:rtl w:val="0"/>
              </w:rPr>
              <w:t xml:space="preserve">preces lietotāja saskarnei</w:t>
            </w:r>
            <w:r w:rsidR="00000000" w:rsidRPr="00000000" w:rsidDel="00000000">
              <w:rPr>
                <w:rtl w:val="0"/>
              </w:rPr>
              <w:t xml:space="preserve"> nodrošina tādu funkcionalitāti, elementus un iespējas, kas [..]", savukārt direktīvas I pielikuma I iedaļas 2. punkts paredz: "</w:t>
            </w:r>
            <w:r w:rsidR="00000000" w:rsidRPr="00000000" w:rsidDel="00000000">
              <w:rPr>
                <w:u w:val="single"/>
                <w:rtl w:val="0"/>
              </w:rPr>
              <w:t xml:space="preserve">Produkts, tostarp tā lietotāja saskarne</w:t>
            </w:r>
            <w:r w:rsidR="00000000" w:rsidRPr="00000000" w:rsidDel="00000000">
              <w:rPr>
                <w:rtl w:val="0"/>
              </w:rPr>
              <w:t xml:space="preserve">, ietver iespējas, elementus un funkcijas, 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4.15.1.6. apakšpunktā ietverta norāde uz piekļūstamības elementa </w:t>
            </w:r>
            <w:r w:rsidR="00000000" w:rsidRPr="00000000" w:rsidDel="00000000">
              <w:rPr>
                <w:u w:val="single"/>
                <w:rtl w:val="0"/>
              </w:rPr>
              <w:t xml:space="preserve">izmantošanu</w:t>
            </w:r>
            <w:r w:rsidR="00000000" w:rsidRPr="00000000" w:rsidDel="00000000">
              <w:rPr>
                <w:rtl w:val="0"/>
              </w:rPr>
              <w:t xml:space="preserve">, savukārt direktīvas 2019/882 I pielikuma I iedaļas 2. punkta "o" apakšpunkta "i" apakšpunkts - </w:t>
            </w:r>
            <w:r w:rsidR="00000000" w:rsidRPr="00000000" w:rsidDel="00000000">
              <w:rPr>
                <w:u w:val="single"/>
                <w:rtl w:val="0"/>
              </w:rPr>
              <w:t xml:space="preserve">ieslēgšanu</w:t>
            </w:r>
            <w:r w:rsidR="00000000" w:rsidRPr="00000000" w:rsidDel="00000000">
              <w:rPr>
                <w:rtl w:val="0"/>
              </w:rPr>
              <w:t xml:space="preserve"> ("varētu to ieslēgt");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5. punktā atšķirībā no direktīvas 2019/882 I pielikuma I iedaļas 3. punkta, nav ietverta norāde "ja tie ir pieejami" (proti, ja atbalsta pakalpojumi ir pieejami) (līdzīgi arī par pakalpojumiem projekta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4.9. apakšpunktā ietverta norāde "tālu sniegties", kaut direktīvas 2019/882 I pielikuma I iedaļas 2.punkta "i" apakšpunkts ietver norādi "pārlieku tālu sniegties";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15.3. apakšpunktā nav norādīts uz informācijas nosūtīšanu vispiemērotākai ārkārtas izsaukumu centrālei (sk. direktīvas 2019/882 I pielikuma IV iedaļas "a" apakšpunktu) (sk. arī projekta 23. punktu un direktīvas 2019/882 I pielikuma V iedaļu), kā arī skaidrojums par minēto nav ietverts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16.2. apakšpunktā ietverta norāde "kā arī </w:t>
            </w:r>
            <w:r w:rsidR="00000000" w:rsidRPr="00000000" w:rsidDel="00000000">
              <w:rPr>
                <w:u w:val="single"/>
                <w:rtl w:val="0"/>
              </w:rPr>
              <w:t xml:space="preserve">skaņa un video ir sinhronizēti</w:t>
            </w:r>
            <w:r w:rsidR="00000000" w:rsidRPr="00000000" w:rsidDel="00000000">
              <w:rPr>
                <w:rtl w:val="0"/>
              </w:rPr>
              <w:t xml:space="preserve">", kaut arī direktīvas 2019/882 I pielikuma IV iedaļas "b" punkta "ii" apakšpunkts, šķiet, ir plašāka satura un paredz "un ka</w:t>
            </w:r>
            <w:r w:rsidR="00000000" w:rsidRPr="00000000" w:rsidDel="00000000">
              <w:rPr>
                <w:u w:val="single"/>
                <w:rtl w:val="0"/>
              </w:rPr>
              <w:t xml:space="preserve"> tie ir sinhronizēti ar skaņu un video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direktīvas 2019/882 I pielikuma IV iedaļas "c" punkta "ii" apakšpunkta izriet, ka kustības saraksti, informācija par satiksmes traucējumiem, savienojumiem, turpmākas ceļošanas iespējām ar citiem transporta veidiem ir tikai reāllaika ceļošanas informācijas piemēri, kas, šķiet, neizriet no projekta 17.2. apakšpunkta formulējuma, ņemot vērā, ka nav norādes uz piemērveida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21.1. apakšpunktā nav direktīvas 2019/882 I pielikuma IV iedaļas "g" punkta "i" apakšpunktā ietvertajai norādei "ja šādu informāciju ir sniedzis atbildīgais uzņēmējs" saturiski atbilstoša norāde, tādējādi, šķiet, paredzot stingrāku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27. punktā, ņemot vērā saikļa "kā arī" izmantošanu, šķiet, arī tiek faktiski noteikta stingrāka prasība, jo no direktīvas 2019/882 I pielikuma VII iedaļas otrās daļas vārdiem "un tas nozīmē", šķiet, izriet, ka tas ir secinājums, kas izriet no normā iepriekš minētā, nevis atsevišķs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un sniegt skaidrojumus, tostarp anotācijas 5.4. sadaļas 1. tabulā, vai arī veikt precizējumus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Precei, tai skaitā tās lietotāja saskarnei, nodrošina tādu funkcionalitāti, elementus un iespējas, kas personām ar invaliditāti ļauj precei piekļūt, to uztvert, lietot, saprast un vadīt, nodrošinot,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Piekļūstamības prasības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projektā paredzēts regulēt piekļūstamības tehniskos aspektus, kas noteikti standartu līmenī. Lūdzu aizstāt šīs dublējošās prasības ar atsauci uz attiecīgiem standartiem, kuros prasības regulētas pilnīgāk un precīzāk.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juridiskās tehniskas piemērs ir Ministru kabineta 2020. gada 14. jūlija noteikumu Nr. 445 "Kārtība, kādā iestādes ievieto informāciju internetā" 27.punktā. Informējam, ka e-piekļūstamības jomā VARAM ir ieteikusi Latvijas Nacionālā standartizācijas institūcijai SIA „Latvijas standarts” publicēt standartus LVS EN ISO 9241-210:2019 "Cilvēka un sistēmas mijiedarbības ergonomika. 210.daļa: Cilvēkorientēta interaktīvo sistēmu projektēšana (ISO 9241-210:2019)" un LVS EN 301549:2021 "IKT produktu un pakalpojumu pieejamības prasības". Tie pieejami šajā saitē: https://www.lvs.lv/lv/legislations/products/1119 )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ar VARAM. Transponējot direktīvas 2019/882 prasības, ES dalībvalstij nav rīcības brīvības patvaļīgi nepārņemt kādas direktīvas normas, aizstājot tās ar atsauci uz standartu. Eiropas Komisija ir norādījusi, ka Direktīvas normas ir jāpārņem pilnībā, savukārt harmonizētos standartus komersanti izmantos papildus jau tām prasībām, kas noteiktas nacionālajos tiesību aktos (jeb transponētos direktīvas nosacījumus). Preču un pakalpojumu piekļūstamības likums paredz, ka ražotājam un pakalpojumu sniedzējam ir pienākums ņemt vērā harmonizētos standartus (6.panta ceturtā daļa, 7.panta trešās daļas 2.punkts, 12.panta trešā un piektā daļa, 15.pants). Papildus informējam, ka Eiropas Komisija ir izdevusi jaunu harmonizācijas mandātu Eiropas standartizācijas organizācijām, lai direktīvā 2019/882 paredzētās normas skaidrotu detalizētāk (t.sk. prasības 112 tālrunim, prasības ne-digitālajiem pakalpojumiem (piem., pakalpojumu atbalsta dienestiem u.c.). Jaunais standarts varētu būt apstiprināts vienlaicīgi ar Direktīvas 2019/882 piemērošanas sākuma datumu (jeb datumu, kad stājas spēkā arī Preču un pakalpojumu piekļūstamības likums un šie MK noteikumi - 2025.gada 28.jūnijs)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Piekļūstamības prasības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pakalpojumus pēc iespējas vairāk lietotu personas ar invaliditāti, pakalpojumu sniegšanā, izņemot pilsētas pārvadājumu pakalpojumus un reģionālo pārvadājumu pakalpojumus, ievēro šajā nodaļā noteiktās piekļūstamības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pielikuma III iedaļa (vispārīgās prasības visiem pakalpojumiem) attiecas uz tādiem pakalpojumiem, kuri minēti direktīvas 2.panta 2.punktā. Šajā direktīvas normā nav noteikts tāds izņēmums, kāds norādīts Noteikumu projekta 9.punktā, proti,  jebkādi pilsētas pārvadājumu pakalpojumi un reģionālo pārvadājumu pakalpojumi, bet gan direktīvā ir paredzēts šaurāks izņēmums, proti, tikai tādi pilsētu, piepilsētu un reģionālo pārvadājumu pakalpojumi, kuri skar tikai pašapkalpošanās termināļu izmantošanu, turklāt tikai tādu termināļu izmantošanu, kuri nav integrēti pārvadājumu pakalpojumu transportā, kā to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9.punktu ir priekšlikums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pakalpojumus pēc iespējas vairāk lietotu personas ar invaliditāti, pakalpojumu sniegšanā, izņemot ārējos interaktīvos pašapkalpošanās termināļus pilsētas pārvadājumu un reģionālo pārvadājumu pakalpojumiem, ievēro šajā nodaļā noteiktās piekļūstamības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pakalpojumus pēc iespējas vairāk lietotu personas ar invaliditāti, pakalpojumu sniegšanā, izņemot ārējos interaktīvos pašapkalpošanās termināļus pilsētas pārvadājumu un reģionālo pārvadājumu pakalpojumiem, ievēro šajā nodaļā noteiktās piekļūstamības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9.punkta redakcija, precīzi pārņemot Direktīvas 20198/882 1.pielikuma III iedaļas ievaddaļu.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pakalpojumus pēc iespējas vairāk lietotu personas ar invaliditāti, pakalpojumu sniegšanā, izņemot šo noteikumu </w:t>
            </w:r>
            <w:r w:rsidR="00000000" w:rsidRPr="00000000" w:rsidDel="00000000">
              <w:rPr>
                <w:rtl w:val="0"/>
              </w:rPr>
              <w:t xml:space="preserve">18.</w:t>
            </w:r>
            <w:r w:rsidR="00000000" w:rsidRPr="00000000" w:rsidDel="00000000">
              <w:rPr>
                <w:rtl w:val="0"/>
              </w:rPr>
              <w:t xml:space="preserve">punkt</w:t>
            </w:r>
            <w:r w:rsidR="00000000" w:rsidRPr="00000000" w:rsidDel="00000000">
              <w:rPr>
                <w:rtl w:val="0"/>
              </w:rPr>
              <w:t xml:space="preserve">ā minētos pašapkalpošanās termināļus, ievēro šajā nodaļā noteiktās piekļūstamības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Preci vai pakalpojumu, kura iezīmes, elementi vai funkcijas atbilst šajā punktā noteiktajām piekļūstamības prasībām, prezumē par atbilstošu piekļūstamības prasībām, kas noteiktas citos tieši piemērojamos Eiropas Savienības tiesību aktos un nacionālajos normatīvajos aktos, ar kuriem pārņemtas Eiropas Savienības tiesību aktu prasības, attiecībā uz minētajām iezīmēm, elementiem vai funkcijām, ja vien citos Eiropas Savienības tiesību aktos nav paredzētas atšķirīgas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projekta 24. punkta formulējumu un to precizēt. Pirmkārt, nav saprotama un korekta frāze projekta 24. punktā uz "citiem" tieši piemērojamiem Eiropas Savienības tiesību aktiem, ņemot vērā, ka noteikumu projekts ir nacionālais normatīvais akts - Ministru kabineta noteikumu projekts (proti, noteikumi nav Eiropas Savienības tiesību akts). Turklāt norādām, ka saskaņā ar noteikumu Nr. 108 137. punktu noteikumu projektā, ja nepieciešams, raksta atsauci, kas norāda uz nacionālajiem normatīvajiem aktiem </w:t>
            </w:r>
            <w:r w:rsidR="00000000" w:rsidRPr="00000000" w:rsidDel="00000000">
              <w:rPr>
                <w:u w:val="single"/>
                <w:rtl w:val="0"/>
              </w:rPr>
              <w:t xml:space="preserve">noteiktā jomā</w:t>
            </w:r>
            <w:r w:rsidR="00000000" w:rsidRPr="00000000" w:rsidDel="00000000">
              <w:rPr>
                <w:rtl w:val="0"/>
              </w:rPr>
              <w:t xml:space="preserve">. Attiecīgi lūdzam precizēt projektu, norādot konkrētu normatīvo aktu jomu. Otrkārt, paužam bažas, ka 24. punkts ir sarežģīti konstruēts un attiecīgi grūti uztverams. Attiecīgi aicinām izvērtēt iespēju to vienkāršot, piemēram, izsakot divos atsevišķos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panākta vienošanās par esošo redakciju. Noteikumu 24.punkts veidots, pārņemot Direktīvas 20149/882 24. panta 2. punktu un I.pielikuma VI iedaļu. Šādu redakciju Tieslietu ministrija saskaņoja, kad tā bija iekļauta Preču un pakalpojumu piekļūstamības likumā (bet pēc 2.lasījuma tika tehniski izslēgta, nolemjot to iekļaut MK noteikumu projektā). Direktīvā minētie "citi ES tiesību akti" pēc TM ieteikuma tika pārveidoti par "citos tieši piemērojamos Eiropas Savienības tiesību aktos un nacionālajos normatīvajos aktos", ņemot vērā, ka punkts attiecināms cita starpā arī uz Regulām, kuras ir tieši piemērojamas. </w:t>
            </w:r>
            <w:r w:rsidR="00000000" w:rsidRPr="00000000" w:rsidDel="00000000">
              <w:rPr>
                <w:b w:val="1"/>
                <w:rtl w:val="0"/>
              </w:rPr>
              <w:t xml:space="preserve">Eiropas Komisija ne direktīvas tekstā, ne konsultāciju procesā nedeva konkrētu ES tiesību aktu uzskaitījumu, līdz ar to Latvija nevar šeit dot konkrētāku tiesību aktu uzskaitījumu, jo tāds nav dots arī Direktīvas tekstā.</w:t>
            </w:r>
            <w:r w:rsidR="00000000" w:rsidRPr="00000000" w:rsidDel="00000000">
              <w:rPr>
                <w:rtl w:val="0"/>
              </w:rPr>
              <w:t xml:space="preserve"> Tomēr individuāli sazinoties ar Eiropas Komisiju, tā deva skaidrojumu, ka</w:t>
            </w:r>
            <w:r w:rsidR="00000000" w:rsidRPr="00000000" w:rsidDel="00000000">
              <w:rPr>
                <w:b w:val="1"/>
                <w:rtl w:val="0"/>
              </w:rPr>
              <w:t xml:space="preserve"> “</w:t>
            </w:r>
            <w:r w:rsidR="00000000" w:rsidRPr="00000000" w:rsidDel="00000000">
              <w:rPr>
                <w:u w:val="single"/>
                <w:rtl w:val="0"/>
              </w:rPr>
              <w:t xml:space="preserve">citi Eiropas Savienības tiesību akti” ir tādi Eiropas Savienības tiesību akti, kas satur piekļūstamības prasības attiecībā, piemēram, uz Eiropas Savienības fondu izmantošanu vai publiskajiem iepirkumiem, kā arī vispārīgus noteikumus par noteiktu preču, pakalpojumu vai infrastruktūras piekļūstamību, kas ne vienmēr ietilpst Direktīvas 2019/882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Preci vai pakalpojumu, kura iezīmes, elementi vai funkcijas atbilst šajā punktā noteiktajām piekļūstamības prasībām, prezumē par atbilstošu piekļūstamības prasībām, kas noteiktas citos tieši piemērojamos Eiropas Savienības tiesību aktos un nacionālajos normatīvajos aktos, ar kuriem pārņemtas Eiropas Savienības tiesību aktu prasības, attiecībā uz minētajām iezīmēm, elementiem vai funkcijām, ja vien iepriekš minētajos tiesību aktos nav paredzētas atšķirīgas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 saskaņotajiem standartiem, uz kuriem atsauces ir publicētas Eiropas Savienības Oficiālajā Vēstnesī, vai atbilstība Eiropas Komisijas noteiktajām tehniskajām specifikācijām, rada atbilstības prezumpciju saskaņā ar šo noteikumu 24. punktu, ciktāl minētie standarti un tehniskās specifikācijas vai to daļas atbilst šajos noteikumos noteiktajām piekļūstamības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25. punkts, šķiet, saturiski dublē Preču un pakalpojumu piekļūstamības likuma 15. panta pirmo un otro daļu. Vēršam uzmanību, ka saskaņā ar noteikumu Nr. 108 3.2. apakšpunktu normatīvā akta projektā neietver normas, kas dublē augstāka vai tāda paša spēka normatīvā akta tiesību normās ietverto normatīvo regulējumu. Papildus norādām, ka informācija par to, kura konkrētā direktīvas norma ir pārņemta projektā, anotācijas 5.4. sadaļas 1. tabulā nav ietverta. Attiecīgi lūdzam projekta 25. punktu svītrot vai sniegt skaidrojumu, tostarp korekti aizpildot anotācijas 5. sadaļas 1. tabulu, norādot, kāda direktīvas 2019/882 norma ir pārņemta projekta 25. punktā. Papildus norādām, ka nav skaidrs, par kādām Eiropas Komisijas noteiktajām tehniskajām specifikācijām ir runa (proti, kur tās noteiktas un vai ir juridiski saistošas privātpersonām),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Preču un pakalpojumu piekļūstamības likuma 15.pants transponē direktīvas 2019/882 15.pantu, savukārt Noteikumu projekta 25.punkts transponē Direktīvas 2019/882 25.pantu.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 Preču un pakalpojumu piekļūstamības likuma 15.pantā minētajiem saskaņotajiem standartiem un tehniskajām specifikācijām vai to daļām rada atbilstības prezumpciju saskaņā ar šo noteikumu 24.punktu, ciktāl minētie saskaņotie standarti un tehniskās specifikācijas vai to daļas atbilst šajos noteikumos noteiktajām piekļūstamības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deklarācijas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aktualitāti un izsekojamību atbilstības deklarācijā norādītajam, atbilstības deklarācija papildināma ar norādi uz datumu, kad veikts atbilstības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deklarācijas sagatavošanas datums norādīts 8.1.apakšpunktā.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deklarācijas paraugs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deklarācijas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izmantot vienveidīgu terminoloģiju. Piemēram: 1) projekta pielikuma 5. punktā izmantots termins "piemērojamie standarti", savukārt projekta 25. punktā - "saskaņotie standarti"; 2) projekta 11.1. apakšpunktā paredzēts, ka "informācija ir uztverama", savukārt 3.1.1. apakšpunktā ir runa par informācijas pieejamību, taču direktīvas 2019/882 attiecīgajās normās, kas ir pārņemtas iepriekš minētajās projekta vienībās, tiek lietots vienāds termins (proti, "uztverama").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precizētas, lai būtu vienveidīgi. Šo jēdzienu tulkojums veidots iespējami tuvu direktīvas angļu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made available (</w:t>
            </w:r>
            <w:r w:rsidR="00000000" w:rsidRPr="00000000" w:rsidDel="00000000">
              <w:rPr>
                <w:b w:val="1"/>
                <w:i w:val="1"/>
                <w:rtl w:val="0"/>
              </w:rPr>
              <w:t xml:space="preserve">pieejams</w:t>
            </w:r>
            <w:r w:rsidR="00000000" w:rsidRPr="00000000" w:rsidDel="00000000">
              <w:rPr>
                <w:rtl w:val="0"/>
              </w:rPr>
              <w:t xml:space="preserve">) via more than one sensory channel;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presented in an understandable (</w:t>
            </w:r>
            <w:r w:rsidR="00000000" w:rsidRPr="00000000" w:rsidDel="00000000">
              <w:rPr>
                <w:b w:val="1"/>
                <w:i w:val="1"/>
                <w:rtl w:val="0"/>
              </w:rPr>
              <w:t xml:space="preserve">saprotams</w:t>
            </w:r>
            <w:r w:rsidR="00000000" w:rsidRPr="00000000" w:rsidDel="00000000">
              <w:rPr>
                <w:rtl w:val="0"/>
              </w:rPr>
              <w:t xml:space="preserve">) way;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presented to users in ways they can perceive (</w:t>
            </w:r>
            <w:r w:rsidR="00000000" w:rsidRPr="00000000" w:rsidDel="00000000">
              <w:rPr>
                <w:b w:val="1"/>
                <w:i w:val="1"/>
                <w:rtl w:val="0"/>
              </w:rPr>
              <w:t xml:space="preserve">uztverams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deklarācijas paraugs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deklarācijas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pielikuma 4. punktu precizēt atbilstoši noteikumu Nr. 108 137. punktam, kas noteic, ka noteikumu projektā, ja nepieciešams, raksta atsauci, kas norāda uz normatīvajiem aktiem noteiktā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panākta vienošanās par esošo redakciju. Preču un pakalpojumu piekļūstamības likuma 16.panta trešā daļa nosaka, ka, ja uz preci attiecas vairāki normatīvie akti, kas nosaka atbilstības deklarācijas nepieciešamību, sagatavo vienu atbilstības deklarāciju par visiem piemērojamiem normatīvajiem aktiem. Atbilstības deklarācijā norāda attiecīgos normatīvos aktus un atsauces uz to publikācijām.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būtu riskanti šeit dot konkrētu normatīvo aktu uzskaitījumu, jo šāds normatīvo aktu uzskaitījums var kļūt nepilnīgs laikam ejot. Piemēram, datoram jāatbilst han elektrodrošības prasībām, gan piekļūstamības prasībām, gan radiotehnikas prasībām utt. Jaunas prasības nāk klāt laika gaitā. Tādēļ nebūtu pamatoti šeit dot konkrētu normatīvo aktu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deklarācijas paraugs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noteikumu projekta izpildē iesaistītās institūcijas noteikumu projektā paredzēto pasākumu īstenošanu nodrošinās tām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sadaļas risinājuma aprakstā skaidrot arī projekta pielikuma nepieciešamību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atbilstības izmaksas mērķgrupai atbilstoši Vadlīnijām tiesību akta projekta sākotnējās ietekmes novērtēšanai un novērtējuma ziņojuma sagatavošanai vienotajā tiesību aktu izstrādes un saskaņošanas portālā. Skatīt: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norādīts Patērētāju tiesību aizsardzības centram Preču un pakalpojumu piekļūstamības likumā un noteikumos noteikto uzraudzības un kontroles pienākumu veikšanai  papildu nepieciešamais finansējums 2024.gadā 97 150 euro apmērā, 2025.gadā 94 404 euro apmērā un 2026.gadā 100 292 euro apmērā, bet nav sniegta informācija par plānoto finansēšanas avotu. Norādām, ka nav atbalstāma tādu projektu pieņemšana, kuru īstenošana var netikt nodrošināta nepietiekamā finansējuma dēļ, attiecīgi noteikumu projekta tālāka virzība ir atbalstāma tikai gadījumā, ja Ministru kabinetā likumprojekta “Par valsts budžetu 2024. gadam un budžeta ietvaru 2024., 2025. un 2026. gadam” sagatavošanas procesā tiks atbalstīts Ekonomijas ministrijas iesniegtais prioritārais pasākums  12_12_P “Patērētāju tiesību aizsardzības centra administratīvās kapacitātes stiprināšana, īpaši ekodizaina, digitālo tirgu un jauno tehnoloģiju uzraudzības nodrošināšanai un patērētāju kolektīvo interešu aizstāvībai” un piešķirts papildu nepieciešamais finansējums vai arī Ekonomijas ministrija (Patērētāju tiesību aizsardzības centrs) noteikumu projektā noteikto normu izpildi nodrošinās piešķirto valsts budžeta līdzekļu ietvaros, ievērojot, ka Patērētāju tiesību aizsardzības centram noteiktie tirgus uzraudzības iestādes pienākumi ir jau paredzēti Preču un pakalpojumu piekļūstamības likumā. Ņemot vērā minēto, lūdzam precizēt un papildināt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Preču un pakalpojumu piekļūstamības likums un arī šis noteikumu projekts stāsies spēkā 2025.gada 28.jūnijā, lūdzam sniegt pamatojumu Patērētāju tiesību aizsardzības centram papildu finansējuma nepieciešamībai jau no 2024.gada 1.janvāra.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norādīts, ka noteikumu projektam ir ietekme uz valsts budžetu, taču nav aizpildīta 3.sadaļas tabula, lūdzam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9.19. apakšpunktu lūdzam precizēt vai papildināt projekta anotācijas 5.4. sadaļas 1. tabulu ar skaidrojumu par direktīvas Nr. 2019/882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skaidrojumu minētajā tabulā sniegt detalizētākā veidā, nodrošinot, ka katram minētās direktīvas pantam vai panta daļai un apakšpunktam korespondē nacionāla normatīvā akta pants, panta daļa vai punkts, apakšpunkts, tādējādi nodrošinot, ka kāda no direktīvas prasībām nejaušības pēc nav palikusi nepārņemta vai veids, kādā to plāno pārņemt, nav neatbilstošs. Vēršam uzmanību, ka direktīvas pantiem ir apakšvienības, kā arī direktīvas pielikumiem ir apakšvienības (projektā īpaši norādām uz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netiek pārņemta kāda minētās direktīvas vienība, lūdzam konsekventi sniegt izvērstu skaidrojumu, kādēļ attiecīgā vienība nav jāpārņem;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aizpildīt visas ailes un neatstāt tās tukšas (proti, neatstāt simbolu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visu iepriekš minēto, papildus norādām, ka, kaut arī pilnīgāku vērtējumu par direktīvas normu pārņemšanu Tieslietu ministrija varēs sniegt pēc pilnīgākas un detalizētākas tabulas aizpildīšanas, tajā norādīta informācija dažviet jau ir nekorekta.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attiecībā uz direktīvas 2019/882 4. panta pārņemšanu norādām, ka projektam ir tikai viens pielikums, turklāt nav skaidrs, kā tieši tajā pārņemta kāda no direktīvas 4. panta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šobrīd no tabulā ietvertās informācijas izriet, ka neviena direktīvas 2019/882 3. panta norma nav pārņemta projektā, kaut arī, piemēram, direktīvas 3. panta 37. punkts, šķiet, ir pārņemts projekta 3.2.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attiecībā uz direktīvas 2019/882 16. panta pārņemšanu - nav skaidrs, kā tieši pants ir pārņemts projekta 8. punktā, turklāt projektam nav divu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nav skaidrs, kāda saistība ir direktīvas 2019/882 24. panta 2. punktam ar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nav skaidrs, kāda saistība ir direktīvas 2019/882 25. pantam ar projekta 7. 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aktualizēt tabulā norādīto informāciju, norādot nevis uz likumprojektu "Preču un pakalpojumu piekļūstamības likums", bet gan Preču un pakalpojumu piekļūstamības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ka direktīva Nr. 2019/882 paredz rīcības brīvību vēl vairākos gadījumos, kas nav skaidroti anotācijas 5.4. sadaļas 1. tabulā (sk., piemēram, direktīvas 31. panta 3. punktu), lūdzam atbilstoši noteikumu Nr. 617 9.19. apakšpunktam papildināt likumprojekta anotācijas 5.4. sadaļu, detalizēti aizpildot aili (sniedzot pamatojumu) par dalībvalsts rīcības brīvības izmantošanu, norādot konkrētās direktīvas normas, kas paredz rīcības brīvību, kādā veidā minētā rīcības brīvība ir izmantota projektā, un to, kādēļ ir vai nav izmantota direktīvā Nr. 2019/882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visbeidzot, aicinām novērst neuzmanības kļūdu, proti, tabulā norādīts, ka direktīvas 2019/882 IV pielikums pārņemts direktīvas 2019/882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anotācijas precizēšanas, nepieciešamības gadījumā lūdzam precizēt arī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sagatavota, izmantojot atbilstoša lieluma un piemērotas formas burtus, ņemot vērā paredzamos lietošanas apstākļus un izmantojot pietiekamu kontrastu, kā arī pielāgojamus attālumus starp burtiem, rindām un rindkopām;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3.1.3. punkta daļu, sākot ar vārdiem "kā arī", tā kā šī daļa ir attiecināma tikai uz digitāli pasniegtu informāciju, par kuru tiek runāts 3.2.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sagatavota, izmantojot atbilstoša lieluma un piemērotas formas burtus, ņemot vērā paredzamos lietošanas apstākļus un izmantojot pietiekamu kontrastu;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saskaņošanas sanāksmē. Daļēji ņemts vērā. Noteikumu projekta norma netiek mainīta, taču Anotācija pievienots skaidrojums, ka pielāgojams attālums starp burtiem, rindām un rindkopām būs iespējams tādai lietošanas informācijai, kas sniegta pašā precē, piemēram, datorā vai viedtālrunī.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sagatavota, izmantojot atbilstoša lieluma un piemērotas formas burtus, ņemot vērā paredzamos lietošanas apstākļus un izmantojot pietiekamu kontrastu, kā arī pielāgojamus attālumus starp burtiem, rindām un rindkopām;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pieejama tādos teksta formātos, no kuriem var ģenerēt alternatīvus palīgformātus, kurus var attēlot dažādos veidos un izmantojot vairāk nekā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3.2.4. punktu, tā kā punktā minētā "vairāk nekā viena sensorā kanāla" izmantošana ir attiecināma tieši uz informācijas uztveršanu, nevis uztveršanai domātā teksta ģenerēšanas veidiem un formātiem.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pieejama tādos teksta formātos, no kuriem var ģenerēt alternatīvus palīgformātus, kurus var attēlot dažādos veidos, un </w:t>
            </w:r>
            <w:r w:rsidR="00000000" w:rsidRPr="00000000" w:rsidDel="00000000">
              <w:rPr>
                <w:b w:val="1"/>
                <w:u w:val="single"/>
                <w:rtl w:val="0"/>
              </w:rPr>
              <w:t xml:space="preserve">uztvert</w:t>
            </w:r>
            <w:r w:rsidR="00000000" w:rsidRPr="00000000" w:rsidDel="00000000">
              <w:rPr>
                <w:rtl w:val="0"/>
              </w:rPr>
              <w:t xml:space="preserve">, izmantojot vairāk nekā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pieejama tādos teksta formātos, no kuriem var ģenerēt alternatīvus palīgformātus, kurus var attēlot dažādos veidos, un uztvert, izmantojot vairāk nekā vienu sensoro kanālu;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precē informācijas sniegšanai, norādīšanai uz kādu darbību, atbildes pieprasīšanai vai elementu identificēšanai izmanto krāsu, tad nodrošina alternatīvu krāsai;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Izteiksmes skaidrībai, 4.4. punktu lūdzam papildināt ar vārdu "pamatkrāsai" un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precē informācijas sniegšanai, norādīšanai uz kādu darbību, atbildes pieprasīšanai vai elementu identificēšanai izmanto krāsu, tad nodrošina </w:t>
            </w:r>
            <w:r w:rsidR="00000000" w:rsidRPr="00000000" w:rsidDel="00000000">
              <w:rPr>
                <w:b w:val="1"/>
                <w:u w:val="single"/>
                <w:rtl w:val="0"/>
              </w:rPr>
              <w:t xml:space="preserve">pamatkrāsai </w:t>
            </w:r>
            <w:r w:rsidR="00000000" w:rsidRPr="00000000" w:rsidDel="00000000">
              <w:rPr>
                <w:rtl w:val="0"/>
              </w:rPr>
              <w:t xml:space="preserve">alternatīvu krāsu;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precē informācijas sniegšanai, norādīšanai uz kādu darbību, atbildes pieprasīšanai vai elementu identificēšanai izmanto krāsu, tad nodrošina pamatkrāsai alternatīvu krāsu;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precē informācijas sniegšanai, norādīšanai uz kādu darbību, atbildes pieprasīšanai vai elementu identificēšanai izmanto dzirdamus signālus, tad nodrošina alternatīvu dzirdamiem signāliem;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4.5.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precē informācijas sniegšanai, norādīšanai uz kādu darbību, atbildes pieprasīšanai vai elementu identificēšanai izmanto dzirdamus signālus, tad nodrošina </w:t>
            </w:r>
            <w:r w:rsidR="00000000" w:rsidRPr="00000000" w:rsidDel="00000000">
              <w:rPr>
                <w:b w:val="1"/>
                <w:u w:val="single"/>
                <w:rtl w:val="0"/>
              </w:rPr>
              <w:t xml:space="preserve">dzirdamiem signāliem alternatīvu informācijas pasniegšanas veidu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precē informācijas sniegšanai, norādīšanai uz kādu darbību, atbildes pieprasīšanai vai elementu identificēšanai izmanto dzirdamus signālus, tad nodrošina dzirdamiem signāliem alternatīvu informācijas pasniegšanas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prece neizraisa gaismjutīguma lēkmes;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personām ar, piemēram, autiskā spektra traucējumiem, lēkmes var izraisīt ne tikai pārmērīgs jutīgums pret gaismu, bet arī taktili kairinājumi, smarža, troksnis vai cita veida kairinājumi.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 neizraisa gaismjutīguma lēkmes vai nerada cita veida ietekmi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trokšņa kairinājumiem, informējam, ka noteikumu projekta 4.7.apakšpunkts paredz, ka, ja precē izmanto audio elementus, precei jānodrošina iespēja lietotājam kontrolēt skaļumu, ātrumu un paplašinātas audio funkcijas, tai skaitā apkārtējo traucējošu audio signālu samazināšanu un audio skaidrību. Minētās prasības attiecīgi nodrošinās lietošanas ērtības arī cilvēkiem ar autiskā spektra traucējumiem. Savukārt attiecībā uz cita veida VM priekšlikumā minētajiem kairinājumiem, piemēram, smaržu, vēršam uzmanību, ka saskaņā ar Saeimā pieņemto Preču un pakalpojumu piekļūstamības likumu, Latvija, transponējot direktīvas 2019/882 prasības, ir izvēlējusies pieeju pārņemt direktīvā noteiktās </w:t>
            </w:r>
            <w:r w:rsidR="00000000" w:rsidRPr="00000000" w:rsidDel="00000000">
              <w:rPr>
                <w:u w:val="single"/>
                <w:rtl w:val="0"/>
              </w:rPr>
              <w:t xml:space="preserve">obligātās </w:t>
            </w:r>
            <w:r w:rsidR="00000000" w:rsidRPr="00000000" w:rsidDel="00000000">
              <w:rPr>
                <w:rtl w:val="0"/>
              </w:rPr>
              <w:t xml:space="preserve">preču un pakalpojumu piekļūstamības prasības, taču neieviešot stingrākas prasības, kā paredz pati direktīva. Attiecīgi šobrīd nebūtu samērīgi uzlikt komersantiem par pienākumu nodrošināt papildu prasības, piemēram, preču smaržas kairinājumu novēršanu, ja šādas prasības direktīva neparedz.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prece neizraisa gaismjutīguma lēkmes;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pakalpojumus pēc iespējas vairāk lietotu personas ar invaliditāti, pakalpojumu sniegšanā ievēro šajā nodaļā noteiktās piekļūstamības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4.versijas apspriešanā PTAC norādīja uz to, ka 9.punkta izņēmums būtu precizējams, nevis izslēdzams pilnībā. 5.versijā šis izņēmums ir izslēgts, līdz ar to pēc būtības veidojas risks, ka attiecīgās prasības netiek pārņemtas atbilstoši direktīvas 2.panta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9.punktu ierosinām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pakalpojumus pēc iespējas vairāk lietotu personas ar invaliditāti, pakalpojumu sniegšanā, izņemot ārējos interaktīvos pašapkalpošanās termināļus pilsētas pārvadājumu un reģionālo pārvadājumu pakalpojumiem, ievēro šajā nodaļā noteiktās piekļūstamības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pakalpojumus pēc iespējas vairāk lietotu personas ar invaliditāti, pakalpojumu sniegšanā, izņemot šo noteikumu </w:t>
            </w:r>
            <w:r w:rsidR="00000000" w:rsidRPr="00000000" w:rsidDel="00000000">
              <w:rPr>
                <w:rtl w:val="0"/>
              </w:rPr>
              <w:t xml:space="preserve">18.</w:t>
            </w:r>
            <w:r w:rsidR="00000000" w:rsidRPr="00000000" w:rsidDel="00000000">
              <w:rPr>
                <w:rtl w:val="0"/>
              </w:rPr>
              <w:t xml:space="preserve">punkt</w:t>
            </w:r>
            <w:r w:rsidR="00000000" w:rsidRPr="00000000" w:rsidDel="00000000">
              <w:rPr>
                <w:rtl w:val="0"/>
              </w:rPr>
              <w:t xml:space="preserve">ā minētos pašapkalpošanās termināļus, ievēro šajā nodaļā noteiktās piekļūstamības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informācija ir uztverama, izmantojot vairāk nekā vienu sensoro kanālu; uztverama, izmantojot vairāk nekā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11.1. apakšpunktā frāze "uztverama, izmantojot vairāk nekā vienu sensoro kanālu" ietverta dubultā,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informācija ir pieejama, izmantojot vairāk nekā vienu sensoro kanālu;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informācija ir uztverama, izmantojot vairāk nekā vienu sensoro kanālu; uztverama, izmantojot vairāk nekā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(LAA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11.1.punktā teksts "uztverama, izmantojot vairāk nekā vienu sensoro kanālu" atkārtojas divas reizes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11.1.informācija ir uztverama, izmantojot vairāk nekā vienu sensoro kanālu; </w:t>
            </w:r>
            <w:r w:rsidR="00000000" w:rsidRPr="00000000" w:rsidDel="00000000">
              <w:rPr>
                <w:u w:val="single"/>
                <w:rtl w:val="0"/>
              </w:rPr>
              <w:t xml:space="preserve">uztverama, izmantojot vairāk nekā vienu sensoro kanālu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11.1 apakšpunktā izslēgt tekstu aiz pirmā semikola.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informācija ir pieejama, izmantojot vairāk nekā vienu sensoro kanālu;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informācija ir uztverama, izmantojot vairāk nekā vienu sensoro kanālu; uztverama, izmantojot vairāk nekā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11.1. punktā dublējošos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informācija ir uztverama, izmantojot vairāk nekā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informācija ir pieejama, izmantojot vairāk nekā vienu sensoro kanālu;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Elektronisko sakaru pakalpojumam, tai skaitā ārkārtas gadījuma saziņai, piemēro šādas piekļūstamības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2009.gada 3.februāra noteikumu Nr.108 “Normatīvo aktu projektu sagatavošanas noteikumi” 3.2.apakšpunktam normatīvā akta projektā neietver normas, kas dublē augstāka vai tāda paša spēka normatīvā akta tiesību normās ietverto normatīvo regulējumu. Aicinām precizēt projekta 15.punktu, ņemot vērā, ka Elektronisko sakaru likuma 19.panta otrās daļas 18.punktā elektronisko sakaru komersantam jau ir noteikts pienākums nodrošināt elektronisko sakaru pakalpojuma darbībā papildu funkcijas, kas paredzētas, lai apmierinātu personu ar invaliditāti vajadzības un nodrošinātu sadarbspēju ar palīgtehnoloģijām.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19.panta otrās daļas 18.punktā noteikti pienākumi elektronisko sakaru komersantam, tomēr šo noteikumu tvērumā ietvertās prasības attiecināmas ne tikai uz komersantiem, bet arī valsts pienākumu izpildi, t.i. atbildēšanu uz vienoto ārkārtas palīdzības izsaukuma numuru "112" (kas Preču un pakalpojumu piekļūstamības likuma un šo Noteikumu izpratnē arī ir elektronisko sakaru pakalpojums) kontekstā ar šo Noteikumu 23.punktu. Tādējādi būtu saglabājama Noteikumu 15.punkta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Elektronisko sakaru pakalpojumam, tai skaitā ārkārtas gadījuma saziņai, piemēro šādas piekļūstamības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nodrošina, ka informācija ir saprotama personām, kurām nav speciālu zināšanu tieslietās vai finanšu pakalpojumos, izvairās no specifiskiem terminiem, sarežģītām teikuma konstrukcijām un garām teksta rindkopām, kā arī dod priekšroku ikdienā lietojamiem vārdiem, vienkārši normētam un no pirmās izlasīšanas reizes uztveramam tekstam, kuru raksturo uz lasītāju vērsta informācijas secība darāmajā 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19.2.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nodrošina, ka informācija ir saprotama personām, kurām nav speciālu zināšanu tieslietās vai finanšu pakalpojumos, izvairās no specifiskiem terminiem, sarežģītām teikuma konstrukcijām un garām teksta rindkopām, kā arī dod priekšroku ikdienā lietojamiem vārdiem, </w:t>
            </w:r>
            <w:r w:rsidR="00000000" w:rsidRPr="00000000" w:rsidDel="00000000">
              <w:rPr>
                <w:b w:val="1"/>
                <w:u w:val="single"/>
                <w:rtl w:val="0"/>
              </w:rPr>
              <w:t xml:space="preserve">uz lasītāju vērstam, vienkārši normētam, </w:t>
            </w:r>
            <w:r w:rsidR="00000000" w:rsidRPr="00000000" w:rsidDel="00000000">
              <w:rPr>
                <w:b w:val="1"/>
                <w:u w:val="single"/>
                <w:rtl w:val="0"/>
              </w:rPr>
              <w:t xml:space="preserve">d</w:t>
            </w:r>
            <w:r w:rsidR="00000000" w:rsidRPr="00000000" w:rsidDel="00000000">
              <w:rPr>
                <w:b w:val="1"/>
                <w:u w:val="single"/>
                <w:rtl w:val="0"/>
              </w:rPr>
              <w:t xml:space="preserve">arā</w:t>
            </w:r>
            <w:r w:rsidR="00000000" w:rsidRPr="00000000" w:rsidDel="00000000">
              <w:rPr>
                <w:b w:val="1"/>
                <w:u w:val="single"/>
                <w:rtl w:val="0"/>
              </w:rPr>
              <w:t xml:space="preserve">majā kārtā izteiktam un no pirmās izlasīšanas reizes uztveramam tekstam.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nodrošina, ka informācija ir saprotama personām, kurām nav speciālu zināšanu tieslietās vai finanšu pakalpojumos, izvairās no specifiskiem terminiem, sarežģītām teikuma konstrukcijām un garām teksta rindkopām, kā arī dod priekšroku ikdienā lietojamiem vārdiem, uz lasītāju vērstam, vienkārši normētam, darāmajā kārtā izteiktam un no pirmās izlasīšanas reizes uztveramam tekstam.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Piekļūstamības prasības preču un pakalpojumu iezīmēm, elementiem un funkcijām saskaņā ar Eiropas Savienības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projekta VII. nodaļas nosaukumā frāzi "saskaņā ar Eiropas Savienības tiesību aktiem", ņemot vērā, ka tā nav nepieciešama un ir būtībā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panākta vienošanās par esošo redakciju. Atsauce uz ES tiesību aktiem ir saglabājama. Tāda dota arī Direktīvas 2019/882 24. un 25.pantā - jo šajā VII.nodaļā saturiski netiek definētas kādas pēc būtības jaunas prasības preču un pakalpojumu iezīmēm, elementiem un funkcijām. Bet gan tiek atrunāta tāda kā atbilstības prezumpcija - ja izpilda to, kas aprakstīts MK noteikumos, tad var uzskatīt, ka tas rada atbilstību arī ar citiem ES tiesību aktiem, tehniskajām specifikācijām utml. Lai tiesību normu piemērotājiem būtu skaidrība, atsauce uz ES tiesību aktiem ir saglabājama.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Piekļūstamības prasības preču un pakalpojumu iezīmēm, elementiem un funkcijām saskaņā ar Eiropas Savienības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 saskaņotajiem standartiem, uz kuriem atsauces ir publicētas Eiropas Savienības Oficiālajā Vēstnesī, vai atbilstība Eiropas Komisijas noteiktajām tehniskajām specifikācijām, kas pieņemtas saskaņā ar Preču un pakalpojumu piekļūstamības likuma 15. pantu, rada atbilstības prezumpciju saskaņā ar šo noteikumu 24. punktu, ciktāl minētie saskaņotie standarti un tehniskās specifikācijas vai to daļas atbilst šajos noteikumos noteiktajām piekļūstamības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redakcionāli precizēt projekta 25. punktu, norādot nevis uz tehniskajām specifikācijām, kas </w:t>
            </w:r>
            <w:r w:rsidR="00000000" w:rsidRPr="00000000" w:rsidDel="00000000">
              <w:rPr>
                <w:u w:val="single"/>
                <w:rtl w:val="0"/>
              </w:rPr>
              <w:t xml:space="preserve">pieņemtas</w:t>
            </w:r>
            <w:r w:rsidR="00000000" w:rsidRPr="00000000" w:rsidDel="00000000">
              <w:rPr>
                <w:rtl w:val="0"/>
              </w:rPr>
              <w:t xml:space="preserve"> saskaņā ar Preču un pakalpojumu piekļūstamības likuma 15. pantu, bet gan </w:t>
            </w:r>
            <w:r w:rsidR="00000000" w:rsidRPr="00000000" w:rsidDel="00000000">
              <w:rPr>
                <w:u w:val="single"/>
                <w:rtl w:val="0"/>
              </w:rPr>
              <w:t xml:space="preserve">minētas</w:t>
            </w:r>
            <w:r w:rsidR="00000000" w:rsidRPr="00000000" w:rsidDel="00000000">
              <w:rPr>
                <w:rtl w:val="0"/>
              </w:rPr>
              <w:t xml:space="preserve"> Preču un pakalpojumu piekļūstamības likuma 15. pantā. Papildus norādām, ka tieši tehniskās specifikācijas ir minētas 15. panta otrajā daļā. Aicinām arī, ņemot vērā, ka 15. pantā ir minēti gan saskaņotie standarti, gan tehniskās specifikācijas, un atsauce pēc būtības, šķiet, būtu attiiecināma uz abiem, izvērtēt iespēju atsauci uz Preču un pakalpojumu piekļūstamības likuma 15. pantu novietot normas sākuma daļā, piemēram, šādi: "</w:t>
            </w:r>
            <w:r w:rsidR="00000000" w:rsidRPr="00000000" w:rsidDel="00000000">
              <w:rPr>
                <w:i w:val="1"/>
                <w:rtl w:val="0"/>
              </w:rPr>
              <w:t xml:space="preserve">Atbilstība </w:t>
            </w:r>
            <w:r w:rsidR="00000000" w:rsidRPr="00000000" w:rsidDel="00000000">
              <w:rPr>
                <w:i w:val="1"/>
                <w:u w:val="single"/>
                <w:rtl w:val="0"/>
              </w:rPr>
              <w:t xml:space="preserve">Preču un pakalpojumu piekļūstamības likuma 15. pantā minētajiem saskaņotajiem standartiem vai tehniskajām specifikācijām</w:t>
            </w:r>
            <w:r w:rsidR="00000000" w:rsidRPr="00000000" w:rsidDel="00000000">
              <w:rPr>
                <w:i w:val="1"/>
                <w:rtl w:val="0"/>
              </w:rPr>
              <w:t xml:space="preserve"> rada atbilstības prezumpciju [..]</w:t>
            </w:r>
            <w:r w:rsidR="00000000" w:rsidRPr="00000000" w:rsidDel="00000000">
              <w:rPr>
                <w:rtl w:val="0"/>
              </w:rPr>
              <w:t xml:space="preserve">." Papildus norādām, ka 25. punktā pārņemtajā Eiropas Parlamenta un Padomes 2019. gada 17. aprīļa direktīvas (ES) 2019/882 par produktu un pakalpojumu piekļūstamības prasībām 25. panta sākuma daļā lietots saiklis "un", nevis "vai", kā arī ietverta norāde ne tikai uz standartiem un specifikācijām, bet arī to daļām ("</w:t>
            </w:r>
            <w:r w:rsidR="00000000" w:rsidRPr="00000000" w:rsidDel="00000000">
              <w:rPr>
                <w:i w:val="1"/>
                <w:rtl w:val="0"/>
              </w:rPr>
              <w:t xml:space="preserve">saskaņotajiem standartiem </w:t>
            </w:r>
            <w:r w:rsidR="00000000" w:rsidRPr="00000000" w:rsidDel="00000000">
              <w:rPr>
                <w:i w:val="1"/>
                <w:u w:val="single"/>
                <w:rtl w:val="0"/>
              </w:rPr>
              <w:t xml:space="preserve">un</w:t>
            </w:r>
            <w:r w:rsidR="00000000" w:rsidRPr="00000000" w:rsidDel="00000000">
              <w:rPr>
                <w:i w:val="1"/>
                <w:rtl w:val="0"/>
              </w:rPr>
              <w:t xml:space="preserve"> tehniskajām specifikācijām </w:t>
            </w:r>
            <w:r w:rsidR="00000000" w:rsidRPr="00000000" w:rsidDel="00000000">
              <w:rPr>
                <w:i w:val="1"/>
                <w:u w:val="single"/>
                <w:rtl w:val="0"/>
              </w:rPr>
              <w:t xml:space="preserve">vai to daļām</w:t>
            </w:r>
            <w:r w:rsidR="00000000" w:rsidRPr="00000000" w:rsidDel="00000000">
              <w:rPr>
                <w:i w:val="1"/>
                <w:rtl w:val="0"/>
              </w:rPr>
              <w:t xml:space="preserve">"</w:t>
            </w:r>
            <w:r w:rsidR="00000000" w:rsidRPr="00000000" w:rsidDel="00000000">
              <w:rPr>
                <w:rtl w:val="0"/>
              </w:rPr>
              <w:t xml:space="preserve">) (salīdzinājumam sk. projekta 25. punkta beigu daļu). Attiecīgi aicinām izvērtēt un, ja nepieciešams precizēt normu, to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 Preču un pakalpojumu piekļūstamības likuma 15.pantā minētajiem saskaņotajiem standartiem un tehniskajām specifikācijām vai to daļām rada atbilstības prezumpciju saskaņā ar šo noteikumu 24.punktu, ciktāl minētie saskaņotie standarti un tehniskās specifikācijas vai to daļas atbilst šajos noteikumos noteiktajām piekļūstamības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 saskaņotajiem standartiem, uz kuriem atsauces ir publicētas Eiropas Savienības Oficiālajā Vēstnesī, vai atbilstība Eiropas Komisijas noteiktajām tehniskajām specifikācijām, rada atbilstības prezumpciju saskaņā ar šo noteikumu 24. punktu, ciktāl minētie saskaņotie standarti un tehniskās specifikācijas vai to daļas atbilst šajos noteikumos noteiktajām piekļūstamības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nepieciešamību un iespēju tiesiskās noteiktības labad precizēt projekta 25. punktu, konkretizējot, par kādām tieši Eiropas Komisijas noteiktajām tehniskajām specifikācijām ir runa. Norādām, ka šobrīd nav skaidrs, kas tās ir par tehniskajām specifikācijām, kur Eiropas Komisija tās noteikusi un vai tās ir juridiski saistošas privātpersonām. Par minēto skaidrojums nav ietverts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2019/882 25. pantā ir norāde uz "</w:t>
            </w:r>
            <w:r w:rsidR="00000000" w:rsidRPr="00000000" w:rsidDel="00000000">
              <w:rPr>
                <w:i w:val="1"/>
                <w:rtl w:val="0"/>
              </w:rPr>
              <w:t xml:space="preserve">[..] saskaņotajiem standartiem un tehniskajām specifikācijām vai to daļām, </w:t>
            </w:r>
            <w:r w:rsidR="00000000" w:rsidRPr="00000000" w:rsidDel="00000000">
              <w:rPr>
                <w:i w:val="1"/>
                <w:u w:val="single"/>
                <w:rtl w:val="0"/>
              </w:rPr>
              <w:t xml:space="preserve">kas ir pieņemti saskaņā ar 15. pantu</w:t>
            </w:r>
            <w:r w:rsidR="00000000" w:rsidRPr="00000000" w:rsidDel="00000000">
              <w:rPr>
                <w:rtl w:val="0"/>
              </w:rPr>
              <w:t xml:space="preserve">". Direktīvas 2019/882 15. pants ir pārņemts Preču un pakalpojumu piekļūstamības likuma 15. pantā. Ņemot vērā minēto, projekta 25. punktā, šķiet, domātas tieši tehniskās specifikācijas, kuras Eiropas Komisija ar īstenošanas aktiem noteikusi Preču un pakalpojumu piekļūstamības likumā noteiktajām precēm un pakalpojumiem. Attiecīgi aicinām izvērtēt iespēju precizēt normu, norādot uz Preču un pakalpojumu piekļūstamības likuma 15. pantā minētajiem saskaņotajiem standartiem un tehniskajām specifikācijām, vai kā citādi atbilstoši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 Preču un pakalpojumu piekļūstamības likuma 15.pantā minētajiem saskaņotajiem standartiem un tehniskajām specifikācijām vai to daļām rada atbilstības prezumpciju saskaņā ar šo noteikumu 24.punktu, ciktāl minētie saskaņotie standarti un tehniskās specifikācijas vai to daļas atbilst šajos noteikumos noteiktajām piekļūstamības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vienlaikus informējam par mūsu viedokli un lūdzam to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ka piekļūstamības prasību nodrošināšanas ieviešanai pasažieru pārvadātājiem ir jārēķinās ar ievērojamiem papildus izdevumiem nākotnē, kas kopumā sadārdzinās pakalpojumu un palielinās pārvadātājiem kompensējamo izdevumu apmēru no valsts un pašvaldību budžeta, bet pastarpināti arī finanšu slogu no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attiecībā uz pilsētas pasažieru pārvadātājiem jau šobrīd ir skaidrs, ka tuvākajā nākotnē visticamāk būs nepieciešams ieviest arī citas normatīvo aktu noteiktas prasības, piemēram, attiecībā uz prasību nodrošināt darījumus par valsts noteikto braukšanas maksas atvieglojumu izmantošanu, kas veikti ar personas apliecības, kas papildināta ar speciālu funkcionalitāti (lietotni), uzskaiti, valsts noteikto braukšanas maksas atvieglojumu sistēmas, atvieglojumu vienotās informācijas sistēmas jeb AVIS ieviešanu, taču attiecībā uz šīm prasībām LLPA rīcībā vēl nav informācijas par to ieviešanai nepieciešamo tehnisko prasību saturu, ieviešanas termiņiem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Jebkuru no minēto prasību satura detalizēta un savlaicīga paziņošana pasažieru pārvadātājiem šobrīd ir svarīga, jo no šo prasību satura ir atkarīga (piemēram RP SIA “Rīgas satiksme”) jaunās biļešu sistēmas iepirkuma prasību izstrāde. Tāpat jānorāda, ka, izpildot iepirkumu jomu reglamentējošo normatīvo aktu prasības, ir jārēķinās ar vismaz vienu gadu ilgu periodu tehnisko specifikāciju izstrādei, procedūru īstenošanai un līgumu noslēgšanai, ja nenotiek iepirkumu apstrīdēšana tiesā, un pēc tam ievērojamu laiku attiecīgu ierīču izgatavošanai un piegādei, kas kopā varētu prasīt vismaz 3-4 gadus. Līdz ar to piekļūstamības nodrošināšana attiecībā par sabiedriskā transporta jomu atbilstoši Noteikumiem būtu jānosaka tāpat kā attiecībā uz Noteikumu VI nodaļu, t.i., līdz 2027.gada 28.jūnijam.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Risinājuma aprakstā norādīts, ka Eiropas Komisija ir izdevusi harmonizācijas mandātu Eiropas standartizācijas organizācijām, kas līdz 2025.gadam paredz izstrādāt harmonizēto standartu, lai sīkāk un precīzāk aprakstītu Eiropas Parlamenta un Padomes 2019.gada 17.aprīļa direktīvu 2019/882 par produktu un pakalpojumu piekļūstamības prasības, aicinām šajā procesā arī iesaistīt un aptaujāt pasažieru pārvadātājus.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Anotācijas 8.1.2.apakšpunktā. Vienlaikus informējam, ka Preču un pakalpojumu piekļūstamības likums attiecībā uz pilsētas pārvadājumiem attieksies minimālā apjomā, t.i. tikai attiecībā uz Preču un pakalpojumu piekļūstamības likuma 3. panta otrās daļas 3. punkta "e" apakšpunktā noteiktajiem pilsētas autobusu, tramvaju un trolejbusu interaktīvajiem pašapkalpošanās termināļiem.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noteikt arī atbilstības deklarācijas projektu, aicinām attiecīgi papildināt anotācijas 1.2. sadaļas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7.1. punktā "Projekta izpildē iesaistītās institūcijas" uzskaitījumu papildināt ar pašvaldībām, atbilstoši Anotācijas 1.3.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iepriekš minēto, kā arī direktīvas preambulā minēto, ka prasības labvēlīgi ietekmēs ne tikai personu ar invaliditāti iekļaušanos sabiedrībā, aicinām papildināt 2.1. sadaļā minēto fizisko personu grupu arī ar citām personu grupām, kuras projekts ietekmē vai var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2.2.3 sadaļā minēts: "</w:t>
            </w:r>
            <w:r w:rsidR="00000000" w:rsidRPr="00000000" w:rsidDel="00000000">
              <w:rPr>
                <w:i w:val="1"/>
                <w:rtl w:val="0"/>
              </w:rPr>
              <w:t xml:space="preserve">Savukārt importētāji un izplatītāji piegādās un izplatīs tādas preces, kas būs pieejamas tirgū, vienlaikus pārliecinoties par to atbilstību visām Eiropas Savienības tiesību aktu prasībām, tai skaitā šī likumprojekta prasībām</w:t>
            </w:r>
            <w:r w:rsidR="00000000" w:rsidRPr="00000000" w:rsidDel="00000000">
              <w:rPr>
                <w:rtl w:val="0"/>
              </w:rPr>
              <w:t xml:space="preserve">." Ņemot vērā, ka šis projekts ir Ministru kabineta noteikumu projekts, nevis likumprojekts, aicinām precizēt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atbilstības izmaksas mērķgrupai atbilstoši Vadlīnijām tiesību akta projekta sākotnējās ietekmes novērtēšanai un novērtējuma ziņojuma sagatavošanai vienotajā tiesību aktu izstrādes un saskaņošanas portālā. Skatīt: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Piekļūstamības noteikumu ieviešanai (2 darbinieki no 2025.g.) gadā ir nepieciešami: 2024.g. – EUR 0; 2025.g. – EUR 83 412; 2026.g. un turpmāk – EUR 89 225.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aprēķins 2025.g.: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Atalgojumam mēnesī Piekļūstamības akta ieviešanai (2 štata vietas) nepieciešami EUR 4 534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Atalgojumam 2025.gadā gadā 2 štata vietām nepieciešami: EUR 4 534 x 12 mēn. = EUR 54 408;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vid.gada novērtēšanas prēmija un atvaļinājuma pabalsts: EUR 5 440.80;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piemaksa par papildu darbu, augstu darba kvalitāti u.c.: EUR 5 440.80;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iemaksas: 23,59% x (54 408 + 5 440.80 + 5 440.80) = EUR 15 401.82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sociālo garantiju izmaksas: EUR 2 720.40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Atlīdzībai  2 štata vietām 2025.gadā nepieciešami EUR 83 411.82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aprēķins 2026.g.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Atalgojumam mēnesī Piekļūstamības akta ieviešanai (2 štata vietas) nepieciešami EUR 4 850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Atalgojumam gadā 2 štata vietām nepieciešami: EUR 4 850 x 12 mēn. = EUR 58 200;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vid.gada novērtēšanas prēmija un atvaļinājuma pabalsts: EUR 5 820;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piemaksa par papildu darbu, augstu darba kvalitāti u.c.: EUR 5 820;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iemaksas: 23,59% x (58 200 + 5 820 + 5 820) = EUR 16 475.26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sociālo garantiju izmaksas: EUR 2 910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Atlīdzībai  2 štata vietām 2026.gadā atlīdzībai nepieciešami EUR 89 225.26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kā arī kapitālās iegādes 2 jaunajām štata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apmaksa – EUR 17 440 (2025.g.) un turpmāk EUR 160 440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sakaru, pasta pakalpojumi, internets telekomunikāciju pakalpojumi (EUR 85 x 12 mēn. x 2 amata vietas). = 2 040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Microsoft licenču uzturēšanas gada maksa (EUR 400 x 2 amata vietas) = 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apmācība, pieredzes apmaiņas braucieni, komandējumi (2000 EUR x 2 amata vietas) = 4 000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komunālie maksājumi (150 EUR x 12 mēn. x 2 amata vietas) = 3 600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Informēšanas kampaņa ekodizaina jomā - 2025.g. EUR 7 000; 2026.g. EUR 150 000;  un turpmāk EUR 150 000.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Materiālais nodrošinājums darbiniekiem – EUR 1 980  ( 2025.g. 1 980 EUR; 2026.g. 580 EUR; un turpmāk 580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biroja tehnikas uzturēšana un apkope– kopētāju kasete, lāzerprinteru kasete utml. (110 EUR x 2 amata vietas) = 220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kancelejas piederumi (EUR 15 x 12 mēn. x 2 amata vietas) = 360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ergonomisks darba krēsls (250 EUR x 2 amata vietas) = 500 EUR (šis cipars nāk nost nāk.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monitors – 450 EUR x 2 amata vietas) = 900 EUR (šis cipars nāk nost nāk.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Kapitālās izmaksas – 8 500 EUR (šis cipars nāk nost nāk. gados), (2025.g. 8 500 EUR; 2026.g. un turpmāk 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ergonomisks darba galds (800 EUR x 2 amata vietas) = 1 600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portatīvais dators 1 700 EUR x 2 amata vietas) = 3 400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multifunkcionāla drukas, skenēšanas un kopēšanas iekārta (1 gab.) 3500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pēdējo teikumu, jo tas dublē pirmajā teikumā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akta projekta 23-TA-785 “Preču un pakalpojumu piekļūstamības prasības” 23.punktā  paredzēto atbildēšanu uz vienoto ārkārtas palīdzības izsaukuma numuru "112", izmantojot tos pašus sakaru līdzekļus, ar kuriem izsaukums ir saņemts un nodrošinātu sinhronizētu balsi un tekstu, tajā skaitā reāllaika tekstu un vispusīgās sarunas funkcionalitāti, IeM Informācijas centram būs jāievieš atbilstoši tehniskie risinājumi, kas viennozīmīgi radīs ietekmi uz valsts budžetu. Tāpat mobilo sakaru operatori Latvijas tirgū nepiedāvā integrētus reāla laika teksta un videozvanu pakalpojumus, tāpēc mobilo sakaru operatoru izdevumi šādu risinājumu ieviešanai savos tīklos šobrīd nav zināmi un ir precizējami.  Tehniski šādu pakalpojumu ieviešana ir komplicēta, kas prasīs zināmu izpēti, citu valstu pieredzes pārņemšanu un aktivitātes tehnisko risinājumu ieviešanā gan Informācijas centra uzturētās 112 infrastruktūras ietvarā, gan iespējams mobilo sakaru operatoru tīklos. Tādējādi, radīsies papildus IeM Informācijas centra budžeta izdevumi, kas iekļaujami anotācijā, vismaz šādās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Konsultantu piesaisti situācijas analīzei par vispusīgās sarunas ieviešanas pieredzi atsevišķas citās Eiropas savienības dalībvalstīs, kā arī potenciālo tehnisko risinājumu iespējamību, to salīdzinājumu un izvēli, kas paredzēta Informācijas centram piešķirto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Ārkārtas izsaukumu centrāles (ĀIC) iekārtu un programmnodrošinājuma darbības pielāgošanai vispusīgās sarunas funkcionalitātes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krātuves apjoma palielināšana – 4 papildus datu krātuves masīvi x 16 250 EUR = 65 000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Vienotās kontaktu centra platformas telefonijas infrastruktūras pielāgošana (t.sk. video serveris, programmēšana, protokolu konfigurēšana) - 45 000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Vienotās kontaktu centra platformas izsaukumu apstrādes programmatūras pielāgošanas izmaksas - 70 000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 lietotnes pielāgošana reāllaika teksta apstrādei – 15 000EUR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Iekšlietu ministrijas budžetu 2025.gadā provizoriski 195 000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punktā “Cita informācija” skaidrot Patērētāju tiesību aizsardzības centram papildu finansējuma nepieciešamību 2024.gadam, ņemot vērā, ka Preču un pakalpojumu piekļūstamības likums un arī noteikumu projekts stāsies spēkā 2025.gada 28.jūnijā. Vienlaikus, lai skaidrotu 2., 4. un 6.ailē norādītus ciparus, lūdzam iepriekš minētajā punktā iekļaut informāciju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2023.gadam un budžeta ietvaru 2023., 2024. un 2025.gadam” Ekonomikas ministrijas budžeta apakšprogrammā 26.01.00 “Iekšējais tirgus un patērētāju tiesību aizsardzība” ir paredzēts finansējums 2023.gadā 4 308 835 </w:t>
            </w:r>
            <w:r w:rsidR="00000000" w:rsidRPr="00000000" w:rsidDel="00000000">
              <w:rPr>
                <w:i w:val="1"/>
                <w:rtl w:val="0"/>
              </w:rPr>
              <w:t xml:space="preserve">euro</w:t>
            </w:r>
            <w:r w:rsidR="00000000" w:rsidRPr="00000000" w:rsidDel="00000000">
              <w:rPr>
                <w:rtl w:val="0"/>
              </w:rPr>
              <w:t xml:space="preserve"> apmērā, 2024. un 2025.gadā ik gadu 3 345 739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4.1. sadaļā nepieciešams norādīt uz saistītajiem tiesību aktu </w:t>
            </w:r>
            <w:r w:rsidR="00000000" w:rsidRPr="00000000" w:rsidDel="00000000">
              <w:rPr>
                <w:u w:val="single"/>
                <w:rtl w:val="0"/>
              </w:rPr>
              <w:t xml:space="preserve">projektiem</w:t>
            </w:r>
            <w:r w:rsidR="00000000" w:rsidRPr="00000000" w:rsidDel="00000000">
              <w:rPr>
                <w:rtl w:val="0"/>
              </w:rPr>
              <w:t xml:space="preserve">. Attiecīgi lūdzam precizēt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anotācijas 5.4. sadaļas 1. tabulu aizpildīt pēc iespējas detalizētāk, nodrošinot, ka katram Eiropas Parlamenta un Padomes 2019.gada 17.aprīļa direktīvas (ES) 2019/882 par preču un pakalpojumu piekļūstamības prasībām (turpmāk - Direktīva 2019/882) vienībai un apakšvienībai korespondē nacionālā normatīvā akta pants, panta daļa vai punkts, apakšpunkts. Piemēram, tabulā norādīts, ka Direktīvas 2019/882 3. pants pārņemts gan noteikumu projekta 3.2. apakšpunktā, gan citu normatīvo aktu vienībās, taču, ņemot vērā, ka Direktīvas 2019/882 3. pantam ir apakšvienības (punkti), no tabulas nav pilnīgi skaidrs, kur tieši kurš punkts ir pārņemts. Aicinām arī informāciju par katru direktīvas vienību izdalīt atsevišķā laukā. Attiecīgi aicinām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IV daļā  ietverto regulējumu attiecībā uz vienotā ārkārtas palīdzības izsaukuma numura "112" darbību un anotācijas 5.4. sadaļā norādīto, ka būs nepieciešama tehnoloģiskos risinājumus pielāgošana ārkārtas gadījuma saziņas piekļūstamības prasību nodrošināšanai, lai tehnoloģiski nodrošinātu prasības Iekšlietu ministrijas informācijas sistēmās, lūdzam papildināt anotāciju ar informāciju, norādot, ka  minēto tehnoloģisko risinājumu pielāgošana tiks nodrošināta Iekšlietu ministrijai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 sadaļu, korekti to aizpildot. Proti, ja sabiedrības līdzdalība uz šo tiesību akta projektu neattiecas, nepieciešams ietvert attiecīgu skaidrojumu. Savukārt, ja sabiedrības līdzdalība uz projektu attiecas, nepieciešams norādīt "Nē", aizpildot laukus par sabiedrības līdzdalību un tās rezultātiem.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23-TA-785</w:t>
    </w:r>
    <w:r>
      <w:br/>
    </w:r>
    <w:r w:rsidR="00000000" w:rsidRPr="00000000" w:rsidDel="00000000">
      <w:rPr>
        <w:rtl w:val="0"/>
      </w:rPr>
      <w:t xml:space="preserve">01.02.2024. 15.52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23-TA-785</w:t>
    </w:r>
    <w:r>
      <w:br/>
    </w:r>
    <w:r w:rsidR="00000000" w:rsidRPr="00000000" w:rsidDel="00000000">
      <w:rPr>
        <w:rtl w:val="0"/>
      </w:rPr>
      <w:t xml:space="preserve">01.02.2024. 15.52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Izziņa_23-TA-785.docx</dc:title>
</cp:coreProperties>
</file>

<file path=docProps/custom.xml><?xml version="1.0" encoding="utf-8"?>
<Properties xmlns="http://schemas.openxmlformats.org/officeDocument/2006/custom-properties" xmlns:vt="http://schemas.openxmlformats.org/officeDocument/2006/docPropsVTypes"/>
</file>