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faktisko izmaksu piemērošanas gadījumā tiešajās attiecināmajās personāla izmaksās var iekļaut to darbinieku personāla izmaksas, kuri noteiktā laika posmā ne mazāk kā 30% no normālā darba laika katrā mēnesī veic pienākumus, kas saistīti ar projektu, un tas ir pamatots ar atbilstošiem izmaksas pamatojošiem dokumentiem (attiecas uz daļlaika izmaksu attiecināšanas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noteikumu projektu ar nosacījumu, ka otrās kārtas personāla izmakas daļlaika gadījumā ir attiecināmas, ja vismaz 30% no normālā darba laika strādā ar projektu, kā arī iekļaut ierobežojumu projekta vadības personāla izmaksām atbilstoši vadošās iestādes vadlīnijām Nr.1.2 "Vadlīnijas attiecināmo izmaksu noteikšanai 2021.-2027.gada plānošanas periodā", kur noteikts, ka projektiem ar tiešām attiecināmām izmaksām līdz 5 milj. EUR (ieskaitot), tiešajām attiecināmajām projekta vadības personāla izmaksām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(Latvijas Vēstnesis, 2023, 164. nr.; 2024, 73.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komentāru par to, ka faktisko izmaksu piemērošanas gadījumā tiešajās attiecināmajās personāla izmaksās var iekļaut to darbinieku personāla izmaksas, kuri noteiktā laika posmā ne mazāk kā 30% no normālā darba laika katrā mēnesī veic pienākumus, kas saistīti ar projektu, un tas ir pamatots ar atbilstošiem izmaksas pamatojošiem dokumentiem (attiecas uz daļlaika izmaksu attiecināšanas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attiecīgi papildināt noteikumu projektu </w:t>
            </w:r>
            <w:r w:rsidR="00000000" w:rsidRPr="00000000" w:rsidDel="00000000">
              <w:rPr>
                <w:rtl w:val="0"/>
              </w:rPr>
              <w:t xml:space="preserve">ar nosacījumu, ka personāla izmaksas daļlaika gadījumā ir attiecināmas, ja vismaz 30% no normālā darba laika strādā ar projektu, kā arī iekļaut ierobežojumu projekta vadības personāla izmaksām atbilstoši vadošās iestādes vadlīnijām Nr.1.2 "Vadlīnijas attiecināmo izmaksu noteikšanai 2021.-2027.gada plānošanas periodā", kur noteikts, ka projektiem ar tiešām attiecināmām izmaksām līdz 5 milj. EUR (ieskaitot), tiešajām attiecināmajām projekta vadības personāla izmaksām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esošo redakciju, arī 1.kārtā atsakās no vienkāršoto izmaksu piemērošanas personāla izmaksām, līdz ar to minētie ierobežojumi jāparedz abām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kur norādīts, ka “Grozījumi nav būtiski un neietekmēs abu kārtu projektu īstenošanu un tā mērķu sasniegšanu. Pirmās kārtas ietvaros ir noslēgts līgums ar vienu Finansējuma saņēmēju un otrajā kārtā ar astoņiem projektu saņēmējiem, izmaksas līdz šim nav attiecinātas, attiecīgi nav ietekmes uz jau apstiprināto.”, jo saskaņā ar Eiropas Savienības fondu vadošajai iestādei pieejamo informāciju 1.2.3.6.pasākuma 2.kārtas projektā personāla izmaksas ir attiecinātas. Līdz ar to atkārtoti lūdzam izvērtēt noteikumu grozījumu ietekmi uz jau apstiprinātajām izmaksām un nodrošināt informācijas sakritību ar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ar regulējumu, kas paredz, ka grozījumi par Ministru kabineta 2023. gada 22. augusta noteikumu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(turpmāk - noteikumi Nr. 473) 47. punkta svītrošanu tiek piemēroti no noteikumu Nr. 473 spēkā stāšanās brīža. Lūdzam ar atbilstošu skaidrojumu papildināt arī anotāciju, ņemot vērā, ka vienkāršotās izmaksas līdz šim nav tikušas piemērotas.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anotācijā norādīto informāciju, ka grozījumi noteikumos Nr. 473 uzskatāmi par tehniskajiem, jo minētie grozījumi maina regulējumu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argumentāciju par atteikšanos no vienkāršoto izmaksu piemērošanas personāla izmaksām pasākuma otrās kārtas ietvaros. Vēršam uzmanību, ka no pašlaik anotācijā iekļautā skaidrojuma secināms, ka dati metodikas izstrādei faktiski ir pieejami, kā arī atgādinām, ka vienkāršoto izmaksu izstrādes galvenais mērķis ir mazināt administratīvo slogu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ietverto tiesību normu, lūdzam papildināt anotācijas 1. sadaļas “Tiesību akta projekta izstrādes nepieciešamība” 1.3. apakšsadaļu “Pašreizējā situācija, problēmas un risinājumi” ar informāciju par grozījuma ietekmi uz īstenotajiem projektiem, kā arī skaidrojumu, vai tiks veikti grozījumi līgumā par projekta īstenošanu, un vai grozījumi līgumā par projekta īstenošanu neietekmē projekta mērķi un nosacījumus, tādējādi traucējot tā sākotnējo mērķu sasniegšanu, proti, vai grozījumi nav uzskatāmi par būtiskiem,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Otrās kārtas ietvaros šo noteikumu </w:t>
            </w:r>
            <w:r w:rsidR="00000000" w:rsidRPr="00000000" w:rsidDel="00000000">
              <w:rPr>
                <w:shd w:fill="#e0ffff" w:val="clear"/>
                <w:rtl w:val="0"/>
              </w:rPr>
              <w:t xml:space="preserve">28.1.</w:t>
            </w:r>
            <w:r w:rsidR="00000000" w:rsidRPr="00000000" w:rsidDel="00000000">
              <w:rPr>
                <w:rtl w:val="0"/>
              </w:rPr>
              <w:t xml:space="preserve"> apakšpunktā minēto ģeogrāfisko (reģionālo) sadarbības tīklu projektu iesniegumos norādītās teritorijas pēc projektu iesniegumu atlases savā starpā nedrīkst pārklāties.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03.09.2024. kopīgajā sapulcē ar Ekonomikas ministrijas pārstāvjiem sniegto skaidrojumu, ka sadarbības tīklu teritorijas drīkst pārklāties, lūgums anotācijā iekļaut skaidrojumu, kādos gadījumos projektu īstenošanas laikā sadarbības tīklu projektu iesniegumos norādītās teritorijas drīkst pārklāties.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Otrās kārtas ietvaros šo noteikumu </w:t>
            </w:r>
            <w:r w:rsidR="00000000" w:rsidRPr="00000000" w:rsidDel="00000000">
              <w:rPr>
                <w:shd w:fill="#e0ffff" w:val="clear"/>
                <w:rtl w:val="0"/>
              </w:rPr>
              <w:t xml:space="preserve">28.1.</w:t>
            </w:r>
            <w:r w:rsidR="00000000" w:rsidRPr="00000000" w:rsidDel="00000000">
              <w:rPr>
                <w:rtl w:val="0"/>
              </w:rPr>
              <w:t xml:space="preserve"> apakšpunktā minēto ģeogrāfisko (reģionālo) sadarbības tīklu projektu iesniegumos norādītās teritorijas pēc projektu iesniegumu atlases savā starpā nedrīkst pārklāties.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Pirmās kārtas ietvaros aģentūrai, sadarbības tīklam un sadarbības tīkla dalībniekiem šo noteikumu </w:t>
            </w:r>
            <w:r w:rsidR="00000000" w:rsidRPr="00000000" w:rsidDel="00000000">
              <w:rPr>
                <w:rtl w:val="0"/>
              </w:rPr>
              <w:t xml:space="preserve">33.</w:t>
            </w:r>
            <w:r w:rsidR="00000000" w:rsidRPr="00000000" w:rsidDel="00000000">
              <w:rPr>
                <w:rtl w:val="0"/>
              </w:rPr>
              <w:t xml:space="preserve"> punktā minēto atbalstāmo darbību īstenošanai paredzētas šādas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34.punktu, no kura dzēst "sadarbības tīklam un sadarbības tīkla dalībniekiem", jo 33. punkts ir attiecināms uz pirmo kārtu.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Pirmās kārtas ietvaros aģentūrai šo noteikumu 33. punktā minēto atbalstāmo darbību īstenošanai paredzētas šādas 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Pirmās kārtas ietvaros aģentūrai šo noteikumu </w:t>
            </w:r>
            <w:r w:rsidR="00000000" w:rsidRPr="00000000" w:rsidDel="00000000">
              <w:rPr>
                <w:rtl w:val="0"/>
              </w:rPr>
              <w:t xml:space="preserve">33.</w:t>
            </w:r>
            <w:r w:rsidR="00000000" w:rsidRPr="00000000" w:rsidDel="00000000">
              <w:rPr>
                <w:rtl w:val="0"/>
              </w:rPr>
              <w:t xml:space="preserve"> punktā minēto atbalstāmo darbību īstenošanai paredzētas šādas tiešās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Attiecībā uz visām šo noteikumu </w:t>
            </w:r>
            <w:r w:rsidR="00000000" w:rsidRPr="00000000" w:rsidDel="00000000">
              <w:rPr>
                <w:shd w:fill="#e0ffff" w:val="clear"/>
                <w:rtl w:val="0"/>
              </w:rPr>
              <w:t xml:space="preserve">42.</w:t>
            </w:r>
            <w:r w:rsidR="00000000" w:rsidRPr="00000000" w:rsidDel="00000000">
              <w:rPr>
                <w:rtl w:val="0"/>
              </w:rPr>
              <w:t xml:space="preserve"> punktā minētajām izmaksām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44. punktu, jo tajā minētās metodikas ir attiecināmas uz iekšzemes komandējumu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Attiecībā uz šo noteikumu 42. punktā minētajām iekšzemes komandējumu izmaksām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Attiecībā uz šo noteikumu </w:t>
            </w:r>
            <w:r w:rsidR="00000000" w:rsidRPr="00000000" w:rsidDel="00000000">
              <w:rPr>
                <w:shd w:fill="#e0ffff" w:val="clear"/>
                <w:rtl w:val="0"/>
              </w:rPr>
              <w:t xml:space="preserve">42.</w:t>
            </w:r>
            <w:r w:rsidR="00000000" w:rsidRPr="00000000" w:rsidDel="00000000">
              <w:rPr>
                <w:rtl w:val="0"/>
              </w:rPr>
              <w:t xml:space="preserve"> punktā minētajām iekšzemes komandējumu izmaksām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atbilstoši 13.09.2024. Nr. 3.7-9.16/2024/5056N  Ekonomikas ministrijas skaidrojumam, norādot kā tiek attiecinātas 42.1. izmaksas līdz šo grozījumu stāšanās spēkā brīdim un turpmāk.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65.7. uzkrāt datus par atbalstu saņēmušajiem sadarbības tīkla dalībniekiem sadalījumā pa dzimumiem;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rosina dzēst 65.7. punktu, jo šo datu monitoringam var izmantot Lursoft vai Uzņēmuma reģistra datus par amatpersonu sastāvu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nav dzēsts, jo MK noteikumi paredz, ka šādus datus uzkrāj un apkopo Sadarbības tīkli.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65.7. uzkrāt datus par atbalstu saņēmušajiem sadarbības tīkla dalībniekiem sadalījumā pa dzimumiem;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ir informēti par Eiropas Parlamenta un Padomes 2018. gada 18. jūlija Regulu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Eiropas Parlamenta un Padomes 2014. gada 26. februāra Direktīvu Nr. </w:t>
            </w:r>
            <w:r w:rsidR="00000000" w:rsidRPr="00000000" w:rsidDel="00000000">
              <w:rPr>
                <w:rtl w:val="0"/>
              </w:rPr>
              <w:t xml:space="preserve">2014/24/ES</w:t>
            </w:r>
            <w:r w:rsidR="00000000" w:rsidRPr="00000000" w:rsidDel="00000000">
              <w:rPr>
                <w:rtl w:val="0"/>
              </w:rPr>
              <w:t xml:space="preserve"> par publisko iepirkumu un ar ko atceļ Direktīvu </w:t>
            </w:r>
            <w:r w:rsidR="00000000" w:rsidRPr="00000000" w:rsidDel="00000000">
              <w:rPr>
                <w:rtl w:val="0"/>
              </w:rPr>
              <w:t xml:space="preserve">2004/18/EK</w:t>
            </w:r>
            <w:r w:rsidR="00000000" w:rsidRPr="00000000" w:rsidDel="00000000">
              <w:rPr>
                <w:rtl w:val="0"/>
              </w:rPr>
              <w:t xml:space="preserve">, likumu "Par interešu konflikta novēršanu valsts amatpersonu darbībā" un Eiropas Komisijas 2021. gada 9. aprīļa paziņojumu Nr. C/2021/2119 "Norādījumi par izvairīšanos no interešu konfliktiem un to pārvaldību saskaņā ar Finanšu regulu" un apņemas tos ievērot;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atsauces noteikumos Nr. 473 uz aktuālo Regulu 2024/2509. Vēršam uzmanību, ka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ir informēti par Eiropas Parlamenta un Padomes 2024. gada 23. septembra Regulu (ES, Euratom) 2024/2509 par finanšu noteikumiem, ko piemēro Savienības vispārējam budžetam (pārstrādāta redakcija) (turpmāk - Regula Nr. 2024/2509), Eiropas Parlamenta un Padomes 2014. gada 26. februāra Direktīvu Nr. </w:t>
            </w:r>
            <w:r w:rsidR="00000000" w:rsidRPr="00000000" w:rsidDel="00000000">
              <w:rPr>
                <w:rtl w:val="0"/>
              </w:rPr>
              <w:t xml:space="preserve">2014/24/ES</w:t>
            </w:r>
            <w:r w:rsidR="00000000" w:rsidRPr="00000000" w:rsidDel="00000000">
              <w:rPr>
                <w:rtl w:val="0"/>
              </w:rPr>
              <w:t xml:space="preserve"> par publisko iepirkumu un ar ko atceļ Direktīvu </w:t>
            </w:r>
            <w:r w:rsidR="00000000" w:rsidRPr="00000000" w:rsidDel="00000000">
              <w:rPr>
                <w:rtl w:val="0"/>
              </w:rPr>
              <w:t xml:space="preserve">2004/18/EK</w:t>
            </w:r>
            <w:r w:rsidR="00000000" w:rsidRPr="00000000" w:rsidDel="00000000">
              <w:rPr>
                <w:rtl w:val="0"/>
              </w:rPr>
              <w:t xml:space="preserve">, likumu "Par interešu konflikta novēršanu valsts amatpersonu darbībā" un apņemas tos ievērot;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77.3. uz projekta iesniedzēju un sadarbības tīkla dalībnieku attiecas līdzekļu atgūšanas rīkojums, kas minēts regulas Nr.  </w:t>
            </w:r>
            <w:r w:rsidR="00000000" w:rsidRPr="00000000" w:rsidDel="00000000">
              <w:rPr>
                <w:rtl w:val="0"/>
              </w:rPr>
              <w:t xml:space="preserve">651/2014</w:t>
            </w:r>
            <w:r w:rsidR="00000000" w:rsidRPr="00000000" w:rsidDel="00000000">
              <w:rPr>
                <w:rtl w:val="0"/>
              </w:rPr>
              <w:t xml:space="preserve">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pasākuma ietvaros plānots piešķirt saskaņā ar Komisijas regulu Nr.2023/2831, nosacījumi, ko paredz citi komercdarbības atbalsta regulējumi nav jāiekļauj. Attiecīgi aicinām dzēst nosacījumu par atbilstību regulas Nr.651/2014 1.panta 4.punkta "a" apakšpunktā noteiktajam  vai arī sniegt anotācijā skaidrojumu par to, kādēļ tiesību akta izstrādātājs paredzējis stingrākus nosacījumus noteikumos, nekā to paredz Komisijas regula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77.3. uz projekta iesniedzēju un sadarbības tīkla dalībnieku attiecas līdzekļu atgūšanas rīkojums, kas minēts regulas Nr.  </w:t>
            </w:r>
            <w:r w:rsidR="00000000" w:rsidRPr="00000000" w:rsidDel="00000000">
              <w:rPr>
                <w:rtl w:val="0"/>
              </w:rPr>
              <w:t xml:space="preserve">651/2014</w:t>
            </w:r>
            <w:r w:rsidR="00000000" w:rsidRPr="00000000" w:rsidDel="00000000">
              <w:rPr>
                <w:rtl w:val="0"/>
              </w:rPr>
              <w:t xml:space="preserve"> 1. panta 4. punkta "a" apakšpunktā.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Pirmās kārtas ietvaros aģentūra atbalstu sadarbības tīklam un sadarbības tīkla dalībniekiem sniedz un uzskaita saskaņā ar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gada 1.jūlijā stājušies spēkā grozījumi Ministru kabineta 2018. gada 21. novembra noteikumos Nr. 715 "De minimis atbalsta uzskaites un piešķiršanas kārtība", lūdzam precizēt attiecīgā normatīvā akta nosaukumu un svītrot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lūdzam precizēt arī noteikumu 83.punktu.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punkti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Pirmās kārtas ietvaros aģentūra atbalstu sadarbības tīklam un sadarbības tīkla dalībniekiem sniedz un uzskaita saskaņā ar regulu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Sadarbības tīklam un katram sadarbības tīkla dalībniekam plānotais atbalsta apmērs viena vienota uzņēmuma līmenī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nedrīkst pārsniegt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Komercdarbības atbalsta piešķiršanu, aprēķināšanu un uzskaiti sadarbības tīklam veic sadarbības iestāde, sadarbības tīkla dalībniekam – sadarbības tīkls vai pirmās kārtas ietvaros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 Nr.2023/2831 paredz piešķirtā atbalsta pārbaudi kalendāro, nevis fiskālo, gadu ietvaros, kā arī pārbaudes periods ir 3 gadi, lūdzam precizēt noteikumu 84.punktu, nodrošinot tā korektu atbilstību Komisijas regulas Nr.2023/2831 3.panta 2.punkta nosacījumiem, piemēram,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pārskatīt un precizēt arī anotācijā sniegto skaidrojumu, papildinot to ar informāciju, ka Komisijas regulas Nr.2023/2831 ietvaros trīs gadu laikposms ir jāvērtē kā slīdošs periods,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jauna atbalsta piešķiršanas tiek pārbaudīts, vai sadarbības tīklam un katram sadarbības tīkla dalībniekam plānotais de minimis atbalsts kopā ar iepriekšējos trīs gados, skaitot no atbalsta piešķiršanas dienas, piešķirto de minimis atbalstu viena vienota uzņēmuma līmenī nepārsniedz regulas Nr.2023/2831 3.panta 2.punktā noteikto maksimālo de minimis atbalsta apmēru. Komercdarbības atbalsta piešķiršanu, aprēķināšanu un uzskaiti sadarbības tīklam veic sadarbības iestāde, sadarbības tīkla dalībniekam – sadarbības tīkls vai pirmās kārtas ietvaros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Pirms jauna atbalsta piešķiršanas tiek pārbaudīts, vai sadarbības tīklam un katram sadarbības tīkla dalībniekam plānotais </w:t>
            </w:r>
            <w:r w:rsidR="00000000" w:rsidRPr="00000000" w:rsidDel="00000000">
              <w:rPr>
                <w:i w:val="1"/>
                <w:rtl w:val="0"/>
              </w:rPr>
              <w:t xml:space="preserve">de minimis</w:t>
            </w:r>
            <w:r w:rsidR="00000000" w:rsidRPr="00000000" w:rsidDel="00000000">
              <w:rPr>
                <w:rtl w:val="0"/>
              </w:rPr>
              <w:t xml:space="preserve"> atbalsta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Komercdarbības atbalsta piešķiršanu, aprēķināšanu un uzskaiti sadarbības tīklam veic sadarbības iestāde, sadarbības tīkla dalībniekam – sadarbības tīkls vai pirmās kārtas ietvaros – aģentūra.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24-TA-2300</w:t>
    </w:r>
    <w:r>
      <w:br/>
    </w:r>
    <w:r w:rsidR="00000000" w:rsidRPr="00000000" w:rsidDel="00000000">
      <w:rPr>
        <w:rtl w:val="0"/>
      </w:rPr>
      <w:t xml:space="preserve">09.12.2024. 09.52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24-TA-2300</w:t>
    </w:r>
    <w:r>
      <w:br/>
    </w:r>
    <w:r w:rsidR="00000000" w:rsidRPr="00000000" w:rsidDel="00000000">
      <w:rPr>
        <w:rtl w:val="0"/>
      </w:rPr>
      <w:t xml:space="preserve">09.12.2024. 09.52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Izziņa_24-TA-2300.docx</dc:title>
</cp:coreProperties>
</file>

<file path=docProps/custom.xml><?xml version="1.0" encoding="utf-8"?>
<Properties xmlns="http://schemas.openxmlformats.org/officeDocument/2006/custom-properties" xmlns:vt="http://schemas.openxmlformats.org/officeDocument/2006/docPropsVTypes"/>
</file>