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642" w:rsidRPr="00D55642" w:rsidRDefault="00AD42D7" w:rsidP="00D55642">
      <w:pPr>
        <w:pStyle w:val="Header"/>
        <w:tabs>
          <w:tab w:val="clear" w:pos="4320"/>
          <w:tab w:val="clear" w:pos="8640"/>
          <w:tab w:val="center" w:pos="4536"/>
          <w:tab w:val="right" w:pos="9071"/>
        </w:tabs>
        <w:jc w:val="center"/>
        <w:rPr>
          <w:rFonts w:ascii="Times New Roman" w:eastAsia="Times New Roman" w:hAnsi="Times New Roman"/>
          <w:color w:val="231F20"/>
          <w:sz w:val="14"/>
          <w:szCs w:val="17"/>
        </w:rPr>
      </w:pPr>
      <w:bookmarkStart w:id="0" w:name="_GoBack"/>
      <w:bookmarkEnd w:id="0"/>
      <w:r>
        <w:rPr>
          <w:noProof/>
          <w:lang w:eastAsia="lv-LV"/>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1022985</wp:posOffset>
                </wp:positionV>
                <wp:extent cx="5039995" cy="0"/>
                <wp:effectExtent l="10160" t="13335" r="7620" b="5715"/>
                <wp:wrapSquare wrapText="bothSides"/>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741142" id="_x0000_t32" coordsize="21600,21600" o:spt="32" o:oned="t" path="m,l21600,21600e" filled="f">
                <v:path arrowok="t" fillok="f" o:connecttype="none"/>
                <o:lock v:ext="edit" shapetype="t"/>
              </v:shapetype>
              <v:shape id="AutoShape 1" o:spid="_x0000_s1026" type="#_x0000_t32" style="position:absolute;margin-left:0;margin-top:80.55pt;width:396.85pt;height:0;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RXsHwIAADsEAAAOAAAAZHJzL2Uyb0RvYy54bWysU9uO2jAQfa/Uf7D8DkkgbCEirFYJ9GXb&#10;RdrtBxjbSaw6tmUbAqr67x2bS0v7UlXNg+PLzJkzc2aWj8deogO3TmhV4mycYsQV1UyotsRf3jaj&#10;OUbOE8WI1IqX+MQdfly9f7ccTMEnutOScYsARLliMCXuvDdFkjja8Z64sTZcwWOjbU88HG2bMEsG&#10;QO9lMknTh2TQlhmrKXcObuvzI15F/Kbh1L80jeMeyRIDNx9XG9ddWJPVkhStJaYT9EKD/AOLnggF&#10;QW9QNfEE7a34A6oX1GqnGz+muk900wjKYw6QTZb+ls1rRwyPuUBxnLmVyf0/WPr5sLVIMNAOI0V6&#10;kOhp73WMjLJQnsG4AqwqtbUhQXpUr+ZZ068OKV11RLU8Gr+dDPhGj+TOJRycgSC74ZNmYEMAP9bq&#10;2Ng+QEIV0DFKcrpJwo8eUbicpdPFYjHDiF7fElJcHY11/iPXPQqbEjtviWg7X2mlQHhtsxiGHJ6d&#10;h0TA8eoQoiq9EVJG/aVCQ4mn2YdZdHBaChYeg5mz7a6SFh1I6KD4haoA2J2Z1XvFIljHCVtf9p4I&#10;ed6DvVQBDxIDOpfduUW+LdLFer6e56N88rAe5Wldj542VT562AClelpXVZ19D9SyvOgEY1wFdtd2&#10;zfK/a4fL4Jwb7dawtzIk9+gxRSB7/UfSUdkg5rktdpqdtjZUI4gMHRqNL9MURuDXc7T6OfOrHwAA&#10;AP//AwBQSwMEFAAGAAgAAAAhABwrgcDbAAAACAEAAA8AAABkcnMvZG93bnJldi54bWxMj8FOwzAQ&#10;RO9I/IO1SNyoEypaCHEqikCoxzT9ADde4ijxOoqdNvTrWSQkOO7MaPZNvpldL044htaTgnSRgECq&#10;vWmpUXCo3u8eQYSoyejeEyr4wgCb4voq15nxZyrxtI+N4BIKmVZgYxwyKUNt0emw8AMSe59+dDry&#10;OTbSjPrM5a6X90mykk63xB+sHvDVYt3tJ6egW17KXWd3b5ewreThoSon+tgqdXszvzyDiDjHvzD8&#10;4DM6FMx09BOZIHoFPCSyukpTEGyvn5ZrEMdfRRa5/D+g+AYAAP//AwBQSwECLQAUAAYACAAAACEA&#10;toM4kv4AAADhAQAAEwAAAAAAAAAAAAAAAAAAAAAAW0NvbnRlbnRfVHlwZXNdLnhtbFBLAQItABQA&#10;BgAIAAAAIQA4/SH/1gAAAJQBAAALAAAAAAAAAAAAAAAAAC8BAABfcmVscy8ucmVsc1BLAQItABQA&#10;BgAIAAAAIQDN4RXsHwIAADsEAAAOAAAAAAAAAAAAAAAAAC4CAABkcnMvZTJvRG9jLnhtbFBLAQIt&#10;ABQABgAIAAAAIQAcK4HA2wAAAAgBAAAPAAAAAAAAAAAAAAAAAHkEAABkcnMvZG93bnJldi54bWxQ&#10;SwUGAAAAAAQABADzAAAAgQUAAAAA&#10;" strokeweight=".25pt">
                <w10:wrap type="square"/>
              </v:shape>
            </w:pict>
          </mc:Fallback>
        </mc:AlternateContent>
      </w:r>
      <w:r>
        <w:rPr>
          <w:noProof/>
          <w:lang w:eastAsia="lv-LV"/>
        </w:rPr>
        <w:drawing>
          <wp:anchor distT="0" distB="0" distL="114300" distR="114300" simplePos="0" relativeHeight="251657216" behindDoc="1" locked="0" layoutInCell="1" allowOverlap="1">
            <wp:simplePos x="0" y="0"/>
            <wp:positionH relativeFrom="margin">
              <wp:align>center</wp:align>
            </wp:positionH>
            <wp:positionV relativeFrom="margin">
              <wp:posOffset>0</wp:posOffset>
            </wp:positionV>
            <wp:extent cx="5403850" cy="972185"/>
            <wp:effectExtent l="0" t="0" r="0" b="0"/>
            <wp:wrapTopAndBottom/>
            <wp:docPr id="2" name="Picture 4" descr="vienkrasu_header_veidlapa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enkrasu_header_veidlapa_28-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0" cy="972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5642" w:rsidRDefault="00D55642" w:rsidP="00D55642">
      <w:pPr>
        <w:spacing w:after="0" w:line="240" w:lineRule="auto"/>
        <w:ind w:left="20" w:right="-45"/>
        <w:jc w:val="center"/>
        <w:rPr>
          <w:rFonts w:ascii="Times New Roman" w:eastAsia="Times New Roman" w:hAnsi="Times New Roman"/>
          <w:sz w:val="17"/>
          <w:szCs w:val="17"/>
        </w:rPr>
      </w:pPr>
      <w:r w:rsidRPr="00335032">
        <w:rPr>
          <w:rFonts w:ascii="Times New Roman" w:eastAsia="Times New Roman" w:hAnsi="Times New Roman"/>
          <w:color w:val="231F20"/>
          <w:sz w:val="17"/>
          <w:szCs w:val="17"/>
        </w:rPr>
        <w:t xml:space="preserve">Čiekurkalna </w:t>
      </w:r>
      <w:r>
        <w:rPr>
          <w:rFonts w:ascii="Times New Roman" w:eastAsia="Times New Roman" w:hAnsi="Times New Roman"/>
          <w:color w:val="231F20"/>
          <w:sz w:val="17"/>
          <w:szCs w:val="17"/>
        </w:rPr>
        <w:t xml:space="preserve">1. līnija 1 k-2, Rīga, LV-1026; tālr. 67219263; </w:t>
      </w:r>
      <w:r w:rsidRPr="00335032">
        <w:rPr>
          <w:rFonts w:ascii="Times New Roman" w:eastAsia="Times New Roman" w:hAnsi="Times New Roman"/>
          <w:color w:val="231F20"/>
          <w:sz w:val="17"/>
          <w:szCs w:val="17"/>
        </w:rPr>
        <w:t>e-pasts</w:t>
      </w:r>
      <w:r>
        <w:rPr>
          <w:rFonts w:ascii="Times New Roman" w:eastAsia="Times New Roman" w:hAnsi="Times New Roman"/>
          <w:color w:val="231F20"/>
          <w:sz w:val="17"/>
          <w:szCs w:val="17"/>
        </w:rPr>
        <w:t xml:space="preserve">: </w:t>
      </w:r>
      <w:r w:rsidR="00444EF8">
        <w:rPr>
          <w:rFonts w:ascii="Times New Roman" w:eastAsia="Times New Roman" w:hAnsi="Times New Roman"/>
          <w:color w:val="231F20"/>
          <w:sz w:val="17"/>
          <w:szCs w:val="17"/>
        </w:rPr>
        <w:t>pasts</w:t>
      </w:r>
      <w:r>
        <w:rPr>
          <w:rFonts w:ascii="Times New Roman" w:eastAsia="Times New Roman" w:hAnsi="Times New Roman"/>
          <w:color w:val="231F20"/>
          <w:sz w:val="17"/>
          <w:szCs w:val="17"/>
        </w:rPr>
        <w:t>@iem.gov.lv;</w:t>
      </w:r>
      <w:r w:rsidRPr="00335032">
        <w:rPr>
          <w:rFonts w:ascii="Times New Roman" w:eastAsia="Times New Roman" w:hAnsi="Times New Roman"/>
          <w:color w:val="231F20"/>
          <w:sz w:val="17"/>
          <w:szCs w:val="17"/>
        </w:rPr>
        <w:t xml:space="preserve"> www.iem.gov.lv</w:t>
      </w:r>
    </w:p>
    <w:p w:rsidR="00D55642" w:rsidRPr="006B01C5" w:rsidRDefault="00D55642" w:rsidP="00D55642">
      <w:pPr>
        <w:pStyle w:val="Header"/>
        <w:jc w:val="center"/>
        <w:rPr>
          <w:rFonts w:ascii="Times New Roman" w:hAnsi="Times New Roman"/>
        </w:rPr>
      </w:pPr>
    </w:p>
    <w:p w:rsidR="00D55642" w:rsidRPr="006B01C5" w:rsidRDefault="00D55642" w:rsidP="00D55642">
      <w:pPr>
        <w:spacing w:after="0" w:line="240" w:lineRule="auto"/>
        <w:jc w:val="center"/>
        <w:rPr>
          <w:rFonts w:ascii="Times New Roman" w:hAnsi="Times New Roman"/>
        </w:rPr>
      </w:pPr>
    </w:p>
    <w:p w:rsidR="00D55642" w:rsidRPr="001D69F2" w:rsidRDefault="00D55642" w:rsidP="00D55642">
      <w:pPr>
        <w:spacing w:after="0" w:line="240" w:lineRule="auto"/>
        <w:jc w:val="center"/>
        <w:rPr>
          <w:rFonts w:ascii="Times New Roman" w:hAnsi="Times New Roman"/>
          <w:sz w:val="24"/>
          <w:szCs w:val="24"/>
        </w:rPr>
      </w:pPr>
      <w:r w:rsidRPr="001D69F2">
        <w:rPr>
          <w:rFonts w:ascii="Times New Roman" w:hAnsi="Times New Roman"/>
          <w:sz w:val="24"/>
          <w:szCs w:val="24"/>
        </w:rPr>
        <w:t>Rīgā</w:t>
      </w:r>
    </w:p>
    <w:p w:rsidR="00F05AE8" w:rsidRPr="006F1F22" w:rsidRDefault="00F05AE8" w:rsidP="00CF3A42">
      <w:pPr>
        <w:spacing w:after="0" w:line="240" w:lineRule="auto"/>
        <w:rPr>
          <w:rFonts w:ascii="Times New Roman" w:hAnsi="Times New Roman"/>
          <w:sz w:val="24"/>
          <w:szCs w:val="24"/>
        </w:rPr>
      </w:pPr>
    </w:p>
    <w:tbl>
      <w:tblPr>
        <w:tblW w:w="0" w:type="auto"/>
        <w:tblLayout w:type="fixed"/>
        <w:tblLook w:val="04A0" w:firstRow="1" w:lastRow="0" w:firstColumn="1" w:lastColumn="0" w:noHBand="0" w:noVBand="1"/>
      </w:tblPr>
      <w:tblGrid>
        <w:gridCol w:w="3227"/>
        <w:gridCol w:w="3260"/>
        <w:gridCol w:w="3260"/>
      </w:tblGrid>
      <w:tr w:rsidR="00000000" w:rsidTr="00472AFF">
        <w:tc>
          <w:tcPr>
            <w:tcW w:w="3227" w:type="dxa"/>
            <w:hideMark/>
          </w:tcPr>
          <w:p w:rsidR="00735284" w:rsidRDefault="00735284">
            <w:pPr>
              <w:spacing w:after="0" w:line="240" w:lineRule="auto"/>
              <w:jc w:val="both"/>
              <w:rPr>
                <w:rFonts w:ascii="Times New Roman" w:hAnsi="Times New Roman"/>
                <w:sz w:val="28"/>
                <w:szCs w:val="24"/>
              </w:rPr>
            </w:pPr>
            <w:r>
              <w:rPr>
                <w:rFonts w:ascii="Times New Roman" w:hAnsi="Times New Roman"/>
                <w:noProof/>
                <w:sz w:val="28"/>
                <w:szCs w:val="24"/>
              </w:rPr>
              <w:t>13.09.2021</w:t>
            </w:r>
          </w:p>
        </w:tc>
        <w:tc>
          <w:tcPr>
            <w:tcW w:w="3260" w:type="dxa"/>
            <w:hideMark/>
          </w:tcPr>
          <w:p w:rsidR="00735284" w:rsidRDefault="00735284">
            <w:pPr>
              <w:spacing w:after="0" w:line="240" w:lineRule="auto"/>
              <w:jc w:val="both"/>
              <w:rPr>
                <w:rFonts w:ascii="Times New Roman" w:hAnsi="Times New Roman"/>
                <w:sz w:val="28"/>
                <w:szCs w:val="24"/>
              </w:rPr>
            </w:pPr>
            <w:r>
              <w:rPr>
                <w:rFonts w:ascii="Times New Roman" w:hAnsi="Times New Roman"/>
                <w:sz w:val="28"/>
                <w:szCs w:val="24"/>
              </w:rPr>
              <w:t>Nr.</w:t>
            </w:r>
            <w:r>
              <w:rPr>
                <w:rFonts w:ascii="Times New Roman" w:hAnsi="Times New Roman"/>
                <w:noProof/>
                <w:sz w:val="28"/>
                <w:szCs w:val="24"/>
              </w:rPr>
              <w:t>1-57/2527</w:t>
            </w:r>
          </w:p>
        </w:tc>
        <w:tc>
          <w:tcPr>
            <w:tcW w:w="3260" w:type="dxa"/>
            <w:hideMark/>
          </w:tcPr>
          <w:p w:rsidR="00BD3CC7" w:rsidRDefault="00074FF2">
            <w:pPr>
              <w:spacing w:after="0" w:line="240" w:lineRule="auto"/>
              <w:jc w:val="both"/>
              <w:rPr>
                <w:rFonts w:ascii="Times New Roman" w:hAnsi="Times New Roman"/>
                <w:sz w:val="28"/>
                <w:szCs w:val="24"/>
              </w:rPr>
            </w:pPr>
            <w:r>
              <w:rPr>
                <w:rFonts w:ascii="Times New Roman" w:hAnsi="Times New Roman"/>
                <w:noProof/>
                <w:sz w:val="28"/>
                <w:szCs w:val="24"/>
              </w:rPr>
              <w:t xml:space="preserve">     </w:t>
            </w:r>
            <w:r w:rsidR="002F2F35">
              <w:rPr>
                <w:rFonts w:ascii="Times New Roman" w:hAnsi="Times New Roman"/>
                <w:noProof/>
                <w:sz w:val="28"/>
                <w:szCs w:val="24"/>
              </w:rPr>
              <w:t>Finanšu ministrijai</w:t>
            </w:r>
          </w:p>
          <w:p w:rsidR="00BD3CC7" w:rsidRDefault="00BD3CC7">
            <w:pPr>
              <w:spacing w:after="0" w:line="240" w:lineRule="auto"/>
              <w:jc w:val="both"/>
              <w:rPr>
                <w:rFonts w:ascii="Times New Roman" w:hAnsi="Times New Roman"/>
                <w:sz w:val="28"/>
                <w:szCs w:val="24"/>
              </w:rPr>
            </w:pPr>
          </w:p>
        </w:tc>
      </w:tr>
      <w:tr w:rsidR="00000000" w:rsidTr="00472AFF">
        <w:tc>
          <w:tcPr>
            <w:tcW w:w="3227" w:type="dxa"/>
            <w:hideMark/>
          </w:tcPr>
          <w:p w:rsidR="00735284" w:rsidRDefault="00735284">
            <w:pPr>
              <w:spacing w:after="0" w:line="240" w:lineRule="auto"/>
              <w:jc w:val="both"/>
              <w:rPr>
                <w:rFonts w:ascii="Times New Roman" w:hAnsi="Times New Roman"/>
                <w:sz w:val="28"/>
                <w:szCs w:val="24"/>
              </w:rPr>
            </w:pPr>
            <w:r>
              <w:rPr>
                <w:rFonts w:ascii="Times New Roman" w:hAnsi="Times New Roman"/>
                <w:sz w:val="28"/>
                <w:szCs w:val="24"/>
              </w:rPr>
              <w:t xml:space="preserve">Uz </w:t>
            </w:r>
            <w:r>
              <w:rPr>
                <w:rFonts w:ascii="Times New Roman" w:hAnsi="Times New Roman"/>
                <w:noProof/>
                <w:sz w:val="28"/>
                <w:szCs w:val="24"/>
              </w:rPr>
              <w:t>26.08.2021</w:t>
            </w:r>
            <w:r w:rsidR="002F2F35">
              <w:rPr>
                <w:rFonts w:ascii="Times New Roman" w:hAnsi="Times New Roman"/>
                <w:noProof/>
                <w:sz w:val="28"/>
                <w:szCs w:val="24"/>
              </w:rPr>
              <w:t>. VSS prot.</w:t>
            </w:r>
          </w:p>
        </w:tc>
        <w:tc>
          <w:tcPr>
            <w:tcW w:w="3260" w:type="dxa"/>
            <w:hideMark/>
          </w:tcPr>
          <w:p w:rsidR="00735284" w:rsidRDefault="00735284">
            <w:pPr>
              <w:spacing w:after="0" w:line="240" w:lineRule="auto"/>
              <w:jc w:val="both"/>
              <w:rPr>
                <w:rFonts w:ascii="Times New Roman" w:hAnsi="Times New Roman"/>
                <w:sz w:val="28"/>
                <w:szCs w:val="24"/>
              </w:rPr>
            </w:pPr>
            <w:r>
              <w:rPr>
                <w:rFonts w:ascii="Times New Roman" w:hAnsi="Times New Roman"/>
                <w:sz w:val="28"/>
                <w:szCs w:val="24"/>
              </w:rPr>
              <w:t>Nr.</w:t>
            </w:r>
            <w:r>
              <w:rPr>
                <w:rFonts w:ascii="Times New Roman" w:hAnsi="Times New Roman"/>
                <w:noProof/>
                <w:sz w:val="28"/>
                <w:szCs w:val="24"/>
              </w:rPr>
              <w:t>30 11.§</w:t>
            </w:r>
          </w:p>
        </w:tc>
        <w:tc>
          <w:tcPr>
            <w:tcW w:w="3260" w:type="dxa"/>
          </w:tcPr>
          <w:p w:rsidR="00735284" w:rsidRDefault="00735284">
            <w:pPr>
              <w:spacing w:after="0" w:line="240" w:lineRule="auto"/>
              <w:jc w:val="both"/>
              <w:rPr>
                <w:rFonts w:ascii="Times New Roman" w:hAnsi="Times New Roman"/>
                <w:sz w:val="28"/>
                <w:szCs w:val="24"/>
              </w:rPr>
            </w:pPr>
          </w:p>
        </w:tc>
      </w:tr>
    </w:tbl>
    <w:p w:rsidR="00735284" w:rsidRDefault="00735284" w:rsidP="00735284">
      <w:pPr>
        <w:spacing w:after="0" w:line="240" w:lineRule="auto"/>
        <w:jc w:val="both"/>
        <w:rPr>
          <w:rFonts w:ascii="Times New Roman" w:hAnsi="Times New Roman"/>
          <w:sz w:val="24"/>
          <w:szCs w:val="24"/>
        </w:rPr>
      </w:pPr>
    </w:p>
    <w:p w:rsidR="00735284" w:rsidRDefault="00735284" w:rsidP="00735284">
      <w:pPr>
        <w:spacing w:after="0" w:line="240" w:lineRule="auto"/>
        <w:rPr>
          <w:rFonts w:ascii="Times New Roman" w:hAnsi="Times New Roman"/>
          <w:sz w:val="28"/>
          <w:szCs w:val="28"/>
        </w:rPr>
      </w:pPr>
    </w:p>
    <w:p w:rsidR="002F2F35" w:rsidRDefault="00735284" w:rsidP="00735284">
      <w:pPr>
        <w:widowControl/>
        <w:tabs>
          <w:tab w:val="left" w:pos="-1701"/>
        </w:tabs>
        <w:spacing w:after="0" w:line="240" w:lineRule="auto"/>
        <w:rPr>
          <w:rFonts w:ascii="Times New Roman" w:eastAsia="Times New Roman" w:hAnsi="Times New Roman"/>
          <w:noProof/>
          <w:sz w:val="28"/>
          <w:szCs w:val="28"/>
        </w:rPr>
      </w:pPr>
      <w:r w:rsidRPr="00320697">
        <w:rPr>
          <w:rFonts w:ascii="Times New Roman" w:eastAsia="Times New Roman" w:hAnsi="Times New Roman"/>
          <w:noProof/>
          <w:sz w:val="28"/>
          <w:szCs w:val="28"/>
        </w:rPr>
        <w:t xml:space="preserve">Par Ministru kabineta noteikumu projektu  </w:t>
      </w:r>
      <w:r w:rsidR="002F2F35">
        <w:rPr>
          <w:rFonts w:ascii="Times New Roman" w:eastAsia="Times New Roman" w:hAnsi="Times New Roman"/>
          <w:noProof/>
          <w:sz w:val="28"/>
          <w:szCs w:val="28"/>
        </w:rPr>
        <w:t>“</w:t>
      </w:r>
      <w:r w:rsidR="002F2F35" w:rsidRPr="002F2F35">
        <w:rPr>
          <w:rFonts w:ascii="Times New Roman" w:eastAsia="Times New Roman" w:hAnsi="Times New Roman"/>
          <w:noProof/>
          <w:sz w:val="28"/>
          <w:szCs w:val="28"/>
        </w:rPr>
        <w:t xml:space="preserve">Grozījumi </w:t>
      </w:r>
    </w:p>
    <w:p w:rsidR="002F2F35" w:rsidRDefault="002F2F35" w:rsidP="00735284">
      <w:pPr>
        <w:widowControl/>
        <w:tabs>
          <w:tab w:val="left" w:pos="-1701"/>
        </w:tabs>
        <w:spacing w:after="0" w:line="240" w:lineRule="auto"/>
        <w:rPr>
          <w:rFonts w:ascii="Times New Roman" w:eastAsia="Times New Roman" w:hAnsi="Times New Roman"/>
          <w:noProof/>
          <w:sz w:val="28"/>
          <w:szCs w:val="28"/>
        </w:rPr>
      </w:pPr>
      <w:r w:rsidRPr="002F2F35">
        <w:rPr>
          <w:rFonts w:ascii="Times New Roman" w:eastAsia="Times New Roman" w:hAnsi="Times New Roman"/>
          <w:noProof/>
          <w:sz w:val="28"/>
          <w:szCs w:val="28"/>
        </w:rPr>
        <w:t>Ministru kabineta 2012. gada 1</w:t>
      </w:r>
      <w:r>
        <w:rPr>
          <w:rFonts w:ascii="Times New Roman" w:eastAsia="Times New Roman" w:hAnsi="Times New Roman"/>
          <w:noProof/>
          <w:sz w:val="28"/>
          <w:szCs w:val="28"/>
        </w:rPr>
        <w:t xml:space="preserve">1. decembra noteikumos </w:t>
      </w:r>
    </w:p>
    <w:p w:rsidR="002F2F35" w:rsidRDefault="002F2F35" w:rsidP="00735284">
      <w:pPr>
        <w:widowControl/>
        <w:tabs>
          <w:tab w:val="left" w:pos="-1701"/>
        </w:tabs>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Nr. 867 “</w:t>
      </w:r>
      <w:r w:rsidRPr="002F2F35">
        <w:rPr>
          <w:rFonts w:ascii="Times New Roman" w:eastAsia="Times New Roman" w:hAnsi="Times New Roman"/>
          <w:noProof/>
          <w:sz w:val="28"/>
          <w:szCs w:val="28"/>
        </w:rPr>
        <w:t xml:space="preserve">Kārtība, kādā nosakāms maksimāli pieļaujamais </w:t>
      </w:r>
    </w:p>
    <w:p w:rsidR="002F2F35" w:rsidRDefault="002F2F35" w:rsidP="00735284">
      <w:pPr>
        <w:widowControl/>
        <w:tabs>
          <w:tab w:val="left" w:pos="-1701"/>
        </w:tabs>
        <w:spacing w:after="0" w:line="240" w:lineRule="auto"/>
        <w:rPr>
          <w:rFonts w:ascii="Times New Roman" w:eastAsia="Times New Roman" w:hAnsi="Times New Roman"/>
          <w:noProof/>
          <w:sz w:val="28"/>
          <w:szCs w:val="28"/>
        </w:rPr>
      </w:pPr>
      <w:r w:rsidRPr="002F2F35">
        <w:rPr>
          <w:rFonts w:ascii="Times New Roman" w:eastAsia="Times New Roman" w:hAnsi="Times New Roman"/>
          <w:noProof/>
          <w:sz w:val="28"/>
          <w:szCs w:val="28"/>
        </w:rPr>
        <w:t xml:space="preserve">valsts budžeta izdevumu kopapjoms un maksimāli </w:t>
      </w:r>
    </w:p>
    <w:p w:rsidR="002F2F35" w:rsidRDefault="002F2F35" w:rsidP="00735284">
      <w:pPr>
        <w:widowControl/>
        <w:tabs>
          <w:tab w:val="left" w:pos="-1701"/>
        </w:tabs>
        <w:spacing w:after="0" w:line="240" w:lineRule="auto"/>
        <w:rPr>
          <w:rFonts w:ascii="Times New Roman" w:eastAsia="Times New Roman" w:hAnsi="Times New Roman"/>
          <w:noProof/>
          <w:sz w:val="28"/>
          <w:szCs w:val="28"/>
        </w:rPr>
      </w:pPr>
      <w:r w:rsidRPr="002F2F35">
        <w:rPr>
          <w:rFonts w:ascii="Times New Roman" w:eastAsia="Times New Roman" w:hAnsi="Times New Roman"/>
          <w:noProof/>
          <w:sz w:val="28"/>
          <w:szCs w:val="28"/>
        </w:rPr>
        <w:t xml:space="preserve">pieļaujamais valsts budžeta izdevumu kopējais apjoms </w:t>
      </w:r>
    </w:p>
    <w:p w:rsidR="002F2F35" w:rsidRDefault="002F2F35" w:rsidP="00735284">
      <w:pPr>
        <w:widowControl/>
        <w:tabs>
          <w:tab w:val="left" w:pos="-1701"/>
        </w:tabs>
        <w:spacing w:after="0" w:line="240" w:lineRule="auto"/>
        <w:rPr>
          <w:rFonts w:ascii="Times New Roman" w:eastAsia="Times New Roman" w:hAnsi="Times New Roman"/>
          <w:noProof/>
          <w:sz w:val="28"/>
          <w:szCs w:val="28"/>
        </w:rPr>
      </w:pPr>
      <w:r w:rsidRPr="002F2F35">
        <w:rPr>
          <w:rFonts w:ascii="Times New Roman" w:eastAsia="Times New Roman" w:hAnsi="Times New Roman"/>
          <w:noProof/>
          <w:sz w:val="28"/>
          <w:szCs w:val="28"/>
        </w:rPr>
        <w:t>katrai ministrijai un citām centrālajām v</w:t>
      </w:r>
      <w:r>
        <w:rPr>
          <w:rFonts w:ascii="Times New Roman" w:eastAsia="Times New Roman" w:hAnsi="Times New Roman"/>
          <w:noProof/>
          <w:sz w:val="28"/>
          <w:szCs w:val="28"/>
        </w:rPr>
        <w:t xml:space="preserve">alsts iestādēm </w:t>
      </w:r>
    </w:p>
    <w:p w:rsidR="00735284" w:rsidRDefault="002F2F35" w:rsidP="00735284">
      <w:pPr>
        <w:widowControl/>
        <w:tabs>
          <w:tab w:val="left" w:pos="-1701"/>
        </w:tabs>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 xml:space="preserve">vidējam termiņam”” </w:t>
      </w:r>
      <w:r w:rsidR="00735284" w:rsidRPr="00320697">
        <w:rPr>
          <w:rFonts w:ascii="Times New Roman" w:eastAsia="Times New Roman" w:hAnsi="Times New Roman"/>
          <w:noProof/>
          <w:sz w:val="28"/>
          <w:szCs w:val="28"/>
        </w:rPr>
        <w:t>(VSS-786)</w:t>
      </w:r>
    </w:p>
    <w:p w:rsidR="002F2F35" w:rsidRDefault="002F2F35" w:rsidP="00735284">
      <w:pPr>
        <w:widowControl/>
        <w:tabs>
          <w:tab w:val="left" w:pos="-1701"/>
        </w:tabs>
        <w:spacing w:after="0" w:line="240" w:lineRule="auto"/>
        <w:rPr>
          <w:rFonts w:ascii="Times New Roman" w:eastAsia="Times New Roman" w:hAnsi="Times New Roman"/>
          <w:noProof/>
          <w:sz w:val="28"/>
          <w:szCs w:val="28"/>
        </w:rPr>
      </w:pPr>
    </w:p>
    <w:p w:rsidR="00DE033D" w:rsidRDefault="00DE033D" w:rsidP="00701D58">
      <w:pPr>
        <w:widowControl/>
        <w:tabs>
          <w:tab w:val="left" w:pos="-1701"/>
        </w:tabs>
        <w:spacing w:after="0" w:line="240" w:lineRule="auto"/>
        <w:ind w:firstLine="851"/>
        <w:jc w:val="both"/>
        <w:rPr>
          <w:rFonts w:ascii="Times New Roman" w:eastAsia="Times New Roman" w:hAnsi="Times New Roman"/>
          <w:noProof/>
          <w:sz w:val="28"/>
          <w:szCs w:val="28"/>
        </w:rPr>
      </w:pPr>
    </w:p>
    <w:p w:rsidR="00701D58" w:rsidRDefault="00701D58" w:rsidP="00701D58">
      <w:pPr>
        <w:widowControl/>
        <w:tabs>
          <w:tab w:val="left" w:pos="-1701"/>
        </w:tabs>
        <w:spacing w:after="0" w:line="240" w:lineRule="auto"/>
        <w:ind w:firstLine="851"/>
        <w:jc w:val="both"/>
        <w:rPr>
          <w:rFonts w:ascii="Times New Roman" w:eastAsia="Times New Roman" w:hAnsi="Times New Roman"/>
          <w:noProof/>
          <w:sz w:val="28"/>
          <w:szCs w:val="28"/>
        </w:rPr>
      </w:pPr>
      <w:r>
        <w:rPr>
          <w:rFonts w:ascii="Times New Roman" w:eastAsia="Times New Roman" w:hAnsi="Times New Roman"/>
          <w:noProof/>
          <w:sz w:val="28"/>
          <w:szCs w:val="28"/>
        </w:rPr>
        <w:t xml:space="preserve">Iekšlietu ministrija ir izskatījusi Finanšu ministrijas sagatavoto </w:t>
      </w:r>
      <w:r w:rsidRPr="00320697">
        <w:rPr>
          <w:rFonts w:ascii="Times New Roman" w:eastAsia="Times New Roman" w:hAnsi="Times New Roman"/>
          <w:noProof/>
          <w:sz w:val="28"/>
          <w:szCs w:val="28"/>
        </w:rPr>
        <w:t xml:space="preserve">Ministru kabineta noteikumu projektu </w:t>
      </w:r>
      <w:r>
        <w:rPr>
          <w:rFonts w:ascii="Times New Roman" w:eastAsia="Times New Roman" w:hAnsi="Times New Roman"/>
          <w:noProof/>
          <w:sz w:val="28"/>
          <w:szCs w:val="28"/>
        </w:rPr>
        <w:t>“</w:t>
      </w:r>
      <w:r w:rsidRPr="002F2F35">
        <w:rPr>
          <w:rFonts w:ascii="Times New Roman" w:eastAsia="Times New Roman" w:hAnsi="Times New Roman"/>
          <w:noProof/>
          <w:sz w:val="28"/>
          <w:szCs w:val="28"/>
        </w:rPr>
        <w:t>Grozījumi Ministru kabineta 2012. gada 1</w:t>
      </w:r>
      <w:r>
        <w:rPr>
          <w:rFonts w:ascii="Times New Roman" w:eastAsia="Times New Roman" w:hAnsi="Times New Roman"/>
          <w:noProof/>
          <w:sz w:val="28"/>
          <w:szCs w:val="28"/>
        </w:rPr>
        <w:t>1. decembra noteikumos Nr. 867 “</w:t>
      </w:r>
      <w:r w:rsidRPr="002F2F35">
        <w:rPr>
          <w:rFonts w:ascii="Times New Roman" w:eastAsia="Times New Roman" w:hAnsi="Times New Roman"/>
          <w:noProof/>
          <w:sz w:val="28"/>
          <w:szCs w:val="28"/>
        </w:rPr>
        <w:t>Kārtība, kādā nosakāms maksimāli pieļaujamais valsts budžeta izdevumu kopapjoms un maksimāli pieļaujamais valsts budžeta izdevumu kopējais apjoms katrai ministrijai un citām centrālajām v</w:t>
      </w:r>
      <w:r>
        <w:rPr>
          <w:rFonts w:ascii="Times New Roman" w:eastAsia="Times New Roman" w:hAnsi="Times New Roman"/>
          <w:noProof/>
          <w:sz w:val="28"/>
          <w:szCs w:val="28"/>
        </w:rPr>
        <w:t>alsts iestādēm vidējam termiņam”” (turpmāk – projekts) un tā sākotnējās ietekmes novērtējuma ziņojumu (anotāciju), un izsaka šādus iebildumus.</w:t>
      </w:r>
    </w:p>
    <w:p w:rsidR="00701D58" w:rsidRPr="00ED2A1B" w:rsidRDefault="00701D58" w:rsidP="00701D58">
      <w:pPr>
        <w:pStyle w:val="ListParagraph"/>
        <w:spacing w:after="120" w:line="240" w:lineRule="auto"/>
        <w:ind w:left="0" w:firstLine="851"/>
        <w:jc w:val="both"/>
        <w:rPr>
          <w:rFonts w:ascii="Times New Roman" w:eastAsia="Times New Roman" w:hAnsi="Times New Roman"/>
          <w:sz w:val="28"/>
          <w:szCs w:val="28"/>
          <w:lang w:eastAsia="lv-LV"/>
        </w:rPr>
      </w:pPr>
      <w:r>
        <w:rPr>
          <w:rFonts w:ascii="Times New Roman" w:eastAsia="Times New Roman" w:hAnsi="Times New Roman"/>
          <w:color w:val="414142"/>
          <w:sz w:val="28"/>
          <w:szCs w:val="28"/>
          <w:lang w:eastAsia="lv-LV"/>
        </w:rPr>
        <w:t xml:space="preserve">1. </w:t>
      </w:r>
      <w:r w:rsidRPr="00ED2A1B">
        <w:rPr>
          <w:rFonts w:ascii="Times New Roman" w:eastAsia="Times New Roman" w:hAnsi="Times New Roman"/>
          <w:sz w:val="28"/>
          <w:szCs w:val="28"/>
          <w:lang w:eastAsia="lv-LV"/>
        </w:rPr>
        <w:t>Papildināt projekta 1.punktu</w:t>
      </w:r>
      <w:r>
        <w:rPr>
          <w:rFonts w:ascii="Times New Roman" w:eastAsia="Times New Roman" w:hAnsi="Times New Roman"/>
          <w:sz w:val="28"/>
          <w:szCs w:val="28"/>
          <w:lang w:eastAsia="lv-LV"/>
        </w:rPr>
        <w:t xml:space="preserve">, kas izsaka Ministru kabineta 2012. gada 11. decembra noteikumu </w:t>
      </w:r>
      <w:r>
        <w:rPr>
          <w:rFonts w:ascii="Times New Roman" w:eastAsia="Times New Roman" w:hAnsi="Times New Roman"/>
          <w:noProof/>
          <w:sz w:val="28"/>
          <w:szCs w:val="28"/>
        </w:rPr>
        <w:t>Nr. 867 “</w:t>
      </w:r>
      <w:r w:rsidRPr="002F2F35">
        <w:rPr>
          <w:rFonts w:ascii="Times New Roman" w:eastAsia="Times New Roman" w:hAnsi="Times New Roman"/>
          <w:noProof/>
          <w:sz w:val="28"/>
          <w:szCs w:val="28"/>
        </w:rPr>
        <w:t>Kārtība, kādā nosakāms maksimāli pieļaujamais valsts budžeta izdevumu kopapjoms un maksimāli pieļaujamais valsts budžeta izdevumu kopējais apjoms katrai ministrijai un citām centrālajām v</w:t>
      </w:r>
      <w:r>
        <w:rPr>
          <w:rFonts w:ascii="Times New Roman" w:eastAsia="Times New Roman" w:hAnsi="Times New Roman"/>
          <w:noProof/>
          <w:sz w:val="28"/>
          <w:szCs w:val="28"/>
        </w:rPr>
        <w:t>alsts iestādēm vidējam termiņam”</w:t>
      </w:r>
      <w:r>
        <w:rPr>
          <w:rFonts w:ascii="Times New Roman" w:eastAsia="Times New Roman" w:hAnsi="Times New Roman"/>
          <w:sz w:val="28"/>
          <w:szCs w:val="28"/>
          <w:lang w:eastAsia="lv-LV"/>
        </w:rPr>
        <w:t xml:space="preserve"> (turpmāk – noteikumi Nr.867) 8.2. apakšpunktu jaunā redakcijā,  </w:t>
      </w:r>
      <w:r w:rsidRPr="00ED2A1B">
        <w:rPr>
          <w:rFonts w:ascii="Times New Roman" w:eastAsia="Times New Roman" w:hAnsi="Times New Roman"/>
          <w:sz w:val="28"/>
          <w:szCs w:val="28"/>
          <w:lang w:eastAsia="lv-LV"/>
        </w:rPr>
        <w:t xml:space="preserve"> a</w:t>
      </w:r>
      <w:r>
        <w:rPr>
          <w:rFonts w:ascii="Times New Roman" w:eastAsia="Times New Roman" w:hAnsi="Times New Roman"/>
          <w:sz w:val="28"/>
          <w:szCs w:val="28"/>
          <w:lang w:eastAsia="lv-LV"/>
        </w:rPr>
        <w:t>iz vārda</w:t>
      </w:r>
      <w:r w:rsidRPr="00ED2A1B">
        <w:rPr>
          <w:rFonts w:ascii="Times New Roman" w:eastAsia="Times New Roman" w:hAnsi="Times New Roman"/>
          <w:sz w:val="28"/>
          <w:szCs w:val="28"/>
          <w:lang w:eastAsia="lv-LV"/>
        </w:rPr>
        <w:t xml:space="preserve"> “prioritārajiem” ar vārdiem “kā arī citiem investīciju”. Budžeta veidošanas procesā finansējums tiek piešķirts arī citiem pasākumiem, kas netiek definēti kā prioritārie pasākumi. </w:t>
      </w:r>
    </w:p>
    <w:p w:rsidR="00701D58" w:rsidRDefault="00701D58" w:rsidP="00701D58">
      <w:pPr>
        <w:pStyle w:val="ListParagraph"/>
        <w:spacing w:after="120" w:line="240" w:lineRule="auto"/>
        <w:ind w:left="0" w:firstLine="851"/>
        <w:jc w:val="both"/>
        <w:rPr>
          <w:rFonts w:ascii="Times New Roman" w:hAnsi="Times New Roman"/>
          <w:sz w:val="28"/>
          <w:szCs w:val="28"/>
        </w:rPr>
      </w:pPr>
      <w:r>
        <w:rPr>
          <w:rFonts w:ascii="Times New Roman" w:eastAsia="Times New Roman" w:hAnsi="Times New Roman"/>
          <w:sz w:val="28"/>
          <w:szCs w:val="28"/>
          <w:lang w:eastAsia="lv-LV"/>
        </w:rPr>
        <w:t>2. Papildināt projektu ar jaunu punktu, kas paredz papildināt noteikumu Nr.867 10.5. apakšpunktu aiz vārda “prioritārajam” ar vārdiem “</w:t>
      </w:r>
      <w:r w:rsidRPr="008028B3">
        <w:rPr>
          <w:rFonts w:ascii="Times New Roman" w:hAnsi="Times New Roman"/>
          <w:sz w:val="28"/>
          <w:szCs w:val="28"/>
        </w:rPr>
        <w:t>un vienreizējam investīciju</w:t>
      </w:r>
      <w:r>
        <w:rPr>
          <w:rFonts w:ascii="Times New Roman" w:hAnsi="Times New Roman"/>
          <w:sz w:val="28"/>
          <w:szCs w:val="28"/>
        </w:rPr>
        <w:t xml:space="preserve">”. </w:t>
      </w:r>
    </w:p>
    <w:p w:rsidR="00701D58" w:rsidRDefault="00701D58" w:rsidP="00701D58">
      <w:pPr>
        <w:pStyle w:val="ListParagraph"/>
        <w:spacing w:after="120" w:line="240" w:lineRule="auto"/>
        <w:ind w:left="0" w:firstLine="851"/>
        <w:jc w:val="both"/>
        <w:rPr>
          <w:rFonts w:ascii="Times New Roman" w:hAnsi="Times New Roman"/>
          <w:sz w:val="28"/>
          <w:szCs w:val="28"/>
        </w:rPr>
      </w:pPr>
      <w:r>
        <w:rPr>
          <w:rFonts w:ascii="Times New Roman" w:hAnsi="Times New Roman"/>
          <w:sz w:val="28"/>
          <w:szCs w:val="28"/>
        </w:rPr>
        <w:t>3. Lūdzam papildināt projekta anotāciju, norādot, ka:</w:t>
      </w:r>
    </w:p>
    <w:p w:rsidR="00701D58" w:rsidRDefault="00701D58" w:rsidP="00701D58">
      <w:pPr>
        <w:pStyle w:val="ListParagraph"/>
        <w:numPr>
          <w:ilvl w:val="1"/>
          <w:numId w:val="12"/>
        </w:numPr>
        <w:spacing w:after="120" w:line="240" w:lineRule="auto"/>
        <w:ind w:left="0" w:firstLine="1134"/>
        <w:jc w:val="both"/>
        <w:rPr>
          <w:rFonts w:ascii="Times New Roman" w:hAnsi="Times New Roman"/>
          <w:sz w:val="28"/>
          <w:szCs w:val="28"/>
        </w:rPr>
      </w:pPr>
      <w:r>
        <w:rPr>
          <w:rFonts w:ascii="Times New Roman" w:hAnsi="Times New Roman"/>
          <w:sz w:val="28"/>
          <w:szCs w:val="28"/>
        </w:rPr>
        <w:t>m</w:t>
      </w:r>
      <w:r w:rsidRPr="00B67CB6">
        <w:rPr>
          <w:rFonts w:ascii="Times New Roman" w:hAnsi="Times New Roman"/>
          <w:sz w:val="28"/>
          <w:szCs w:val="28"/>
        </w:rPr>
        <w:t xml:space="preserve">aksimāli pieļaujamais izdevumu kopapjoms valsts pamatbudžeta un valsts speciālā budžeta daļām valsts pamatfunkciju īstenošanai un Eiropas </w:t>
      </w:r>
      <w:r w:rsidRPr="00B67CB6">
        <w:rPr>
          <w:rFonts w:ascii="Times New Roman" w:hAnsi="Times New Roman"/>
          <w:sz w:val="28"/>
          <w:szCs w:val="28"/>
        </w:rPr>
        <w:lastRenderedPageBreak/>
        <w:t>Savienības politikas instrumentu un pārējās ārvalstu finanšu palīdzības līdzfinansēto un finansēto projektu un pasākumu īstenošanai ietver</w:t>
      </w:r>
      <w:r>
        <w:rPr>
          <w:rFonts w:ascii="Times New Roman" w:hAnsi="Times New Roman"/>
          <w:sz w:val="28"/>
          <w:szCs w:val="28"/>
        </w:rPr>
        <w:t xml:space="preserve"> arī citus pasākumus, kas nav definēti kā prioritārie pasākumi (piemēram, </w:t>
      </w:r>
      <w:r w:rsidRPr="00B67CB6">
        <w:rPr>
          <w:rFonts w:ascii="Times New Roman" w:hAnsi="Times New Roman"/>
          <w:sz w:val="28"/>
          <w:szCs w:val="28"/>
        </w:rPr>
        <w:t xml:space="preserve">Covid-19 krīzes pārvarēšanai un ekonomikas atlabšanai </w:t>
      </w:r>
      <w:r>
        <w:rPr>
          <w:rFonts w:ascii="Times New Roman" w:hAnsi="Times New Roman"/>
          <w:sz w:val="28"/>
          <w:szCs w:val="28"/>
        </w:rPr>
        <w:t>piešķirtais finansējums, augstas gatavības projekti);</w:t>
      </w:r>
    </w:p>
    <w:p w:rsidR="00701D58" w:rsidRPr="00B67CB6" w:rsidRDefault="00701D58" w:rsidP="00701D58">
      <w:pPr>
        <w:pStyle w:val="ListParagraph"/>
        <w:numPr>
          <w:ilvl w:val="1"/>
          <w:numId w:val="12"/>
        </w:numPr>
        <w:spacing w:after="120" w:line="240" w:lineRule="auto"/>
        <w:ind w:left="0" w:firstLine="709"/>
        <w:jc w:val="both"/>
        <w:rPr>
          <w:rFonts w:ascii="Times New Roman" w:hAnsi="Times New Roman"/>
          <w:sz w:val="28"/>
          <w:szCs w:val="28"/>
        </w:rPr>
      </w:pPr>
      <w:r>
        <w:rPr>
          <w:rFonts w:ascii="Times New Roman" w:hAnsi="Times New Roman"/>
          <w:sz w:val="28"/>
          <w:szCs w:val="28"/>
        </w:rPr>
        <w:t>m</w:t>
      </w:r>
      <w:r w:rsidRPr="00B67CB6">
        <w:rPr>
          <w:rFonts w:ascii="Times New Roman" w:hAnsi="Times New Roman"/>
          <w:sz w:val="28"/>
          <w:szCs w:val="28"/>
        </w:rPr>
        <w:t>inistrijām tiek piešķirts finansējums arī citām investīcijām, kuru uzturēšanai nepieciešams papildu finansējums turpmākiem gadiem. Piemēram, Iekšlietu ministrijai, veidojot 2021.gada budžetu</w:t>
      </w:r>
      <w:r>
        <w:rPr>
          <w:rFonts w:ascii="Times New Roman" w:hAnsi="Times New Roman"/>
          <w:sz w:val="28"/>
          <w:szCs w:val="28"/>
        </w:rPr>
        <w:t>,</w:t>
      </w:r>
      <w:r w:rsidRPr="00B67CB6">
        <w:rPr>
          <w:rFonts w:ascii="Times New Roman" w:hAnsi="Times New Roman"/>
          <w:sz w:val="28"/>
          <w:szCs w:val="28"/>
        </w:rPr>
        <w:t xml:space="preserve"> tika piešķirts finansējums pasākumam “Inovatīvu tehnoloģiju ilgtspējīga attīstība Iekšlietu ministrijas  resorā” (Covid-19 krīzes pārvarēšanai un ekonomikas atla</w:t>
      </w:r>
      <w:r>
        <w:rPr>
          <w:rFonts w:ascii="Times New Roman" w:hAnsi="Times New Roman"/>
          <w:sz w:val="28"/>
          <w:szCs w:val="28"/>
        </w:rPr>
        <w:t>bšanai 2021. gadam saskaņā ar Ministru kabineta</w:t>
      </w:r>
      <w:r w:rsidRPr="00B67CB6">
        <w:rPr>
          <w:rFonts w:ascii="Times New Roman" w:hAnsi="Times New Roman"/>
          <w:sz w:val="28"/>
          <w:szCs w:val="28"/>
        </w:rPr>
        <w:t xml:space="preserve"> 2020. gada 2. septembra sēdes protokola Nr.51 55.§ 2.punktu). Pasākuma ietvaros tiks izveidotas un uzlabotas informācijas sistēmas, bet normatīvais regulējums neparedz šo sistēmu uzturēšanas izdevumu iekļaušanu bāzes izdevumos. Turklāt arī šobrīd Iekšlietu</w:t>
      </w:r>
      <w:r>
        <w:rPr>
          <w:rFonts w:ascii="Times New Roman" w:hAnsi="Times New Roman"/>
          <w:sz w:val="28"/>
          <w:szCs w:val="28"/>
        </w:rPr>
        <w:t xml:space="preserve"> ministrijā tiek īstenoti a</w:t>
      </w:r>
      <w:r w:rsidRPr="00B67CB6">
        <w:rPr>
          <w:rFonts w:ascii="Times New Roman" w:hAnsi="Times New Roman"/>
          <w:sz w:val="28"/>
          <w:szCs w:val="28"/>
        </w:rPr>
        <w:t>ugstas gatavības projekti, kurus pabeidzot</w:t>
      </w:r>
      <w:r>
        <w:rPr>
          <w:rFonts w:ascii="Times New Roman" w:hAnsi="Times New Roman"/>
          <w:sz w:val="28"/>
          <w:szCs w:val="28"/>
        </w:rPr>
        <w:t>,</w:t>
      </w:r>
      <w:r w:rsidRPr="00B67CB6">
        <w:rPr>
          <w:rFonts w:ascii="Times New Roman" w:hAnsi="Times New Roman"/>
          <w:sz w:val="28"/>
          <w:szCs w:val="28"/>
        </w:rPr>
        <w:t xml:space="preserve"> būs nepieciešami uzturēšanas izdevumi.</w:t>
      </w:r>
    </w:p>
    <w:p w:rsidR="00701D58" w:rsidRPr="00ED2A1B" w:rsidRDefault="00701D58" w:rsidP="00701D58">
      <w:pPr>
        <w:pStyle w:val="ListParagraph"/>
        <w:spacing w:after="120" w:line="240" w:lineRule="auto"/>
        <w:ind w:left="0" w:firstLine="426"/>
        <w:jc w:val="both"/>
        <w:rPr>
          <w:rFonts w:ascii="Times New Roman" w:eastAsia="Times New Roman" w:hAnsi="Times New Roman"/>
          <w:sz w:val="28"/>
          <w:szCs w:val="28"/>
          <w:lang w:eastAsia="lv-LV"/>
        </w:rPr>
      </w:pPr>
    </w:p>
    <w:p w:rsidR="00701D58" w:rsidRDefault="00701D58" w:rsidP="00701D58">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539"/>
        <w:gridCol w:w="4546"/>
      </w:tblGrid>
      <w:tr w:rsidR="00000000" w:rsidTr="00003051">
        <w:tc>
          <w:tcPr>
            <w:tcW w:w="4650" w:type="dxa"/>
            <w:hideMark/>
          </w:tcPr>
          <w:p w:rsidR="00701D58" w:rsidRDefault="00701D58" w:rsidP="00003051">
            <w:pPr>
              <w:spacing w:after="0" w:line="240" w:lineRule="auto"/>
              <w:rPr>
                <w:rFonts w:ascii="Times New Roman" w:hAnsi="Times New Roman"/>
                <w:sz w:val="28"/>
                <w:szCs w:val="28"/>
              </w:rPr>
            </w:pPr>
            <w:r>
              <w:rPr>
                <w:rFonts w:ascii="Times New Roman" w:hAnsi="Times New Roman"/>
                <w:noProof/>
                <w:sz w:val="28"/>
                <w:szCs w:val="28"/>
              </w:rPr>
              <w:t>Valsts sekretārs</w:t>
            </w:r>
          </w:p>
        </w:tc>
        <w:tc>
          <w:tcPr>
            <w:tcW w:w="4651" w:type="dxa"/>
            <w:hideMark/>
          </w:tcPr>
          <w:p w:rsidR="00701D58" w:rsidRDefault="00701D58" w:rsidP="00003051">
            <w:pPr>
              <w:spacing w:after="0" w:line="240" w:lineRule="auto"/>
              <w:jc w:val="right"/>
              <w:rPr>
                <w:rFonts w:ascii="Times New Roman" w:hAnsi="Times New Roman"/>
                <w:sz w:val="28"/>
                <w:szCs w:val="28"/>
              </w:rPr>
            </w:pPr>
            <w:r>
              <w:rPr>
                <w:rFonts w:ascii="Times New Roman" w:hAnsi="Times New Roman"/>
                <w:noProof/>
                <w:sz w:val="28"/>
                <w:szCs w:val="28"/>
              </w:rPr>
              <w:t>Dimitrijs Trofimovs</w:t>
            </w:r>
          </w:p>
        </w:tc>
      </w:tr>
    </w:tbl>
    <w:p w:rsidR="00735284" w:rsidRDefault="00735284" w:rsidP="00735284">
      <w:pPr>
        <w:spacing w:after="0" w:line="240" w:lineRule="auto"/>
        <w:rPr>
          <w:rFonts w:ascii="Times New Roman" w:hAnsi="Times New Roman"/>
          <w:sz w:val="28"/>
          <w:szCs w:val="28"/>
        </w:rPr>
      </w:pPr>
    </w:p>
    <w:p w:rsidR="00735284" w:rsidRDefault="00735284" w:rsidP="00735284">
      <w:pPr>
        <w:spacing w:after="0" w:line="240" w:lineRule="auto"/>
        <w:rPr>
          <w:rFonts w:ascii="Times New Roman" w:hAnsi="Times New Roman"/>
          <w:sz w:val="28"/>
          <w:szCs w:val="28"/>
        </w:rPr>
      </w:pPr>
    </w:p>
    <w:p w:rsidR="00735284" w:rsidRDefault="00735284" w:rsidP="00735284">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542"/>
        <w:gridCol w:w="4543"/>
      </w:tblGrid>
      <w:tr w:rsidR="00000000" w:rsidTr="00C731E2">
        <w:tc>
          <w:tcPr>
            <w:tcW w:w="4650" w:type="dxa"/>
          </w:tcPr>
          <w:p w:rsidR="00735284" w:rsidRDefault="00735284">
            <w:pPr>
              <w:spacing w:after="0" w:line="240" w:lineRule="auto"/>
              <w:rPr>
                <w:rFonts w:ascii="Times New Roman" w:hAnsi="Times New Roman"/>
                <w:sz w:val="28"/>
                <w:szCs w:val="28"/>
              </w:rPr>
            </w:pPr>
          </w:p>
        </w:tc>
        <w:tc>
          <w:tcPr>
            <w:tcW w:w="4651" w:type="dxa"/>
          </w:tcPr>
          <w:p w:rsidR="00735284" w:rsidRDefault="00735284">
            <w:pPr>
              <w:spacing w:after="0" w:line="240" w:lineRule="auto"/>
              <w:jc w:val="right"/>
              <w:rPr>
                <w:rFonts w:ascii="Times New Roman" w:hAnsi="Times New Roman"/>
                <w:sz w:val="28"/>
                <w:szCs w:val="28"/>
              </w:rPr>
            </w:pPr>
          </w:p>
        </w:tc>
      </w:tr>
    </w:tbl>
    <w:p w:rsidR="00735284" w:rsidRDefault="00735284" w:rsidP="00735284">
      <w:pPr>
        <w:spacing w:after="0" w:line="240" w:lineRule="auto"/>
        <w:rPr>
          <w:rFonts w:ascii="Times New Roman" w:hAnsi="Times New Roman"/>
          <w:sz w:val="28"/>
          <w:szCs w:val="28"/>
        </w:rPr>
      </w:pPr>
    </w:p>
    <w:p w:rsidR="00735284" w:rsidRDefault="00735284"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735284" w:rsidRDefault="00735284"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EF39F9" w:rsidRDefault="00EF39F9" w:rsidP="00EF39F9">
      <w:pPr>
        <w:spacing w:after="0" w:line="240" w:lineRule="auto"/>
        <w:rPr>
          <w:rFonts w:ascii="Times New Roman" w:hAnsi="Times New Roman"/>
          <w:sz w:val="28"/>
          <w:szCs w:val="28"/>
        </w:rPr>
      </w:pPr>
    </w:p>
    <w:p w:rsidR="00EF39F9" w:rsidRPr="00035660" w:rsidRDefault="00EF39F9" w:rsidP="00EF39F9">
      <w:pPr>
        <w:spacing w:after="0" w:line="240" w:lineRule="auto"/>
        <w:rPr>
          <w:rFonts w:ascii="Times New Roman" w:hAnsi="Times New Roman"/>
          <w:sz w:val="20"/>
          <w:szCs w:val="20"/>
        </w:rPr>
      </w:pPr>
      <w:r w:rsidRPr="00035660">
        <w:rPr>
          <w:rFonts w:ascii="Times New Roman" w:hAnsi="Times New Roman"/>
          <w:noProof/>
          <w:sz w:val="20"/>
          <w:szCs w:val="20"/>
        </w:rPr>
        <w:t>Ieva Potjomkina</w:t>
      </w:r>
      <w:r w:rsidRPr="00035660">
        <w:rPr>
          <w:rFonts w:ascii="Times New Roman" w:hAnsi="Times New Roman"/>
          <w:sz w:val="20"/>
          <w:szCs w:val="20"/>
        </w:rPr>
        <w:t xml:space="preserve">, </w:t>
      </w:r>
      <w:r w:rsidRPr="00035660">
        <w:rPr>
          <w:rFonts w:ascii="Times New Roman" w:hAnsi="Times New Roman"/>
          <w:noProof/>
          <w:sz w:val="20"/>
          <w:szCs w:val="20"/>
        </w:rPr>
        <w:t>67219606</w:t>
      </w:r>
    </w:p>
    <w:p w:rsidR="00EF39F9" w:rsidRPr="00035660" w:rsidRDefault="00EF39F9" w:rsidP="00EF39F9">
      <w:pPr>
        <w:spacing w:after="0" w:line="240" w:lineRule="auto"/>
        <w:rPr>
          <w:rFonts w:ascii="Times New Roman" w:hAnsi="Times New Roman"/>
          <w:sz w:val="20"/>
          <w:szCs w:val="20"/>
        </w:rPr>
      </w:pPr>
      <w:r w:rsidRPr="00035660">
        <w:rPr>
          <w:rFonts w:ascii="Times New Roman" w:hAnsi="Times New Roman"/>
          <w:noProof/>
          <w:sz w:val="20"/>
          <w:szCs w:val="20"/>
        </w:rPr>
        <w:t>ieva.potjomkina@iem.gov.lv</w:t>
      </w:r>
    </w:p>
    <w:p w:rsidR="00EF39F9" w:rsidRPr="00035660" w:rsidRDefault="00035660" w:rsidP="00EF39F9">
      <w:pPr>
        <w:spacing w:after="0" w:line="240" w:lineRule="auto"/>
        <w:rPr>
          <w:rFonts w:ascii="Times New Roman" w:hAnsi="Times New Roman"/>
          <w:sz w:val="20"/>
          <w:szCs w:val="20"/>
        </w:rPr>
      </w:pPr>
      <w:r w:rsidRPr="00035660">
        <w:rPr>
          <w:rFonts w:ascii="Times New Roman" w:hAnsi="Times New Roman"/>
          <w:sz w:val="20"/>
          <w:szCs w:val="20"/>
        </w:rPr>
        <w:t>Ilga Verčina, 67219603</w:t>
      </w:r>
    </w:p>
    <w:p w:rsidR="00035660" w:rsidRPr="00035660" w:rsidRDefault="00035660" w:rsidP="00EF39F9">
      <w:pPr>
        <w:spacing w:after="0" w:line="240" w:lineRule="auto"/>
        <w:rPr>
          <w:rFonts w:ascii="Times New Roman" w:hAnsi="Times New Roman"/>
          <w:sz w:val="20"/>
          <w:szCs w:val="20"/>
        </w:rPr>
      </w:pPr>
      <w:r w:rsidRPr="00035660">
        <w:rPr>
          <w:rFonts w:ascii="Times New Roman" w:hAnsi="Times New Roman"/>
          <w:sz w:val="20"/>
          <w:szCs w:val="20"/>
        </w:rPr>
        <w:t>ilga.vercina@iem.gov.lv</w:t>
      </w:r>
    </w:p>
    <w:p w:rsidR="00735284" w:rsidRDefault="00735284"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1D71D6" w:rsidRDefault="001D71D6" w:rsidP="00735284">
      <w:pPr>
        <w:spacing w:after="0" w:line="240" w:lineRule="auto"/>
        <w:rPr>
          <w:rFonts w:ascii="Times New Roman" w:hAnsi="Times New Roman"/>
          <w:sz w:val="28"/>
          <w:szCs w:val="28"/>
        </w:rPr>
      </w:pPr>
    </w:p>
    <w:p w:rsidR="00735284" w:rsidRDefault="00735284" w:rsidP="00735284">
      <w:pPr>
        <w:spacing w:after="0" w:line="240" w:lineRule="auto"/>
        <w:jc w:val="center"/>
        <w:rPr>
          <w:rFonts w:ascii="Times New Roman" w:hAnsi="Times New Roman"/>
          <w:sz w:val="24"/>
          <w:szCs w:val="24"/>
        </w:rPr>
      </w:pPr>
      <w:r>
        <w:rPr>
          <w:rFonts w:ascii="Times New Roman" w:hAnsi="Times New Roman"/>
          <w:sz w:val="28"/>
          <w:szCs w:val="28"/>
        </w:rPr>
        <w:t>DOKUMENTS PARAKSTĪTS AR DROŠU ELEKTRONISKO PARAKSTU UN SATUR LAIKA ZĪMOGU</w:t>
      </w:r>
    </w:p>
    <w:p w:rsidR="00651581" w:rsidRDefault="00651581" w:rsidP="002D736B">
      <w:pPr>
        <w:widowControl/>
        <w:spacing w:after="0" w:line="240" w:lineRule="auto"/>
        <w:rPr>
          <w:rFonts w:ascii="Times New Roman" w:hAnsi="Times New Roman"/>
          <w:sz w:val="18"/>
          <w:szCs w:val="18"/>
        </w:rPr>
      </w:pPr>
    </w:p>
    <w:p w:rsidR="004367B9" w:rsidRPr="00651581" w:rsidRDefault="004367B9" w:rsidP="002D736B">
      <w:pPr>
        <w:widowControl/>
        <w:spacing w:after="0" w:line="240" w:lineRule="auto"/>
        <w:rPr>
          <w:rFonts w:ascii="Times New Roman" w:hAnsi="Times New Roman"/>
          <w:sz w:val="18"/>
          <w:szCs w:val="18"/>
        </w:rPr>
      </w:pPr>
    </w:p>
    <w:sectPr w:rsidR="004367B9" w:rsidRPr="00651581" w:rsidSect="0074324D">
      <w:headerReference w:type="first" r:id="rId9"/>
      <w:type w:val="continuous"/>
      <w:pgSz w:w="11920" w:h="16840"/>
      <w:pgMar w:top="1134" w:right="1134"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871" w:rsidRDefault="00ED4871">
      <w:pPr>
        <w:spacing w:after="0" w:line="240" w:lineRule="auto"/>
      </w:pPr>
      <w:r>
        <w:separator/>
      </w:r>
    </w:p>
  </w:endnote>
  <w:endnote w:type="continuationSeparator" w:id="0">
    <w:p w:rsidR="00ED4871" w:rsidRDefault="00ED4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871" w:rsidRDefault="00ED4871">
      <w:pPr>
        <w:spacing w:after="0" w:line="240" w:lineRule="auto"/>
      </w:pPr>
      <w:r>
        <w:separator/>
      </w:r>
    </w:p>
  </w:footnote>
  <w:footnote w:type="continuationSeparator" w:id="0">
    <w:p w:rsidR="00ED4871" w:rsidRDefault="00ED4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774" w:rsidRPr="00BD6774" w:rsidRDefault="00BD6774" w:rsidP="00BD6774">
    <w:pPr>
      <w:pStyle w:val="Header"/>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73704E3B"/>
    <w:multiLevelType w:val="hybridMultilevel"/>
    <w:tmpl w:val="23D86088"/>
    <w:lvl w:ilvl="0">
      <w:start w:val="1"/>
      <w:numFmt w:val="decimal"/>
      <w:lvlText w:val="%1."/>
      <w:lvlJc w:val="left"/>
      <w:pPr>
        <w:ind w:left="1070" w:hanging="360"/>
      </w:pPr>
      <w:rPr>
        <w:rFonts w:hint="default"/>
      </w:rPr>
    </w:lvl>
    <w:lvl w:ilvl="1">
      <w:start w:val="1"/>
      <w:numFmt w:val="bullet"/>
      <w:lvlText w:val=""/>
      <w:lvlJc w:val="left"/>
      <w:pPr>
        <w:ind w:left="1931" w:hanging="360"/>
      </w:pPr>
      <w:rPr>
        <w:rFonts w:ascii="Symbol" w:hAnsi="Symbol" w:hint="default"/>
      </w:r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3051"/>
    <w:rsid w:val="00006384"/>
    <w:rsid w:val="00016577"/>
    <w:rsid w:val="000169CE"/>
    <w:rsid w:val="00030349"/>
    <w:rsid w:val="00035660"/>
    <w:rsid w:val="000466E7"/>
    <w:rsid w:val="00053C57"/>
    <w:rsid w:val="00074FF2"/>
    <w:rsid w:val="00092CB0"/>
    <w:rsid w:val="000D541A"/>
    <w:rsid w:val="00121F6E"/>
    <w:rsid w:val="00124173"/>
    <w:rsid w:val="00127E58"/>
    <w:rsid w:val="00132130"/>
    <w:rsid w:val="001C365A"/>
    <w:rsid w:val="001D69F2"/>
    <w:rsid w:val="001D71D6"/>
    <w:rsid w:val="001E5591"/>
    <w:rsid w:val="00217C7E"/>
    <w:rsid w:val="00275B9E"/>
    <w:rsid w:val="0027749D"/>
    <w:rsid w:val="002A46F1"/>
    <w:rsid w:val="002B3077"/>
    <w:rsid w:val="002D736B"/>
    <w:rsid w:val="002E1474"/>
    <w:rsid w:val="002F2F35"/>
    <w:rsid w:val="00306D11"/>
    <w:rsid w:val="00320697"/>
    <w:rsid w:val="00332C67"/>
    <w:rsid w:val="00335032"/>
    <w:rsid w:val="00373D36"/>
    <w:rsid w:val="003B199A"/>
    <w:rsid w:val="003B2519"/>
    <w:rsid w:val="004073C2"/>
    <w:rsid w:val="004367B9"/>
    <w:rsid w:val="00444EF8"/>
    <w:rsid w:val="00472AFF"/>
    <w:rsid w:val="00493308"/>
    <w:rsid w:val="0051400B"/>
    <w:rsid w:val="00520A93"/>
    <w:rsid w:val="00535564"/>
    <w:rsid w:val="005A1BCB"/>
    <w:rsid w:val="005C346B"/>
    <w:rsid w:val="005D61FE"/>
    <w:rsid w:val="00606767"/>
    <w:rsid w:val="00612BE7"/>
    <w:rsid w:val="00651581"/>
    <w:rsid w:val="006616D2"/>
    <w:rsid w:val="00663C3A"/>
    <w:rsid w:val="00670E89"/>
    <w:rsid w:val="006B01C5"/>
    <w:rsid w:val="006C1639"/>
    <w:rsid w:val="006D7CB6"/>
    <w:rsid w:val="006E7CDB"/>
    <w:rsid w:val="006F1F22"/>
    <w:rsid w:val="00701D58"/>
    <w:rsid w:val="00735284"/>
    <w:rsid w:val="0074324D"/>
    <w:rsid w:val="007704BD"/>
    <w:rsid w:val="007A47FD"/>
    <w:rsid w:val="007B3BA5"/>
    <w:rsid w:val="007B482B"/>
    <w:rsid w:val="007B48EC"/>
    <w:rsid w:val="007E4D1F"/>
    <w:rsid w:val="008028B3"/>
    <w:rsid w:val="00815277"/>
    <w:rsid w:val="00876177"/>
    <w:rsid w:val="00876C21"/>
    <w:rsid w:val="0088699D"/>
    <w:rsid w:val="00887D85"/>
    <w:rsid w:val="008D13B4"/>
    <w:rsid w:val="00900DF0"/>
    <w:rsid w:val="00901FBE"/>
    <w:rsid w:val="0095403B"/>
    <w:rsid w:val="00954D5A"/>
    <w:rsid w:val="00996108"/>
    <w:rsid w:val="009B0210"/>
    <w:rsid w:val="009F01EE"/>
    <w:rsid w:val="00A27A9F"/>
    <w:rsid w:val="00A44201"/>
    <w:rsid w:val="00A9424B"/>
    <w:rsid w:val="00AD42D7"/>
    <w:rsid w:val="00AD474F"/>
    <w:rsid w:val="00B04502"/>
    <w:rsid w:val="00B67CB6"/>
    <w:rsid w:val="00B72FB2"/>
    <w:rsid w:val="00B91CD1"/>
    <w:rsid w:val="00BD3CC7"/>
    <w:rsid w:val="00BD6774"/>
    <w:rsid w:val="00C47F57"/>
    <w:rsid w:val="00C731E2"/>
    <w:rsid w:val="00C80A36"/>
    <w:rsid w:val="00C9108F"/>
    <w:rsid w:val="00C95BBC"/>
    <w:rsid w:val="00CE17EE"/>
    <w:rsid w:val="00CE607C"/>
    <w:rsid w:val="00CF3A42"/>
    <w:rsid w:val="00D21FA6"/>
    <w:rsid w:val="00D442EB"/>
    <w:rsid w:val="00D55642"/>
    <w:rsid w:val="00D55B4B"/>
    <w:rsid w:val="00DB693C"/>
    <w:rsid w:val="00DB76AE"/>
    <w:rsid w:val="00DC2F13"/>
    <w:rsid w:val="00DD194F"/>
    <w:rsid w:val="00DD656A"/>
    <w:rsid w:val="00DE033D"/>
    <w:rsid w:val="00DF6135"/>
    <w:rsid w:val="00E365CE"/>
    <w:rsid w:val="00E40CFB"/>
    <w:rsid w:val="00E436D8"/>
    <w:rsid w:val="00E84CE3"/>
    <w:rsid w:val="00E86986"/>
    <w:rsid w:val="00EC3999"/>
    <w:rsid w:val="00ED2A1B"/>
    <w:rsid w:val="00ED4871"/>
    <w:rsid w:val="00EE1DAE"/>
    <w:rsid w:val="00EF3368"/>
    <w:rsid w:val="00EF39F9"/>
    <w:rsid w:val="00F05AE8"/>
    <w:rsid w:val="00F14C3F"/>
    <w:rsid w:val="00F367A7"/>
    <w:rsid w:val="00F45E39"/>
    <w:rsid w:val="00F52301"/>
    <w:rsid w:val="00F60586"/>
    <w:rsid w:val="00FA7179"/>
    <w:rsid w:val="00FC4D81"/>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20E7DD8A-C7A5-4055-B22C-2BF3C6F0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NoSpacing">
    <w:name w:val="No Spacing"/>
    <w:uiPriority w:val="1"/>
    <w:qFormat/>
    <w:rsid w:val="00E436D8"/>
    <w:pPr>
      <w:widowControl w:val="0"/>
    </w:pPr>
    <w:rPr>
      <w:sz w:val="22"/>
      <w:szCs w:val="22"/>
      <w:lang w:val="en-US" w:eastAsia="en-US"/>
    </w:rPr>
  </w:style>
  <w:style w:type="paragraph" w:styleId="ListParagraph">
    <w:name w:val="List Paragraph"/>
    <w:basedOn w:val="Normal"/>
    <w:uiPriority w:val="34"/>
    <w:qFormat/>
    <w:rsid w:val="00701D58"/>
    <w:pPr>
      <w:widowControl/>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60377">
      <w:bodyDiv w:val="1"/>
      <w:marLeft w:val="0"/>
      <w:marRight w:val="0"/>
      <w:marTop w:val="0"/>
      <w:marBottom w:val="0"/>
      <w:divBdr>
        <w:top w:val="none" w:sz="0" w:space="0" w:color="auto"/>
        <w:left w:val="none" w:sz="0" w:space="0" w:color="auto"/>
        <w:bottom w:val="none" w:sz="0" w:space="0" w:color="auto"/>
        <w:right w:val="none" w:sz="0" w:space="0" w:color="auto"/>
      </w:divBdr>
    </w:div>
    <w:div w:id="1221092470">
      <w:bodyDiv w:val="1"/>
      <w:marLeft w:val="0"/>
      <w:marRight w:val="0"/>
      <w:marTop w:val="0"/>
      <w:marBottom w:val="0"/>
      <w:divBdr>
        <w:top w:val="none" w:sz="0" w:space="0" w:color="auto"/>
        <w:left w:val="none" w:sz="0" w:space="0" w:color="auto"/>
        <w:bottom w:val="none" w:sz="0" w:space="0" w:color="auto"/>
        <w:right w:val="none" w:sz="0" w:space="0" w:color="auto"/>
      </w:divBdr>
    </w:div>
    <w:div w:id="1466040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2EDE5-50A7-48A5-BD19-E6C97C27E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2119</Words>
  <Characters>1208</Characters>
  <Application>Microsoft Office Word</Application>
  <DocSecurity>4</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Rainiceca</dc:creator>
  <cp:keywords/>
  <cp:lastModifiedBy>Ieva Klinsone</cp:lastModifiedBy>
  <cp:revision>2</cp:revision>
  <cp:lastPrinted>2021-01-22T08:28:00Z</cp:lastPrinted>
  <dcterms:created xsi:type="dcterms:W3CDTF">2021-09-13T10:47:00Z</dcterms:created>
  <dcterms:modified xsi:type="dcterms:W3CDTF">2021-09-13T10:47:00Z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