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7C252" w14:textId="77777777" w:rsidR="001F752B" w:rsidRDefault="001F752B" w:rsidP="001F752B">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LRVK &lt;pasts@lrvk.gov.lv&gt;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trešdiena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8. </w:t>
      </w:r>
      <w:proofErr w:type="spellStart"/>
      <w:r>
        <w:rPr>
          <w:rFonts w:eastAsia="Times New Roman"/>
          <w:lang w:val="en-US" w:eastAsia="lv-LV"/>
        </w:rPr>
        <w:t>decembris</w:t>
      </w:r>
      <w:proofErr w:type="spellEnd"/>
      <w:r>
        <w:rPr>
          <w:rFonts w:eastAsia="Times New Roman"/>
          <w:lang w:val="en-US" w:eastAsia="lv-LV"/>
        </w:rPr>
        <w:t xml:space="preserve"> 06:56</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Ludmila Jevčuka &lt;ludmila.jevcuka@fm.gov.lv&gt;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4636A798" w14:textId="77777777" w:rsidR="001F752B" w:rsidRDefault="001F752B" w:rsidP="001F752B"/>
    <w:p w14:paraId="39C849F6" w14:textId="77777777" w:rsidR="001F752B" w:rsidRDefault="001F752B" w:rsidP="001F752B">
      <w:pPr>
        <w:spacing w:before="240" w:after="240"/>
        <w:jc w:val="both"/>
        <w:rPr>
          <w:rFonts w:ascii="Times New Roman" w:hAnsi="Times New Roman" w:cs="Times New Roman"/>
          <w:sz w:val="24"/>
          <w:szCs w:val="24"/>
          <w:lang w:eastAsia="lv-LV"/>
        </w:rPr>
      </w:pPr>
      <w:r>
        <w:t>Par noteikumu projektu (5 dienu saskaņošana) - grozījumi MK 11.12.2012. noteikumos Nr.867</w:t>
      </w:r>
    </w:p>
    <w:p w14:paraId="53CA30BE" w14:textId="77777777" w:rsidR="001F752B" w:rsidRDefault="001F752B" w:rsidP="001F752B">
      <w:pPr>
        <w:spacing w:before="120" w:after="120"/>
        <w:ind w:firstLine="567"/>
        <w:jc w:val="both"/>
      </w:pPr>
      <w:r>
        <w:t>Informējam, ka Valsts kontrole savas kompetences ietvaros ir iepazinusies ar precizēto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un neiebilst tā tālākai virzībai.</w:t>
      </w:r>
    </w:p>
    <w:p w14:paraId="0EBCC2B7" w14:textId="77777777" w:rsidR="001F752B" w:rsidRDefault="001F752B" w:rsidP="001F752B"/>
    <w:tbl>
      <w:tblPr>
        <w:tblW w:w="0" w:type="auto"/>
        <w:tblCellMar>
          <w:left w:w="0" w:type="dxa"/>
          <w:right w:w="0" w:type="dxa"/>
        </w:tblCellMar>
        <w:tblLook w:val="04A0" w:firstRow="1" w:lastRow="0" w:firstColumn="1" w:lastColumn="0" w:noHBand="0" w:noVBand="1"/>
      </w:tblPr>
      <w:tblGrid>
        <w:gridCol w:w="105"/>
        <w:gridCol w:w="1446"/>
        <w:gridCol w:w="4191"/>
        <w:gridCol w:w="318"/>
      </w:tblGrid>
      <w:tr w:rsidR="001F752B" w14:paraId="09A81197" w14:textId="77777777" w:rsidTr="001F752B">
        <w:trPr>
          <w:trHeight w:val="1250"/>
        </w:trPr>
        <w:tc>
          <w:tcPr>
            <w:tcW w:w="6060" w:type="dxa"/>
            <w:gridSpan w:val="4"/>
            <w:tcBorders>
              <w:top w:val="nil"/>
              <w:left w:val="nil"/>
              <w:bottom w:val="single" w:sz="8" w:space="0" w:color="BFBFBF"/>
              <w:right w:val="nil"/>
            </w:tcBorders>
            <w:tcMar>
              <w:top w:w="0" w:type="dxa"/>
              <w:left w:w="108" w:type="dxa"/>
              <w:bottom w:w="0" w:type="dxa"/>
              <w:right w:w="108" w:type="dxa"/>
            </w:tcMar>
            <w:vAlign w:val="center"/>
            <w:hideMark/>
          </w:tcPr>
          <w:p w14:paraId="7A86AA36" w14:textId="77777777" w:rsidR="001F752B" w:rsidRDefault="001F752B">
            <w:pPr>
              <w:spacing w:line="276" w:lineRule="auto"/>
              <w:rPr>
                <w:lang w:eastAsia="lv-LV"/>
              </w:rPr>
            </w:pPr>
            <w:r>
              <w:rPr>
                <w:lang w:eastAsia="lv-LV"/>
              </w:rPr>
              <w:t>Cieņā</w:t>
            </w:r>
          </w:p>
          <w:p w14:paraId="1B3CE19D" w14:textId="77777777" w:rsidR="001F752B" w:rsidRDefault="001F752B">
            <w:pPr>
              <w:spacing w:line="276" w:lineRule="auto"/>
              <w:rPr>
                <w:b/>
                <w:bCs/>
                <w:sz w:val="24"/>
                <w:szCs w:val="24"/>
                <w:lang w:eastAsia="lv-LV"/>
              </w:rPr>
            </w:pPr>
            <w:r>
              <w:rPr>
                <w:b/>
                <w:bCs/>
                <w:lang w:eastAsia="lv-LV"/>
              </w:rPr>
              <w:t>Valsts kontrole</w:t>
            </w:r>
          </w:p>
        </w:tc>
      </w:tr>
      <w:tr w:rsidR="001F752B" w14:paraId="270E26B5" w14:textId="77777777" w:rsidTr="001F752B">
        <w:trPr>
          <w:trHeight w:val="1250"/>
        </w:trPr>
        <w:tc>
          <w:tcPr>
            <w:tcW w:w="105" w:type="dxa"/>
            <w:vAlign w:val="center"/>
            <w:hideMark/>
          </w:tcPr>
          <w:p w14:paraId="0FB78142" w14:textId="77777777" w:rsidR="001F752B" w:rsidRDefault="001F752B">
            <w:r>
              <w:t> </w:t>
            </w:r>
          </w:p>
        </w:tc>
        <w:tc>
          <w:tcPr>
            <w:tcW w:w="1446" w:type="dxa"/>
            <w:tcMar>
              <w:top w:w="0" w:type="dxa"/>
              <w:left w:w="108" w:type="dxa"/>
              <w:bottom w:w="0" w:type="dxa"/>
              <w:right w:w="108" w:type="dxa"/>
            </w:tcMar>
            <w:vAlign w:val="center"/>
            <w:hideMark/>
          </w:tcPr>
          <w:p w14:paraId="0DE68BAF" w14:textId="44958FF3" w:rsidR="001F752B" w:rsidRDefault="001F752B">
            <w:pPr>
              <w:jc w:val="center"/>
              <w:rPr>
                <w:color w:val="000000"/>
                <w:sz w:val="16"/>
                <w:szCs w:val="16"/>
                <w:lang w:eastAsia="lv-LV"/>
              </w:rPr>
            </w:pPr>
            <w:r>
              <w:rPr>
                <w:noProof/>
                <w:color w:val="000000"/>
                <w:sz w:val="16"/>
                <w:szCs w:val="16"/>
                <w:lang w:eastAsia="lv-LV"/>
              </w:rPr>
              <w:drawing>
                <wp:inline distT="0" distB="0" distL="0" distR="0" wp14:anchorId="4D59081A" wp14:editId="3BFF1A02">
                  <wp:extent cx="609600" cy="486410"/>
                  <wp:effectExtent l="0" t="0" r="0" b="8890"/>
                  <wp:docPr id="5" name="Picture 5" descr="A picture containing text, vector graphics&#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containing text, vector graphics&#10;&#10;Description automatically generate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486410"/>
                          </a:xfrm>
                          <a:prstGeom prst="rect">
                            <a:avLst/>
                          </a:prstGeom>
                          <a:noFill/>
                          <a:ln>
                            <a:noFill/>
                          </a:ln>
                        </pic:spPr>
                      </pic:pic>
                    </a:graphicData>
                  </a:graphic>
                </wp:inline>
              </w:drawing>
            </w:r>
          </w:p>
          <w:p w14:paraId="60896FB8" w14:textId="77777777" w:rsidR="001F752B" w:rsidRDefault="001F752B">
            <w:pPr>
              <w:jc w:val="center"/>
              <w:rPr>
                <w:color w:val="000000"/>
                <w:lang w:eastAsia="lv-LV"/>
              </w:rPr>
            </w:pPr>
            <w:r>
              <w:rPr>
                <w:color w:val="000000"/>
                <w:sz w:val="16"/>
                <w:szCs w:val="16"/>
                <w:lang w:eastAsia="lv-LV"/>
              </w:rPr>
              <w:t>Latvijas Republikas Valsts kontrole</w:t>
            </w:r>
          </w:p>
        </w:tc>
        <w:tc>
          <w:tcPr>
            <w:tcW w:w="4191" w:type="dxa"/>
            <w:tcMar>
              <w:top w:w="0" w:type="dxa"/>
              <w:left w:w="108" w:type="dxa"/>
              <w:bottom w:w="0" w:type="dxa"/>
              <w:right w:w="108" w:type="dxa"/>
            </w:tcMar>
          </w:tcPr>
          <w:p w14:paraId="138FDA10" w14:textId="77777777" w:rsidR="001F752B" w:rsidRDefault="001F752B">
            <w:pPr>
              <w:spacing w:line="276" w:lineRule="auto"/>
              <w:rPr>
                <w:color w:val="000000"/>
                <w:sz w:val="6"/>
                <w:szCs w:val="6"/>
                <w:lang w:eastAsia="lv-LV"/>
              </w:rPr>
            </w:pPr>
          </w:p>
          <w:p w14:paraId="10AD40BA" w14:textId="77777777" w:rsidR="001F752B" w:rsidRDefault="001F752B">
            <w:pPr>
              <w:rPr>
                <w:color w:val="000000"/>
                <w:sz w:val="18"/>
                <w:szCs w:val="18"/>
                <w:lang w:eastAsia="lv-LV"/>
              </w:rPr>
            </w:pPr>
            <w:r>
              <w:rPr>
                <w:color w:val="000000"/>
                <w:sz w:val="18"/>
                <w:szCs w:val="18"/>
                <w:lang w:eastAsia="lv-LV"/>
              </w:rPr>
              <w:t>Tālr.: 67017500</w:t>
            </w:r>
          </w:p>
          <w:p w14:paraId="6198D9CA" w14:textId="77777777" w:rsidR="001F752B" w:rsidRDefault="001F752B">
            <w:pPr>
              <w:rPr>
                <w:color w:val="000000"/>
                <w:sz w:val="18"/>
                <w:szCs w:val="18"/>
                <w:lang w:eastAsia="lv-LV"/>
              </w:rPr>
            </w:pPr>
            <w:r>
              <w:rPr>
                <w:color w:val="000000"/>
                <w:sz w:val="18"/>
                <w:szCs w:val="18"/>
                <w:lang w:eastAsia="lv-LV"/>
              </w:rPr>
              <w:t>E-pasts:</w:t>
            </w:r>
            <w:r>
              <w:rPr>
                <w:color w:val="1F497D"/>
                <w:sz w:val="18"/>
                <w:szCs w:val="18"/>
                <w:lang w:eastAsia="lv-LV"/>
              </w:rPr>
              <w:t xml:space="preserve"> </w:t>
            </w:r>
            <w:hyperlink r:id="rId7" w:history="1">
              <w:r>
                <w:rPr>
                  <w:rStyle w:val="Hyperlink"/>
                  <w:color w:val="0000FF"/>
                  <w:sz w:val="18"/>
                  <w:szCs w:val="18"/>
                  <w:lang w:eastAsia="lv-LV"/>
                </w:rPr>
                <w:t>pasts@lrvk.gov.lv</w:t>
              </w:r>
            </w:hyperlink>
            <w:r>
              <w:rPr>
                <w:color w:val="1F497D"/>
                <w:sz w:val="18"/>
                <w:szCs w:val="18"/>
                <w:lang w:eastAsia="lv-LV"/>
              </w:rPr>
              <w:t xml:space="preserve"> </w:t>
            </w:r>
            <w:r>
              <w:rPr>
                <w:color w:val="000000"/>
                <w:sz w:val="18"/>
                <w:szCs w:val="18"/>
                <w:lang w:eastAsia="lv-LV"/>
              </w:rPr>
              <w:t xml:space="preserve">  </w:t>
            </w:r>
            <w:r>
              <w:rPr>
                <w:color w:val="1F497D"/>
                <w:sz w:val="18"/>
                <w:szCs w:val="18"/>
                <w:lang w:eastAsia="lv-LV"/>
              </w:rPr>
              <w:t> </w:t>
            </w:r>
          </w:p>
          <w:p w14:paraId="3FE7F964" w14:textId="77777777" w:rsidR="001F752B" w:rsidRDefault="001F752B">
            <w:pPr>
              <w:rPr>
                <w:color w:val="000000"/>
                <w:sz w:val="18"/>
                <w:szCs w:val="18"/>
                <w:lang w:eastAsia="lv-LV"/>
              </w:rPr>
            </w:pPr>
            <w:hyperlink r:id="rId8" w:history="1">
              <w:r>
                <w:rPr>
                  <w:rStyle w:val="Hyperlink"/>
                  <w:color w:val="0000FF"/>
                  <w:sz w:val="18"/>
                  <w:szCs w:val="18"/>
                  <w:lang w:eastAsia="lv-LV"/>
                </w:rPr>
                <w:t>https://www.lrvk.gov.lv</w:t>
              </w:r>
            </w:hyperlink>
            <w:r>
              <w:rPr>
                <w:color w:val="1F497D"/>
                <w:sz w:val="18"/>
                <w:szCs w:val="18"/>
                <w:lang w:eastAsia="lv-LV"/>
              </w:rPr>
              <w:t xml:space="preserve"> </w:t>
            </w:r>
          </w:p>
          <w:p w14:paraId="41575775" w14:textId="34273C56" w:rsidR="001F752B" w:rsidRDefault="001F752B">
            <w:pPr>
              <w:rPr>
                <w:color w:val="000000"/>
                <w:lang w:eastAsia="lv-LV"/>
              </w:rPr>
            </w:pPr>
            <w:r>
              <w:rPr>
                <w:noProof/>
                <w:color w:val="000000"/>
                <w:lang w:eastAsia="lv-LV"/>
              </w:rPr>
              <w:drawing>
                <wp:inline distT="0" distB="0" distL="0" distR="0" wp14:anchorId="6B989DFE" wp14:editId="6CCDF46F">
                  <wp:extent cx="239395" cy="239395"/>
                  <wp:effectExtent l="0" t="0" r="8255" b="8255"/>
                  <wp:docPr id="4" name="Picture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inline>
              </w:drawing>
            </w:r>
            <w:r>
              <w:rPr>
                <w:noProof/>
                <w:color w:val="000000"/>
                <w:lang w:eastAsia="lv-LV"/>
              </w:rPr>
              <w:drawing>
                <wp:inline distT="0" distB="0" distL="0" distR="0" wp14:anchorId="58F1FD3A" wp14:editId="7A5E6D05">
                  <wp:extent cx="268605" cy="239395"/>
                  <wp:effectExtent l="0" t="0" r="0" b="8255"/>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605" cy="239395"/>
                          </a:xfrm>
                          <a:prstGeom prst="rect">
                            <a:avLst/>
                          </a:prstGeom>
                          <a:noFill/>
                          <a:ln>
                            <a:noFill/>
                          </a:ln>
                        </pic:spPr>
                      </pic:pic>
                    </a:graphicData>
                  </a:graphic>
                </wp:inline>
              </w:drawing>
            </w:r>
            <w:r>
              <w:rPr>
                <w:noProof/>
                <w:color w:val="000000"/>
                <w:lang w:eastAsia="lv-LV"/>
              </w:rPr>
              <w:drawing>
                <wp:inline distT="0" distB="0" distL="0" distR="0" wp14:anchorId="568C7FE6" wp14:editId="1269B750">
                  <wp:extent cx="239395" cy="239395"/>
                  <wp:effectExtent l="0" t="0" r="8255" b="8255"/>
                  <wp:docPr id="2" name="Pict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395" cy="239395"/>
                          </a:xfrm>
                          <a:prstGeom prst="rect">
                            <a:avLst/>
                          </a:prstGeom>
                          <a:noFill/>
                          <a:ln>
                            <a:noFill/>
                          </a:ln>
                        </pic:spPr>
                      </pic:pic>
                    </a:graphicData>
                  </a:graphic>
                </wp:inline>
              </w:drawing>
            </w:r>
          </w:p>
        </w:tc>
        <w:tc>
          <w:tcPr>
            <w:tcW w:w="315" w:type="dxa"/>
            <w:vAlign w:val="center"/>
            <w:hideMark/>
          </w:tcPr>
          <w:p w14:paraId="4EC2ED15" w14:textId="77777777" w:rsidR="001F752B" w:rsidRDefault="001F752B">
            <w:r>
              <w:t> </w:t>
            </w:r>
          </w:p>
        </w:tc>
      </w:tr>
      <w:tr w:rsidR="001F752B" w14:paraId="34D66453" w14:textId="77777777" w:rsidTr="001F752B">
        <w:tc>
          <w:tcPr>
            <w:tcW w:w="105" w:type="dxa"/>
            <w:vAlign w:val="center"/>
            <w:hideMark/>
          </w:tcPr>
          <w:p w14:paraId="64EFACB1" w14:textId="77777777" w:rsidR="001F752B" w:rsidRDefault="001F752B"/>
        </w:tc>
        <w:tc>
          <w:tcPr>
            <w:tcW w:w="1440" w:type="dxa"/>
            <w:vAlign w:val="center"/>
            <w:hideMark/>
          </w:tcPr>
          <w:p w14:paraId="59C0F251" w14:textId="77777777" w:rsidR="001F752B" w:rsidRDefault="001F752B">
            <w:pPr>
              <w:rPr>
                <w:rFonts w:ascii="Times New Roman" w:eastAsia="Times New Roman" w:hAnsi="Times New Roman" w:cs="Times New Roman"/>
                <w:sz w:val="20"/>
                <w:szCs w:val="20"/>
                <w:lang w:eastAsia="lv-LV"/>
              </w:rPr>
            </w:pPr>
          </w:p>
        </w:tc>
        <w:tc>
          <w:tcPr>
            <w:tcW w:w="4185" w:type="dxa"/>
            <w:vAlign w:val="center"/>
            <w:hideMark/>
          </w:tcPr>
          <w:p w14:paraId="5A1CFC78" w14:textId="77777777" w:rsidR="001F752B" w:rsidRDefault="001F752B">
            <w:pPr>
              <w:rPr>
                <w:rFonts w:ascii="Times New Roman" w:eastAsia="Times New Roman" w:hAnsi="Times New Roman" w:cs="Times New Roman"/>
                <w:sz w:val="20"/>
                <w:szCs w:val="20"/>
                <w:lang w:eastAsia="lv-LV"/>
              </w:rPr>
            </w:pPr>
          </w:p>
        </w:tc>
        <w:tc>
          <w:tcPr>
            <w:tcW w:w="315" w:type="dxa"/>
            <w:vAlign w:val="center"/>
            <w:hideMark/>
          </w:tcPr>
          <w:p w14:paraId="250E68C7" w14:textId="77777777" w:rsidR="001F752B" w:rsidRDefault="001F752B">
            <w:pPr>
              <w:rPr>
                <w:rFonts w:ascii="Times New Roman" w:eastAsia="Times New Roman" w:hAnsi="Times New Roman" w:cs="Times New Roman"/>
                <w:sz w:val="20"/>
                <w:szCs w:val="20"/>
                <w:lang w:eastAsia="lv-LV"/>
              </w:rPr>
            </w:pPr>
          </w:p>
        </w:tc>
      </w:tr>
    </w:tbl>
    <w:p w14:paraId="0137F57C" w14:textId="77777777" w:rsidR="001F752B" w:rsidRDefault="001F752B" w:rsidP="001F752B"/>
    <w:p w14:paraId="5AD14999" w14:textId="306ABFF8" w:rsidR="001F752B" w:rsidRDefault="001F752B" w:rsidP="001F752B">
      <w:pPr>
        <w:outlineLvl w:val="0"/>
        <w:rPr>
          <w:lang w:val="en-US" w:eastAsia="lv-LV"/>
        </w:rPr>
      </w:pPr>
      <w:r>
        <w:rPr>
          <w:b/>
          <w:bCs/>
          <w:lang w:val="en-US" w:eastAsia="lv-LV"/>
        </w:rPr>
        <w:t>From:</w:t>
      </w:r>
      <w:r>
        <w:rPr>
          <w:lang w:val="en-US" w:eastAsia="lv-LV"/>
        </w:rPr>
        <w:t xml:space="preserve"> Ludmila Jevčuka &lt;</w:t>
      </w:r>
      <w:hyperlink r:id="rId15"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w:t>
      </w:r>
      <w:proofErr w:type="spellStart"/>
      <w:r>
        <w:rPr>
          <w:lang w:val="en-US" w:eastAsia="lv-LV"/>
        </w:rPr>
        <w:t>trešdiena</w:t>
      </w:r>
      <w:proofErr w:type="spellEnd"/>
      <w:r>
        <w:rPr>
          <w:lang w:val="en-US" w:eastAsia="lv-LV"/>
        </w:rPr>
        <w:t xml:space="preserve">, 2021. </w:t>
      </w:r>
      <w:proofErr w:type="spellStart"/>
      <w:r>
        <w:rPr>
          <w:lang w:val="en-US" w:eastAsia="lv-LV"/>
        </w:rPr>
        <w:t>gada</w:t>
      </w:r>
      <w:proofErr w:type="spellEnd"/>
      <w:r>
        <w:rPr>
          <w:lang w:val="en-US" w:eastAsia="lv-LV"/>
        </w:rPr>
        <w:t xml:space="preserve"> 1. </w:t>
      </w:r>
      <w:proofErr w:type="spellStart"/>
      <w:r>
        <w:rPr>
          <w:lang w:val="en-US" w:eastAsia="lv-LV"/>
        </w:rPr>
        <w:t>decembris</w:t>
      </w:r>
      <w:proofErr w:type="spellEnd"/>
      <w:r>
        <w:rPr>
          <w:lang w:val="en-US" w:eastAsia="lv-LV"/>
        </w:rPr>
        <w:t xml:space="preserve"> 16:32</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(5 </w:t>
      </w:r>
      <w:proofErr w:type="spellStart"/>
      <w:r>
        <w:rPr>
          <w:lang w:val="en-US" w:eastAsia="lv-LV"/>
        </w:rPr>
        <w:t>dienu</w:t>
      </w:r>
      <w:proofErr w:type="spellEnd"/>
      <w:r>
        <w:rPr>
          <w:lang w:val="en-US" w:eastAsia="lv-LV"/>
        </w:rPr>
        <w:t xml:space="preserve"> </w:t>
      </w:r>
      <w:proofErr w:type="spellStart"/>
      <w:r>
        <w:rPr>
          <w:lang w:val="en-US" w:eastAsia="lv-LV"/>
        </w:rPr>
        <w:t>saskaņošana</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2A014B3A" w14:textId="77777777" w:rsidR="001F752B" w:rsidRDefault="001F752B" w:rsidP="001F752B"/>
    <w:p w14:paraId="0EAFAA71" w14:textId="77777777" w:rsidR="001F752B" w:rsidRDefault="001F752B" w:rsidP="001F752B">
      <w:pPr>
        <w:rPr>
          <w:color w:val="1F497D"/>
        </w:rPr>
      </w:pPr>
    </w:p>
    <w:p w14:paraId="042A77A3" w14:textId="77777777" w:rsidR="001F752B" w:rsidRDefault="001F752B" w:rsidP="001F752B">
      <w:pPr>
        <w:rPr>
          <w:color w:val="1F497D"/>
        </w:rPr>
      </w:pPr>
      <w:r>
        <w:rPr>
          <w:color w:val="1F497D"/>
        </w:rPr>
        <w:t>Labdien!</w:t>
      </w:r>
    </w:p>
    <w:p w14:paraId="6C3C5FBC" w14:textId="77777777" w:rsidR="001F752B" w:rsidRDefault="001F752B" w:rsidP="001F752B">
      <w:pPr>
        <w:rPr>
          <w:color w:val="1F497D"/>
        </w:rPr>
      </w:pPr>
    </w:p>
    <w:p w14:paraId="63319FFD" w14:textId="77777777" w:rsidR="001F752B" w:rsidRDefault="001F752B" w:rsidP="001F752B">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01D38DF2" w14:textId="77777777" w:rsidR="001F752B" w:rsidRDefault="001F752B" w:rsidP="001F752B">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2BF93902" w14:textId="77777777" w:rsidR="001F752B" w:rsidRDefault="001F752B" w:rsidP="001F752B">
      <w:pPr>
        <w:rPr>
          <w:color w:val="1F497D"/>
        </w:rPr>
      </w:pPr>
    </w:p>
    <w:p w14:paraId="130CCF22" w14:textId="77777777" w:rsidR="001F752B" w:rsidRDefault="001F752B" w:rsidP="001F752B">
      <w:pPr>
        <w:rPr>
          <w:color w:val="1F497D"/>
        </w:rPr>
      </w:pPr>
    </w:p>
    <w:p w14:paraId="6D7307D1" w14:textId="77777777" w:rsidR="001F752B" w:rsidRDefault="001F752B" w:rsidP="001F752B">
      <w:pPr>
        <w:rPr>
          <w:color w:val="1F497D"/>
        </w:rPr>
      </w:pPr>
      <w:r>
        <w:rPr>
          <w:color w:val="1F497D"/>
        </w:rPr>
        <w:t>Pielikumā:</w:t>
      </w:r>
    </w:p>
    <w:p w14:paraId="70FFCD2A" w14:textId="77777777" w:rsidR="001F752B" w:rsidRDefault="001F752B" w:rsidP="001F752B">
      <w:pPr>
        <w:numPr>
          <w:ilvl w:val="0"/>
          <w:numId w:val="1"/>
        </w:numPr>
        <w:rPr>
          <w:rFonts w:eastAsia="Times New Roman"/>
          <w:color w:val="1F497D"/>
        </w:rPr>
      </w:pPr>
      <w:r>
        <w:rPr>
          <w:rFonts w:eastAsia="Times New Roman"/>
          <w:color w:val="1F497D"/>
        </w:rPr>
        <w:t>Noteikumu projekts;</w:t>
      </w:r>
    </w:p>
    <w:p w14:paraId="206EC85C" w14:textId="77777777" w:rsidR="001F752B" w:rsidRDefault="001F752B" w:rsidP="001F752B">
      <w:pPr>
        <w:numPr>
          <w:ilvl w:val="0"/>
          <w:numId w:val="1"/>
        </w:numPr>
        <w:rPr>
          <w:rFonts w:eastAsia="Times New Roman"/>
          <w:color w:val="1F497D"/>
        </w:rPr>
      </w:pPr>
      <w:r>
        <w:rPr>
          <w:rFonts w:eastAsia="Times New Roman"/>
          <w:color w:val="1F497D"/>
        </w:rPr>
        <w:t>Anotācija;</w:t>
      </w:r>
    </w:p>
    <w:p w14:paraId="55092DE3" w14:textId="77777777" w:rsidR="001F752B" w:rsidRDefault="001F752B" w:rsidP="001F752B">
      <w:pPr>
        <w:numPr>
          <w:ilvl w:val="0"/>
          <w:numId w:val="1"/>
        </w:numPr>
        <w:rPr>
          <w:rFonts w:eastAsia="Times New Roman"/>
          <w:color w:val="1F497D"/>
        </w:rPr>
      </w:pPr>
      <w:r>
        <w:rPr>
          <w:rFonts w:eastAsia="Times New Roman"/>
          <w:color w:val="1F497D"/>
        </w:rPr>
        <w:t>Izziņa par atzinumos sniegtajiem iebildumiem.</w:t>
      </w:r>
    </w:p>
    <w:p w14:paraId="5C324DB5" w14:textId="77777777" w:rsidR="001F752B" w:rsidRDefault="001F752B" w:rsidP="001F752B">
      <w:pPr>
        <w:rPr>
          <w:color w:val="1F497D"/>
        </w:rPr>
      </w:pPr>
    </w:p>
    <w:p w14:paraId="10DBF658" w14:textId="77777777" w:rsidR="001F752B" w:rsidRDefault="001F752B" w:rsidP="001F752B">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16"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7"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bookmarkEnd w:id="0"/>
    <w:p w14:paraId="76A4BA48" w14:textId="77777777" w:rsidR="00E63914" w:rsidRDefault="00E63914"/>
    <w:sectPr w:rsidR="00E63914" w:rsidSect="001F75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52B"/>
    <w:rsid w:val="001F752B"/>
    <w:rsid w:val="00E639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7A2B9"/>
  <w15:chartTrackingRefBased/>
  <w15:docId w15:val="{33D5D848-7BE1-464D-94A9-D4F155873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52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752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rvk.gov.lv/" TargetMode="External"/><Relationship Id="rId13" Type="http://schemas.openxmlformats.org/officeDocument/2006/relationships/hyperlink" Target="https://www.youtube.com/channel/UC2TJ8cs3avjo-XRZa7ZqId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sts@lrvk.gov.lv" TargetMode="External"/><Relationship Id="rId12" Type="http://schemas.openxmlformats.org/officeDocument/2006/relationships/image" Target="media/image3.gif"/><Relationship Id="rId17" Type="http://schemas.openxmlformats.org/officeDocument/2006/relationships/hyperlink" Target="mailto:%20ieva.klinsone@fm.gov.lv" TargetMode="External"/><Relationship Id="rId2" Type="http://schemas.openxmlformats.org/officeDocument/2006/relationships/styles" Target="styles.xml"/><Relationship Id="rId16" Type="http://schemas.openxmlformats.org/officeDocument/2006/relationships/hyperlink" Target="mailto:%20ludmila.jevcuka@fm.gov.lv"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twitter.com/VKontrole" TargetMode="External"/><Relationship Id="rId5" Type="http://schemas.openxmlformats.org/officeDocument/2006/relationships/hyperlink" Target="https://www.lrvk.gov.lv/" TargetMode="External"/><Relationship Id="rId15" Type="http://schemas.openxmlformats.org/officeDocument/2006/relationships/hyperlink" Target="mailto:ludmila.jevcuka@fm.gov.lv" TargetMode="Externa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VKontrole/"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1757</Words>
  <Characters>1002</Characters>
  <Application>Microsoft Office Word</Application>
  <DocSecurity>0</DocSecurity>
  <Lines>8</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2021-12-08T08:20:00Z</dcterms:created>
  <dcterms:modified xsi:type="dcterms:W3CDTF">2021-12-08T08:22:00Z</dcterms:modified>
</cp:coreProperties>
</file>