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75695B" w14:textId="0F7BFD2E" w:rsidR="00873217" w:rsidRPr="00873217" w:rsidRDefault="00873217" w:rsidP="00873217">
      <w:pPr>
        <w:rPr>
          <w:szCs w:val="24"/>
        </w:rPr>
      </w:pPr>
      <w:bookmarkStart w:id="0" w:name="_GoBack"/>
      <w:bookmarkEnd w:id="0"/>
      <w:r w:rsidRPr="00873217">
        <w:rPr>
          <w:szCs w:val="24"/>
        </w:rPr>
        <w:t xml:space="preserve">Uz </w:t>
      </w:r>
      <w:r>
        <w:rPr>
          <w:szCs w:val="24"/>
        </w:rPr>
        <w:t>26</w:t>
      </w:r>
      <w:r w:rsidRPr="00873217">
        <w:rPr>
          <w:szCs w:val="24"/>
        </w:rPr>
        <w:t>.0</w:t>
      </w:r>
      <w:r>
        <w:rPr>
          <w:szCs w:val="24"/>
        </w:rPr>
        <w:t>8</w:t>
      </w:r>
      <w:r w:rsidRPr="00873217">
        <w:rPr>
          <w:szCs w:val="24"/>
        </w:rPr>
        <w:t>.2021. VSS-</w:t>
      </w:r>
      <w:r>
        <w:rPr>
          <w:szCs w:val="24"/>
        </w:rPr>
        <w:t xml:space="preserve">786 </w:t>
      </w:r>
      <w:r w:rsidRPr="00873217">
        <w:rPr>
          <w:szCs w:val="24"/>
        </w:rPr>
        <w:t>(prot. Nr. </w:t>
      </w:r>
      <w:r>
        <w:rPr>
          <w:szCs w:val="24"/>
        </w:rPr>
        <w:t>30</w:t>
      </w:r>
      <w:r w:rsidRPr="00873217">
        <w:rPr>
          <w:szCs w:val="24"/>
        </w:rPr>
        <w:t xml:space="preserve"> </w:t>
      </w:r>
      <w:r>
        <w:rPr>
          <w:szCs w:val="24"/>
        </w:rPr>
        <w:t>11</w:t>
      </w:r>
      <w:r w:rsidRPr="00873217">
        <w:rPr>
          <w:szCs w:val="24"/>
        </w:rPr>
        <w:t>.§)</w:t>
      </w:r>
    </w:p>
    <w:p w14:paraId="0F577D30" w14:textId="77777777" w:rsidR="00873217" w:rsidRPr="00873217" w:rsidRDefault="00873217" w:rsidP="00873217">
      <w:pPr>
        <w:rPr>
          <w:szCs w:val="24"/>
        </w:rPr>
      </w:pPr>
    </w:p>
    <w:p w14:paraId="2A6A4599" w14:textId="77777777" w:rsidR="00873217" w:rsidRPr="00873217" w:rsidRDefault="00873217" w:rsidP="00873217">
      <w:pPr>
        <w:jc w:val="right"/>
        <w:rPr>
          <w:b/>
          <w:szCs w:val="24"/>
        </w:rPr>
      </w:pPr>
      <w:r w:rsidRPr="00873217">
        <w:rPr>
          <w:b/>
          <w:szCs w:val="24"/>
        </w:rPr>
        <w:t>Finanšu ministrijai</w:t>
      </w:r>
    </w:p>
    <w:p w14:paraId="49FCCA09" w14:textId="77777777" w:rsidR="00873217" w:rsidRPr="00873217" w:rsidRDefault="00873217" w:rsidP="00873217">
      <w:pPr>
        <w:rPr>
          <w:i/>
          <w:szCs w:val="24"/>
        </w:rPr>
      </w:pPr>
    </w:p>
    <w:p w14:paraId="01DF91BE" w14:textId="1E06E0F9" w:rsidR="00873217" w:rsidRPr="00873217" w:rsidRDefault="00873217" w:rsidP="00873217">
      <w:pPr>
        <w:tabs>
          <w:tab w:val="left" w:pos="4678"/>
        </w:tabs>
        <w:suppressAutoHyphens/>
        <w:ind w:right="4548"/>
        <w:rPr>
          <w:rFonts w:eastAsia="Times New Roman"/>
          <w:i/>
          <w:szCs w:val="24"/>
          <w:lang w:eastAsia="lv-LV"/>
        </w:rPr>
      </w:pPr>
      <w:r w:rsidRPr="00873217">
        <w:rPr>
          <w:rFonts w:eastAsia="Times New Roman"/>
          <w:i/>
          <w:szCs w:val="24"/>
          <w:lang w:eastAsia="zh-CN"/>
        </w:rPr>
        <w:t xml:space="preserve">Par Ministru kabineta noteikumu projektu </w:t>
      </w:r>
      <w:r w:rsidRPr="00873217">
        <w:rPr>
          <w:i/>
          <w:szCs w:val="24"/>
        </w:rPr>
        <w:t>"</w:t>
      </w:r>
      <w:r>
        <w:rPr>
          <w:i/>
          <w:szCs w:val="24"/>
        </w:rPr>
        <w:t>G</w:t>
      </w:r>
      <w:r w:rsidRPr="00873217">
        <w:rPr>
          <w:i/>
          <w:iCs/>
          <w:szCs w:val="24"/>
        </w:rPr>
        <w:t>rozījumi Ministru kabineta 2012.</w:t>
      </w:r>
      <w:r>
        <w:rPr>
          <w:i/>
          <w:iCs/>
          <w:szCs w:val="24"/>
        </w:rPr>
        <w:t> </w:t>
      </w:r>
      <w:r w:rsidRPr="00873217">
        <w:rPr>
          <w:i/>
          <w:iCs/>
          <w:szCs w:val="24"/>
        </w:rPr>
        <w:t>gada 11.</w:t>
      </w:r>
      <w:r>
        <w:rPr>
          <w:i/>
          <w:iCs/>
          <w:szCs w:val="24"/>
        </w:rPr>
        <w:t> </w:t>
      </w:r>
      <w:r w:rsidRPr="00873217">
        <w:rPr>
          <w:i/>
          <w:iCs/>
          <w:szCs w:val="24"/>
        </w:rPr>
        <w:t>decembra noteikumos Nr.</w:t>
      </w:r>
      <w:r>
        <w:rPr>
          <w:i/>
          <w:iCs/>
          <w:szCs w:val="24"/>
        </w:rPr>
        <w:t> </w:t>
      </w:r>
      <w:r w:rsidRPr="00873217">
        <w:rPr>
          <w:i/>
          <w:iCs/>
          <w:szCs w:val="24"/>
        </w:rPr>
        <w:t>867 "Kārtība, kādā nosakāms maksimāli pieļaujamais valsts budžeta izdevumu kopapjoms un maksimāli pieļaujamais valsts budžeta izdevumu kopējais apjoms katrai ministrijai un citām centrālajām valsts iestādēm vidējam termiņam</w:t>
      </w:r>
      <w:r w:rsidRPr="00873217">
        <w:rPr>
          <w:i/>
          <w:szCs w:val="24"/>
        </w:rPr>
        <w:t>"</w:t>
      </w:r>
      <w:r>
        <w:rPr>
          <w:i/>
          <w:szCs w:val="24"/>
        </w:rPr>
        <w:t>"</w:t>
      </w:r>
    </w:p>
    <w:p w14:paraId="78E6CAA9" w14:textId="77777777" w:rsidR="00873217" w:rsidRPr="00873217" w:rsidRDefault="00873217" w:rsidP="00873217">
      <w:pPr>
        <w:tabs>
          <w:tab w:val="left" w:pos="4678"/>
        </w:tabs>
        <w:suppressAutoHyphens/>
        <w:ind w:right="4548"/>
        <w:rPr>
          <w:rFonts w:eastAsia="Times New Roman"/>
          <w:szCs w:val="24"/>
          <w:lang w:eastAsia="zh-CN"/>
        </w:rPr>
      </w:pPr>
    </w:p>
    <w:p w14:paraId="48F9AEC8" w14:textId="2847ADCE" w:rsidR="00873217" w:rsidRPr="00873217" w:rsidRDefault="00873217" w:rsidP="00873217">
      <w:pPr>
        <w:ind w:firstLine="709"/>
        <w:outlineLvl w:val="0"/>
        <w:rPr>
          <w:rFonts w:eastAsia="Times New Roman"/>
          <w:bCs/>
          <w:szCs w:val="24"/>
          <w:lang w:eastAsia="zh-CN"/>
        </w:rPr>
      </w:pPr>
      <w:r w:rsidRPr="00873217">
        <w:rPr>
          <w:rFonts w:eastAsia="Times New Roman"/>
          <w:szCs w:val="24"/>
          <w:lang w:eastAsia="zh-CN"/>
        </w:rPr>
        <w:t xml:space="preserve">Tieslietu ministrija ir izskatījusi Finanšu ministrijas izstrādāto </w:t>
      </w:r>
      <w:bookmarkStart w:id="1" w:name="_Hlk77244867"/>
      <w:r w:rsidRPr="00873217">
        <w:rPr>
          <w:rFonts w:eastAsia="Times New Roman"/>
          <w:szCs w:val="24"/>
          <w:lang w:eastAsia="zh-CN"/>
        </w:rPr>
        <w:t xml:space="preserve">Ministru kabineta noteikumu projektu </w:t>
      </w:r>
      <w:r w:rsidRPr="00873217">
        <w:rPr>
          <w:rFonts w:eastAsia="Times New Roman"/>
          <w:szCs w:val="24"/>
          <w:lang w:eastAsia="lv-LV"/>
        </w:rPr>
        <w:t>"</w:t>
      </w:r>
      <w:r w:rsidRPr="00873217">
        <w:rPr>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sidRPr="00873217">
        <w:rPr>
          <w:bCs/>
          <w:szCs w:val="24"/>
          <w:lang w:eastAsia="lv-LV"/>
        </w:rPr>
        <w:t>"</w:t>
      </w:r>
      <w:bookmarkEnd w:id="1"/>
      <w:r w:rsidRPr="00873217">
        <w:rPr>
          <w:rFonts w:eastAsia="Times New Roman"/>
          <w:bCs/>
          <w:szCs w:val="24"/>
          <w:lang w:eastAsia="zh-CN"/>
        </w:rPr>
        <w:t xml:space="preserve"> </w:t>
      </w:r>
      <w:r w:rsidRPr="00873217">
        <w:rPr>
          <w:rFonts w:eastAsia="Times New Roman"/>
          <w:bCs/>
          <w:iCs/>
          <w:szCs w:val="24"/>
          <w:lang w:eastAsia="zh-CN"/>
        </w:rPr>
        <w:t>(turpmāk</w:t>
      </w:r>
      <w:r w:rsidRPr="00873217">
        <w:rPr>
          <w:rFonts w:eastAsia="Arial Unicode MS"/>
          <w:szCs w:val="24"/>
          <w:lang w:eastAsia="lv-LV"/>
        </w:rPr>
        <w:t xml:space="preserve"> </w:t>
      </w:r>
      <w:r w:rsidRPr="00873217">
        <w:rPr>
          <w:rFonts w:eastAsia="Times New Roman"/>
          <w:bCs/>
          <w:iCs/>
          <w:szCs w:val="24"/>
          <w:lang w:eastAsia="zh-CN"/>
        </w:rPr>
        <w:t xml:space="preserve">– noteikumu projekts), tā </w:t>
      </w:r>
      <w:r w:rsidRPr="00873217">
        <w:rPr>
          <w:rFonts w:eastAsia="Times New Roman"/>
          <w:szCs w:val="24"/>
          <w:lang w:eastAsia="zh-CN"/>
        </w:rPr>
        <w:t xml:space="preserve">sākotnējās ietekmes novērtējuma ziņojumu (turpmāk – anotācija) </w:t>
      </w:r>
      <w:r w:rsidRPr="00873217">
        <w:rPr>
          <w:rFonts w:eastAsia="Times New Roman"/>
          <w:bCs/>
          <w:szCs w:val="24"/>
          <w:lang w:eastAsia="zh-CN"/>
        </w:rPr>
        <w:t>un</w:t>
      </w:r>
      <w:r w:rsidRPr="00873217">
        <w:rPr>
          <w:rFonts w:eastAsia="Times New Roman"/>
          <w:b/>
          <w:szCs w:val="24"/>
          <w:lang w:eastAsia="zh-CN"/>
        </w:rPr>
        <w:t xml:space="preserve"> </w:t>
      </w:r>
      <w:r w:rsidRPr="00873217">
        <w:rPr>
          <w:rFonts w:eastAsia="Times New Roman"/>
          <w:b/>
          <w:bCs/>
          <w:szCs w:val="24"/>
          <w:lang w:eastAsia="zh-CN"/>
        </w:rPr>
        <w:t>atbalsta</w:t>
      </w:r>
      <w:r w:rsidRPr="00873217">
        <w:rPr>
          <w:rFonts w:eastAsia="Times New Roman"/>
          <w:bCs/>
          <w:szCs w:val="24"/>
          <w:lang w:eastAsia="zh-CN"/>
        </w:rPr>
        <w:t xml:space="preserve"> noteikumu projekta tālāku virzību, vienlaikus izsakot šādus iebildumus:</w:t>
      </w:r>
    </w:p>
    <w:p w14:paraId="1657269E" w14:textId="3CA367AB" w:rsidR="007274DD" w:rsidRPr="00157B55" w:rsidRDefault="007274DD" w:rsidP="00161287">
      <w:pPr>
        <w:widowControl/>
        <w:numPr>
          <w:ilvl w:val="0"/>
          <w:numId w:val="14"/>
        </w:numPr>
        <w:tabs>
          <w:tab w:val="left" w:pos="0"/>
          <w:tab w:val="left" w:pos="709"/>
          <w:tab w:val="left" w:pos="993"/>
        </w:tabs>
        <w:suppressAutoHyphens/>
        <w:autoSpaceDE w:val="0"/>
        <w:autoSpaceDN w:val="0"/>
        <w:adjustRightInd w:val="0"/>
        <w:ind w:left="0" w:right="11" w:firstLine="709"/>
        <w:contextualSpacing/>
        <w:rPr>
          <w:rFonts w:eastAsiaTheme="minorHAnsi"/>
          <w:color w:val="000000" w:themeColor="text1"/>
          <w:szCs w:val="24"/>
        </w:rPr>
      </w:pPr>
      <w:r>
        <w:rPr>
          <w:rFonts w:eastAsiaTheme="minorHAnsi"/>
          <w:color w:val="000000" w:themeColor="text1"/>
          <w:szCs w:val="24"/>
        </w:rPr>
        <w:t xml:space="preserve">Lūdzam izvērtēt nepieciešamību svītrot </w:t>
      </w:r>
      <w:r w:rsidRPr="00873217">
        <w:rPr>
          <w:szCs w:val="24"/>
        </w:rPr>
        <w:t>Ministru kabineta 2012. gada 11. decembra noteikum</w:t>
      </w:r>
      <w:r>
        <w:rPr>
          <w:szCs w:val="24"/>
        </w:rPr>
        <w:t>u</w:t>
      </w:r>
      <w:r w:rsidRPr="00873217">
        <w:rPr>
          <w:szCs w:val="24"/>
        </w:rPr>
        <w:t xml:space="preserve"> Nr. 867 "Kārtība, kādā nosakāms maksimāli pieļaujamais valsts budžeta izdevumu kopapjoms un maksimāli pieļaujamais valsts budžeta izdevumu kopējais apjoms katrai ministrijai un citām centrālajām valsts iestādēm vidējam termiņam"</w:t>
      </w:r>
      <w:r>
        <w:rPr>
          <w:szCs w:val="24"/>
        </w:rPr>
        <w:t xml:space="preserve"> (turpmāk – MK noteikumi Nr. 867) 19. un 46. punktu (precizējot noteikumu projekta 3. un 11. punktu), ņemot vērā</w:t>
      </w:r>
      <w:r w:rsidR="00157B55">
        <w:rPr>
          <w:szCs w:val="24"/>
        </w:rPr>
        <w:t xml:space="preserve"> </w:t>
      </w:r>
      <w:r w:rsidRPr="00107C15">
        <w:rPr>
          <w:rFonts w:eastAsia="Times New Roman"/>
          <w:szCs w:val="24"/>
          <w:lang w:eastAsia="lv-LV"/>
        </w:rPr>
        <w:t>Likum</w:t>
      </w:r>
      <w:r>
        <w:rPr>
          <w:rFonts w:eastAsia="Times New Roman"/>
          <w:szCs w:val="24"/>
          <w:lang w:eastAsia="lv-LV"/>
        </w:rPr>
        <w:t>a</w:t>
      </w:r>
      <w:r w:rsidRPr="00107C15">
        <w:rPr>
          <w:rFonts w:eastAsia="Times New Roman"/>
          <w:szCs w:val="24"/>
          <w:lang w:eastAsia="lv-LV"/>
        </w:rPr>
        <w:t xml:space="preserve"> par budžetu un finanšu vadību</w:t>
      </w:r>
      <w:r>
        <w:rPr>
          <w:rFonts w:eastAsia="Times New Roman"/>
          <w:szCs w:val="24"/>
          <w:lang w:eastAsia="lv-LV"/>
        </w:rPr>
        <w:t xml:space="preserve"> </w:t>
      </w:r>
      <w:r w:rsidR="00157B55" w:rsidRPr="00157B55">
        <w:rPr>
          <w:szCs w:val="24"/>
          <w:shd w:val="clear" w:color="auto" w:fill="FFFFFF"/>
        </w:rPr>
        <w:t>16.</w:t>
      </w:r>
      <w:r w:rsidR="00157B55" w:rsidRPr="00157B55">
        <w:rPr>
          <w:szCs w:val="24"/>
          <w:shd w:val="clear" w:color="auto" w:fill="FFFFFF"/>
          <w:vertAlign w:val="superscript"/>
        </w:rPr>
        <w:t>2</w:t>
      </w:r>
      <w:r w:rsidR="00157B55" w:rsidRPr="00157B55">
        <w:rPr>
          <w:szCs w:val="24"/>
          <w:shd w:val="clear" w:color="auto" w:fill="FFFFFF"/>
        </w:rPr>
        <w:t> panta astotajā daļā paredzēto.</w:t>
      </w:r>
    </w:p>
    <w:p w14:paraId="64588B92" w14:textId="720ABE74" w:rsidR="00157B55" w:rsidRPr="00157B55" w:rsidRDefault="00157B55" w:rsidP="00157B55">
      <w:pPr>
        <w:widowControl/>
        <w:tabs>
          <w:tab w:val="left" w:pos="0"/>
          <w:tab w:val="left" w:pos="709"/>
          <w:tab w:val="left" w:pos="993"/>
        </w:tabs>
        <w:suppressAutoHyphens/>
        <w:autoSpaceDE w:val="0"/>
        <w:autoSpaceDN w:val="0"/>
        <w:adjustRightInd w:val="0"/>
        <w:ind w:right="11" w:firstLine="709"/>
        <w:contextualSpacing/>
        <w:rPr>
          <w:rFonts w:eastAsiaTheme="minorHAnsi"/>
          <w:szCs w:val="24"/>
        </w:rPr>
      </w:pPr>
      <w:r w:rsidRPr="00157B55">
        <w:rPr>
          <w:rFonts w:eastAsiaTheme="minorHAnsi"/>
          <w:szCs w:val="24"/>
        </w:rPr>
        <w:lastRenderedPageBreak/>
        <w:t xml:space="preserve">Papildus vēršam uzmanību, ka MK noteikumiem Nr. 867 ir jāatbilst deleģējumam un tajos ir jānosaka </w:t>
      </w:r>
      <w:r w:rsidRPr="00157B55">
        <w:rPr>
          <w:szCs w:val="24"/>
          <w:shd w:val="clear" w:color="auto" w:fill="FFFFFF"/>
        </w:rPr>
        <w:t xml:space="preserve">kārtība, </w:t>
      </w:r>
      <w:r w:rsidRPr="00157B55">
        <w:rPr>
          <w:szCs w:val="24"/>
          <w:u w:val="single"/>
          <w:shd w:val="clear" w:color="auto" w:fill="FFFFFF"/>
        </w:rPr>
        <w:t>kādā aprēķina</w:t>
      </w:r>
      <w:r w:rsidRPr="00157B55">
        <w:rPr>
          <w:szCs w:val="24"/>
          <w:shd w:val="clear" w:color="auto" w:fill="FFFFFF"/>
        </w:rPr>
        <w:t xml:space="preserve"> maksimāli pieļaujamo valsts budžeta izdevumu kopapjomu un maksimāli pieļaujamo valsts budžeta izdevumu kopējo apjomu katrai ministrijai un citām centrālajām valsts iestādēm vidējam termiņam, nevis jānosaka kārtībā, kā tiek uzklausītas attiecīgās iestādes</w:t>
      </w:r>
      <w:r w:rsidR="008F7DA4">
        <w:rPr>
          <w:szCs w:val="24"/>
          <w:shd w:val="clear" w:color="auto" w:fill="FFFFFF"/>
        </w:rPr>
        <w:t xml:space="preserve"> Ministru kabinetā</w:t>
      </w:r>
      <w:r w:rsidRPr="00157B55">
        <w:rPr>
          <w:szCs w:val="24"/>
          <w:shd w:val="clear" w:color="auto" w:fill="FFFFFF"/>
        </w:rPr>
        <w:t>.</w:t>
      </w:r>
    </w:p>
    <w:p w14:paraId="5B7CBE6C" w14:textId="362797E0" w:rsidR="00873217" w:rsidRDefault="00873217" w:rsidP="00161287">
      <w:pPr>
        <w:widowControl/>
        <w:numPr>
          <w:ilvl w:val="0"/>
          <w:numId w:val="14"/>
        </w:numPr>
        <w:tabs>
          <w:tab w:val="left" w:pos="0"/>
          <w:tab w:val="left" w:pos="709"/>
          <w:tab w:val="left" w:pos="993"/>
        </w:tabs>
        <w:suppressAutoHyphens/>
        <w:autoSpaceDE w:val="0"/>
        <w:autoSpaceDN w:val="0"/>
        <w:adjustRightInd w:val="0"/>
        <w:ind w:left="0" w:right="11" w:firstLine="709"/>
        <w:contextualSpacing/>
        <w:rPr>
          <w:rFonts w:eastAsiaTheme="minorHAnsi"/>
          <w:color w:val="000000" w:themeColor="text1"/>
          <w:szCs w:val="24"/>
        </w:rPr>
      </w:pPr>
      <w:r w:rsidRPr="00157B55">
        <w:rPr>
          <w:rFonts w:eastAsia="Times New Roman"/>
          <w:color w:val="000000" w:themeColor="text1"/>
          <w:szCs w:val="24"/>
        </w:rPr>
        <w:t xml:space="preserve">Vēršam uzmanību, ka </w:t>
      </w:r>
      <w:r w:rsidRPr="00157B55">
        <w:rPr>
          <w:rFonts w:eastAsia="Times New Roman"/>
          <w:bCs/>
          <w:color w:val="000000" w:themeColor="text1"/>
          <w:szCs w:val="24"/>
          <w:lang w:eastAsia="zh-CN"/>
        </w:rPr>
        <w:t>a</w:t>
      </w:r>
      <w:r w:rsidR="008F7DA4">
        <w:rPr>
          <w:rFonts w:eastAsia="Times New Roman"/>
          <w:bCs/>
          <w:color w:val="000000" w:themeColor="text1"/>
          <w:szCs w:val="24"/>
          <w:lang w:eastAsia="zh-CN"/>
        </w:rPr>
        <w:t>n</w:t>
      </w:r>
      <w:r w:rsidRPr="00157B55">
        <w:rPr>
          <w:rFonts w:eastAsia="Times New Roman"/>
          <w:bCs/>
          <w:color w:val="000000" w:themeColor="text1"/>
          <w:szCs w:val="24"/>
          <w:lang w:eastAsia="zh-CN"/>
        </w:rPr>
        <w:t>otācijas I sadaļas</w:t>
      </w:r>
      <w:r w:rsidRPr="00107C15">
        <w:rPr>
          <w:rFonts w:eastAsia="Times New Roman"/>
          <w:bCs/>
          <w:color w:val="000000" w:themeColor="text1"/>
          <w:szCs w:val="24"/>
          <w:lang w:eastAsia="zh-CN"/>
        </w:rPr>
        <w:t xml:space="preserve"> 2. punktā par vairākām izmaiņām </w:t>
      </w:r>
      <w:r w:rsidRPr="00107C15">
        <w:rPr>
          <w:rFonts w:eastAsia="Times New Roman"/>
          <w:color w:val="000000" w:themeColor="text1"/>
          <w:szCs w:val="24"/>
        </w:rPr>
        <w:t xml:space="preserve">ir iekļauta tikai aprakstoša informācija (piemēram, par noteikumu projekta 5. un 6. punktu), bet nav sniegts skaidrojums, kāpēc, proti, šāda regulējuma nepieciešamība (mērķis un būtība). </w:t>
      </w:r>
      <w:r w:rsidR="008C2E22" w:rsidRPr="00107C15">
        <w:rPr>
          <w:rFonts w:eastAsia="Times New Roman"/>
          <w:color w:val="000000" w:themeColor="text1"/>
          <w:szCs w:val="24"/>
        </w:rPr>
        <w:t xml:space="preserve">Tāpat ir sniegta informācija, </w:t>
      </w:r>
      <w:r w:rsidR="008C2E22" w:rsidRPr="00107C15">
        <w:rPr>
          <w:rFonts w:eastAsia="Times New Roman"/>
          <w:color w:val="000000" w:themeColor="text1"/>
          <w:szCs w:val="24"/>
          <w:u w:val="single"/>
        </w:rPr>
        <w:t xml:space="preserve">ka ir jāveido </w:t>
      </w:r>
      <w:r w:rsidR="008C2E22" w:rsidRPr="00107C15">
        <w:rPr>
          <w:rFonts w:eastAsia="Times New Roman"/>
          <w:szCs w:val="24"/>
          <w:u w:val="single"/>
          <w:lang w:eastAsia="lv-LV"/>
        </w:rPr>
        <w:t>atsauces uz Likumā par budžetu un finanšu vadību noteiktām normām (lai izmaiņu gadījumā nav jāveic grozījumi arī noteikumos)</w:t>
      </w:r>
      <w:r w:rsidR="008C2E22" w:rsidRPr="00107C15">
        <w:rPr>
          <w:rFonts w:eastAsia="Times New Roman"/>
          <w:szCs w:val="24"/>
          <w:lang w:eastAsia="lv-LV"/>
        </w:rPr>
        <w:t>, jāsaskaņo maksimāli pieļaujamā izdevumu kopapjoma komponenšu formulējums, lai tas atbilstu citiem normatīviem aktiem, kā arī jānovienādo terminu lietojums noteikumos (</w:t>
      </w:r>
      <w:r w:rsidR="008C2E22" w:rsidRPr="00107C15">
        <w:rPr>
          <w:rFonts w:eastAsia="Times New Roman"/>
          <w:iCs/>
          <w:szCs w:val="24"/>
          <w:lang w:eastAsia="lv-LV"/>
        </w:rPr>
        <w:t>noteikumu projekta 1., 3., 4</w:t>
      </w:r>
      <w:r w:rsidR="008C2E22" w:rsidRPr="00107C15">
        <w:rPr>
          <w:rFonts w:eastAsia="Times New Roman"/>
          <w:szCs w:val="24"/>
          <w:lang w:eastAsia="lv-LV"/>
        </w:rPr>
        <w:t>., 7., 10. un 11. punkts). Vēršam uzmanību, ka nav saprotams, par kādām konkrētām normām, terminiem, kā arī komponenšu formulējumu ir runa.</w:t>
      </w:r>
      <w:r w:rsidR="00107C15" w:rsidRPr="00107C15">
        <w:rPr>
          <w:rFonts w:eastAsia="Times New Roman"/>
          <w:szCs w:val="24"/>
          <w:lang w:eastAsia="lv-LV"/>
        </w:rPr>
        <w:t xml:space="preserve"> </w:t>
      </w:r>
      <w:r w:rsidRPr="00107C15">
        <w:rPr>
          <w:rFonts w:eastAsia="Times New Roman"/>
          <w:color w:val="000000" w:themeColor="text1"/>
          <w:szCs w:val="24"/>
        </w:rPr>
        <w:t xml:space="preserve">Līdz ar to lūdzam precizēt anotāciju atbilstoši </w:t>
      </w:r>
      <w:r w:rsidRPr="00107C15">
        <w:rPr>
          <w:rFonts w:eastAsia="Times New Roman"/>
          <w:szCs w:val="24"/>
          <w:lang w:eastAsia="zh-CN"/>
        </w:rPr>
        <w:t>Ministru kabineta 2009. gada 15. decembra instrukcijas Nr. 19 "Tiesību akta projekta sākotnējās ietekmes izvērtēšanas kārtība" (turpmāk – Instrukcija Nr. </w:t>
      </w:r>
      <w:r>
        <w:t xml:space="preserve">19) </w:t>
      </w:r>
      <w:hyperlink r:id="rId8" w:anchor="p14" w:history="1">
        <w:r w:rsidRPr="00107C15">
          <w:rPr>
            <w:rFonts w:eastAsiaTheme="minorHAnsi"/>
            <w:color w:val="000000" w:themeColor="text1"/>
            <w:szCs w:val="24"/>
          </w:rPr>
          <w:t>14. punktam</w:t>
        </w:r>
      </w:hyperlink>
      <w:r w:rsidRPr="00107C15">
        <w:rPr>
          <w:rFonts w:eastAsiaTheme="minorHAnsi"/>
          <w:color w:val="000000" w:themeColor="text1"/>
          <w:szCs w:val="24"/>
        </w:rPr>
        <w:t>.</w:t>
      </w:r>
    </w:p>
    <w:p w14:paraId="2104BFE5" w14:textId="3A621D31" w:rsidR="00107C15" w:rsidRDefault="00107C15" w:rsidP="00107C15">
      <w:pPr>
        <w:widowControl/>
        <w:tabs>
          <w:tab w:val="left" w:pos="0"/>
          <w:tab w:val="left" w:pos="709"/>
          <w:tab w:val="left" w:pos="993"/>
        </w:tabs>
        <w:suppressAutoHyphens/>
        <w:autoSpaceDE w:val="0"/>
        <w:autoSpaceDN w:val="0"/>
        <w:adjustRightInd w:val="0"/>
        <w:ind w:right="11" w:firstLine="709"/>
        <w:contextualSpacing/>
        <w:rPr>
          <w:rFonts w:eastAsia="Times New Roman"/>
          <w:szCs w:val="24"/>
          <w:lang w:eastAsia="lv-LV"/>
        </w:rPr>
      </w:pPr>
      <w:r>
        <w:rPr>
          <w:rFonts w:eastAsia="Times New Roman"/>
          <w:color w:val="000000" w:themeColor="text1"/>
          <w:szCs w:val="24"/>
        </w:rPr>
        <w:t xml:space="preserve">Tāpat vēršam uzmanību, ka </w:t>
      </w:r>
      <w:bookmarkStart w:id="2" w:name="_Hlk81992731"/>
      <w:r w:rsidRPr="00107C15">
        <w:rPr>
          <w:rFonts w:eastAsia="Times New Roman"/>
          <w:szCs w:val="24"/>
          <w:lang w:eastAsia="lv-LV"/>
        </w:rPr>
        <w:t>Likum</w:t>
      </w:r>
      <w:r>
        <w:rPr>
          <w:rFonts w:eastAsia="Times New Roman"/>
          <w:szCs w:val="24"/>
          <w:lang w:eastAsia="lv-LV"/>
        </w:rPr>
        <w:t>a</w:t>
      </w:r>
      <w:r w:rsidRPr="00107C15">
        <w:rPr>
          <w:rFonts w:eastAsia="Times New Roman"/>
          <w:szCs w:val="24"/>
          <w:lang w:eastAsia="lv-LV"/>
        </w:rPr>
        <w:t xml:space="preserve"> par budžetu un finanšu vadību</w:t>
      </w:r>
      <w:bookmarkEnd w:id="2"/>
      <w:r w:rsidRPr="00107C15">
        <w:rPr>
          <w:rFonts w:eastAsia="Times New Roman"/>
          <w:szCs w:val="24"/>
          <w:lang w:eastAsia="lv-LV"/>
        </w:rPr>
        <w:t xml:space="preserve"> </w:t>
      </w:r>
      <w:r>
        <w:rPr>
          <w:rFonts w:eastAsia="Times New Roman"/>
          <w:szCs w:val="24"/>
          <w:lang w:eastAsia="lv-LV"/>
        </w:rPr>
        <w:t xml:space="preserve">normu izmaiņu gadījumā attiecīgi grozījumi būs jāveic arī </w:t>
      </w:r>
      <w:r w:rsidR="00157B55">
        <w:rPr>
          <w:szCs w:val="24"/>
        </w:rPr>
        <w:t xml:space="preserve">MK </w:t>
      </w:r>
      <w:r w:rsidRPr="00873217">
        <w:rPr>
          <w:szCs w:val="24"/>
        </w:rPr>
        <w:t>noteikumos Nr. 867</w:t>
      </w:r>
      <w:r>
        <w:rPr>
          <w:szCs w:val="24"/>
        </w:rPr>
        <w:t>, kur ir ietvertas attiecīgās atsauces.</w:t>
      </w:r>
      <w:r w:rsidR="00B75342">
        <w:rPr>
          <w:szCs w:val="24"/>
        </w:rPr>
        <w:t xml:space="preserve"> </w:t>
      </w:r>
      <w:r w:rsidR="00DA7797" w:rsidRPr="00C73A2E">
        <w:rPr>
          <w:rFonts w:eastAsia="Times New Roman"/>
          <w:szCs w:val="24"/>
        </w:rPr>
        <w:t xml:space="preserve">Kaut arī </w:t>
      </w:r>
      <w:r w:rsidR="00DA7797" w:rsidRPr="005E1F32">
        <w:rPr>
          <w:szCs w:val="24"/>
        </w:rPr>
        <w:t xml:space="preserve">Ministru kabineta 2009. gada 3. februāra noteikumu Nr. 108 </w:t>
      </w:r>
      <w:r w:rsidR="00DA7797" w:rsidRPr="005E1F32">
        <w:rPr>
          <w:bCs/>
          <w:szCs w:val="24"/>
          <w:lang w:eastAsia="lv-LV"/>
        </w:rPr>
        <w:t>"</w:t>
      </w:r>
      <w:r w:rsidR="00DA7797" w:rsidRPr="005E1F32">
        <w:rPr>
          <w:szCs w:val="24"/>
        </w:rPr>
        <w:t>Normatīvo aktu projektu sagatavošanas noteikumi</w:t>
      </w:r>
      <w:r w:rsidR="00DA7797" w:rsidRPr="00DA7797">
        <w:rPr>
          <w:bCs/>
          <w:szCs w:val="24"/>
          <w:lang w:eastAsia="lv-LV"/>
        </w:rPr>
        <w:t xml:space="preserve">" </w:t>
      </w:r>
      <w:r w:rsidR="00157B55">
        <w:rPr>
          <w:bCs/>
          <w:szCs w:val="24"/>
          <w:lang w:eastAsia="lv-LV"/>
        </w:rPr>
        <w:t xml:space="preserve">(turpmāk – MK noteikumi Nr. 108) </w:t>
      </w:r>
      <w:hyperlink r:id="rId9" w:anchor="p131" w:history="1">
        <w:r w:rsidR="00DA7797" w:rsidRPr="00DA7797">
          <w:rPr>
            <w:rStyle w:val="Hyperlink"/>
            <w:rFonts w:eastAsia="Times New Roman"/>
            <w:color w:val="auto"/>
            <w:szCs w:val="24"/>
            <w:u w:val="none"/>
          </w:rPr>
          <w:t>131. punkts</w:t>
        </w:r>
      </w:hyperlink>
      <w:r w:rsidR="00DA7797" w:rsidRPr="00DA7797">
        <w:rPr>
          <w:rFonts w:eastAsia="Times New Roman"/>
          <w:szCs w:val="24"/>
        </w:rPr>
        <w:t xml:space="preserve"> </w:t>
      </w:r>
      <w:r w:rsidR="00DA7797" w:rsidRPr="00C73A2E">
        <w:rPr>
          <w:rFonts w:eastAsia="Times New Roman"/>
          <w:szCs w:val="24"/>
        </w:rPr>
        <w:t>pieļauj atsauču iekļaušanu M</w:t>
      </w:r>
      <w:r w:rsidR="00DA7797">
        <w:rPr>
          <w:rFonts w:eastAsia="Times New Roman"/>
          <w:szCs w:val="24"/>
        </w:rPr>
        <w:t>inistru kabineta</w:t>
      </w:r>
      <w:r w:rsidR="00DA7797" w:rsidRPr="00C73A2E">
        <w:rPr>
          <w:rFonts w:eastAsia="Times New Roman"/>
          <w:szCs w:val="24"/>
        </w:rPr>
        <w:t xml:space="preserve"> noteikumos uz citiem tāda paša vai augstāka juridiska spēka </w:t>
      </w:r>
      <w:r w:rsidR="00DA7797">
        <w:rPr>
          <w:rFonts w:eastAsia="Times New Roman"/>
          <w:szCs w:val="24"/>
        </w:rPr>
        <w:t>normatīvajiem aktiem</w:t>
      </w:r>
      <w:r w:rsidR="00DA7797" w:rsidRPr="00C73A2E">
        <w:rPr>
          <w:rFonts w:eastAsia="Times New Roman"/>
          <w:szCs w:val="24"/>
        </w:rPr>
        <w:t>, no šādu atsauču iekļaušanas</w:t>
      </w:r>
      <w:r w:rsidR="00DA7797">
        <w:rPr>
          <w:rFonts w:eastAsia="Times New Roman"/>
          <w:szCs w:val="24"/>
        </w:rPr>
        <w:t xml:space="preserve"> normatīvajā aktā</w:t>
      </w:r>
      <w:r w:rsidR="00DA7797" w:rsidRPr="00C73A2E">
        <w:rPr>
          <w:rFonts w:eastAsia="Times New Roman"/>
          <w:szCs w:val="24"/>
        </w:rPr>
        <w:t xml:space="preserve"> pēc iespējas jāizvairās. Lūdzam </w:t>
      </w:r>
      <w:r w:rsidR="00DA7797">
        <w:rPr>
          <w:rFonts w:eastAsia="Times New Roman"/>
          <w:szCs w:val="24"/>
        </w:rPr>
        <w:t xml:space="preserve">izvērtēt nepieciešamību </w:t>
      </w:r>
      <w:r w:rsidR="00DA7797" w:rsidRPr="00C73A2E">
        <w:rPr>
          <w:rFonts w:eastAsia="Times New Roman"/>
          <w:szCs w:val="24"/>
        </w:rPr>
        <w:t xml:space="preserve">noteikumu projektā veidot atsauces, kas norāda uz </w:t>
      </w:r>
      <w:r w:rsidR="00DA7797">
        <w:rPr>
          <w:rFonts w:eastAsia="Times New Roman"/>
          <w:szCs w:val="24"/>
        </w:rPr>
        <w:t>normatīvajiem aktiem</w:t>
      </w:r>
      <w:r w:rsidR="00DA7797" w:rsidRPr="00C73A2E">
        <w:rPr>
          <w:rFonts w:eastAsia="Times New Roman"/>
          <w:szCs w:val="24"/>
        </w:rPr>
        <w:t xml:space="preserve"> noteiktajā jomā. Šādas atsauces lietošana nesaista, ja gadījumā likums vai M</w:t>
      </w:r>
      <w:r w:rsidR="00DA7797">
        <w:rPr>
          <w:rFonts w:eastAsia="Times New Roman"/>
          <w:szCs w:val="24"/>
        </w:rPr>
        <w:t>inistru kabineta</w:t>
      </w:r>
      <w:r w:rsidR="00DA7797" w:rsidRPr="00C73A2E">
        <w:rPr>
          <w:rFonts w:eastAsia="Times New Roman"/>
          <w:szCs w:val="24"/>
        </w:rPr>
        <w:t xml:space="preserve"> noteikumi, uz kuriem būtu jāatsaucas, zaudētu spēku vai tie tiktu grozīti.</w:t>
      </w:r>
    </w:p>
    <w:p w14:paraId="394E4569" w14:textId="36FB36C0" w:rsidR="00873217" w:rsidRPr="00B72DCA" w:rsidRDefault="008C2E22" w:rsidP="002D7822">
      <w:pPr>
        <w:pStyle w:val="ListParagraph"/>
        <w:widowControl/>
        <w:numPr>
          <w:ilvl w:val="0"/>
          <w:numId w:val="14"/>
        </w:numPr>
        <w:tabs>
          <w:tab w:val="left" w:pos="0"/>
          <w:tab w:val="left" w:pos="709"/>
          <w:tab w:val="left" w:pos="993"/>
        </w:tabs>
        <w:suppressAutoHyphens/>
        <w:autoSpaceDE w:val="0"/>
        <w:autoSpaceDN w:val="0"/>
        <w:adjustRightInd w:val="0"/>
        <w:ind w:left="0" w:right="11" w:firstLine="709"/>
        <w:outlineLvl w:val="3"/>
        <w:rPr>
          <w:szCs w:val="24"/>
        </w:rPr>
      </w:pPr>
      <w:r w:rsidRPr="00B72DCA">
        <w:rPr>
          <w:rFonts w:eastAsiaTheme="minorHAnsi"/>
          <w:szCs w:val="24"/>
        </w:rPr>
        <w:lastRenderedPageBreak/>
        <w:t xml:space="preserve">Anotācijas </w:t>
      </w:r>
      <w:r w:rsidR="002533D6">
        <w:rPr>
          <w:rFonts w:eastAsiaTheme="minorHAnsi"/>
          <w:szCs w:val="24"/>
        </w:rPr>
        <w:t xml:space="preserve">I </w:t>
      </w:r>
      <w:r w:rsidRPr="00B72DCA">
        <w:rPr>
          <w:rFonts w:eastAsiaTheme="minorHAnsi"/>
          <w:szCs w:val="24"/>
        </w:rPr>
        <w:t xml:space="preserve">sadaļas </w:t>
      </w:r>
      <w:r w:rsidR="00B72DCA" w:rsidRPr="00B72DCA">
        <w:rPr>
          <w:rFonts w:eastAsiaTheme="minorHAnsi"/>
          <w:szCs w:val="24"/>
        </w:rPr>
        <w:t xml:space="preserve">1. punktā ir sniegta informācija, ka </w:t>
      </w:r>
      <w:r w:rsidR="00B72DCA" w:rsidRPr="00B72DCA">
        <w:rPr>
          <w:rFonts w:eastAsia="Times New Roman"/>
          <w:iCs/>
          <w:szCs w:val="24"/>
          <w:lang w:eastAsia="lv-LV"/>
        </w:rPr>
        <w:t xml:space="preserve">Finanšu ministrijai sadarbībā ar </w:t>
      </w:r>
      <w:r w:rsidR="00B72DCA" w:rsidRPr="00B72DCA">
        <w:rPr>
          <w:rFonts w:eastAsia="Times New Roman"/>
          <w:szCs w:val="24"/>
          <w:lang w:eastAsia="lv-LV"/>
        </w:rPr>
        <w:t>Pārresoru koordinācijas centru (turpmāk – PKC) ir jā</w:t>
      </w:r>
      <w:r w:rsidR="00B72DCA" w:rsidRPr="00B72DCA">
        <w:rPr>
          <w:rFonts w:eastAsia="Times New Roman"/>
          <w:iCs/>
          <w:szCs w:val="24"/>
          <w:lang w:eastAsia="lv-LV"/>
        </w:rPr>
        <w:t>izvērtē, kas ir maināms PKC sagatavotajā novērtējumā par pieteikumu atbilstību attīstības plānošanas dokumentos noteiktajām prioritātēm un mērķiem formā vai saturā, lai tas būtu noderīgs lēmumu pieņēmējiem.</w:t>
      </w:r>
      <w:r w:rsidR="00B72DCA">
        <w:rPr>
          <w:rFonts w:eastAsia="Times New Roman"/>
          <w:iCs/>
          <w:szCs w:val="24"/>
          <w:lang w:eastAsia="lv-LV"/>
        </w:rPr>
        <w:t xml:space="preserve"> Ņemot vērā, ka atbilstoši</w:t>
      </w:r>
    </w:p>
    <w:p w14:paraId="2DCFC122" w14:textId="4385C9C3" w:rsidR="00B72DCA" w:rsidRDefault="00B72DCA" w:rsidP="00B72DCA">
      <w:pPr>
        <w:widowControl/>
        <w:tabs>
          <w:tab w:val="left" w:pos="1134"/>
        </w:tabs>
        <w:rPr>
          <w:rStyle w:val="normaltextrun"/>
          <w:szCs w:val="24"/>
        </w:rPr>
      </w:pPr>
      <w:r>
        <w:rPr>
          <w:szCs w:val="24"/>
          <w:shd w:val="clear" w:color="auto" w:fill="FFFFFF"/>
        </w:rPr>
        <w:t>Instrukcijas Nr.</w:t>
      </w:r>
      <w:r>
        <w:t xml:space="preserve">19 </w:t>
      </w:r>
      <w:r w:rsidRPr="00B72DCA">
        <w:rPr>
          <w:szCs w:val="24"/>
          <w:shd w:val="clear" w:color="auto" w:fill="FFFFFF"/>
        </w:rPr>
        <w:t xml:space="preserve">3. punktam anotācijas uzdevums ir informēt lēmuma pieņēmējus un </w:t>
      </w:r>
      <w:r w:rsidRPr="00B72DCA">
        <w:rPr>
          <w:szCs w:val="24"/>
          <w:u w:val="single"/>
          <w:shd w:val="clear" w:color="auto" w:fill="FFFFFF"/>
        </w:rPr>
        <w:t>ieinteresētās puses</w:t>
      </w:r>
      <w:r w:rsidRPr="00B72DCA">
        <w:rPr>
          <w:szCs w:val="24"/>
          <w:shd w:val="clear" w:color="auto" w:fill="FFFFFF"/>
        </w:rPr>
        <w:t xml:space="preserve"> par sekām un ietekmi, ko radīs projekts</w:t>
      </w:r>
      <w:r>
        <w:rPr>
          <w:szCs w:val="24"/>
          <w:shd w:val="clear" w:color="auto" w:fill="FFFFFF"/>
        </w:rPr>
        <w:t xml:space="preserve">, </w:t>
      </w:r>
      <w:r w:rsidRPr="00B72DCA">
        <w:rPr>
          <w:szCs w:val="24"/>
          <w:lang w:eastAsia="lv-LV"/>
        </w:rPr>
        <w:t>lūdzam papildināt anotācij</w:t>
      </w:r>
      <w:r>
        <w:rPr>
          <w:szCs w:val="24"/>
          <w:lang w:eastAsia="lv-LV"/>
        </w:rPr>
        <w:t>u</w:t>
      </w:r>
      <w:r w:rsidRPr="00B72DCA">
        <w:rPr>
          <w:szCs w:val="24"/>
          <w:lang w:eastAsia="lv-LV"/>
        </w:rPr>
        <w:t xml:space="preserve">, sniedzot informāciju, vai </w:t>
      </w:r>
      <w:r>
        <w:rPr>
          <w:rStyle w:val="normaltextrun"/>
          <w:szCs w:val="24"/>
        </w:rPr>
        <w:t>noteikumu projektā paredzētie grozījumi ir izstrādāti sadarbībā ar PKC un vai PKC tos atbalsta.</w:t>
      </w:r>
      <w:r w:rsidRPr="00B72DCA">
        <w:rPr>
          <w:rStyle w:val="normaltextrun"/>
          <w:szCs w:val="24"/>
        </w:rPr>
        <w:t xml:space="preserve"> </w:t>
      </w:r>
    </w:p>
    <w:p w14:paraId="7E9A2623" w14:textId="52DC021F" w:rsidR="00AE4E38" w:rsidRDefault="00AE4E38" w:rsidP="00AE4E38">
      <w:pPr>
        <w:pStyle w:val="ListParagraph"/>
        <w:widowControl/>
        <w:numPr>
          <w:ilvl w:val="0"/>
          <w:numId w:val="14"/>
        </w:numPr>
        <w:tabs>
          <w:tab w:val="left" w:pos="709"/>
          <w:tab w:val="left" w:pos="993"/>
        </w:tabs>
        <w:ind w:left="0" w:firstLine="709"/>
        <w:rPr>
          <w:rStyle w:val="normaltextrun"/>
          <w:szCs w:val="24"/>
        </w:rPr>
      </w:pPr>
      <w:r>
        <w:rPr>
          <w:rStyle w:val="normaltextrun"/>
          <w:szCs w:val="24"/>
        </w:rPr>
        <w:t>Ņemot vērā noteikumu projekta 6., 8. un 9. punktā paredzēto, lūdzam precizēt anotācijas II sadaļa 2. punktu atbilstoši Instrukcijas Nr. </w:t>
      </w:r>
      <w:r>
        <w:t xml:space="preserve">19 22.2. apakšpunktam, jo </w:t>
      </w:r>
      <w:r w:rsidR="000E59E5">
        <w:t xml:space="preserve">projektam būs ietekme uz administratīvo slogu </w:t>
      </w:r>
      <w:r>
        <w:t>PKC, Finanšu ministrij</w:t>
      </w:r>
      <w:r w:rsidR="000E59E5">
        <w:t>ā</w:t>
      </w:r>
      <w:r>
        <w:t xml:space="preserve"> un citā</w:t>
      </w:r>
      <w:r w:rsidR="000E59E5">
        <w:t>s</w:t>
      </w:r>
      <w:r>
        <w:t xml:space="preserve"> ministrij</w:t>
      </w:r>
      <w:r w:rsidR="000E59E5">
        <w:t>ās</w:t>
      </w:r>
      <w:r>
        <w:t xml:space="preserve"> (noteikumu projektā paredzētais ietekmēs to veicamās darbības).</w:t>
      </w:r>
    </w:p>
    <w:p w14:paraId="7B1938EE" w14:textId="667B47B5" w:rsidR="00AE4E38" w:rsidRDefault="00AE4E38" w:rsidP="00AE4E38">
      <w:pPr>
        <w:widowControl/>
        <w:tabs>
          <w:tab w:val="left" w:pos="1134"/>
        </w:tabs>
        <w:rPr>
          <w:rStyle w:val="normaltextrun"/>
          <w:szCs w:val="24"/>
        </w:rPr>
      </w:pPr>
    </w:p>
    <w:p w14:paraId="227ACD10" w14:textId="5FA1A71A" w:rsidR="005E1F32" w:rsidRPr="00B75342" w:rsidRDefault="005E1F32" w:rsidP="005E1F32">
      <w:pPr>
        <w:widowControl/>
        <w:tabs>
          <w:tab w:val="left" w:pos="709"/>
        </w:tabs>
        <w:rPr>
          <w:rStyle w:val="normaltextrun"/>
          <w:szCs w:val="24"/>
        </w:rPr>
      </w:pPr>
      <w:r>
        <w:rPr>
          <w:rStyle w:val="normaltextrun"/>
          <w:szCs w:val="24"/>
        </w:rPr>
        <w:tab/>
      </w:r>
      <w:r w:rsidRPr="00B75342">
        <w:rPr>
          <w:rStyle w:val="normaltextrun"/>
          <w:szCs w:val="24"/>
        </w:rPr>
        <w:t>Vienlaikus izsakām šādu</w:t>
      </w:r>
      <w:r w:rsidR="00B75342" w:rsidRPr="00B75342">
        <w:rPr>
          <w:rStyle w:val="normaltextrun"/>
          <w:szCs w:val="24"/>
        </w:rPr>
        <w:t>s</w:t>
      </w:r>
      <w:r w:rsidRPr="00B75342">
        <w:rPr>
          <w:rStyle w:val="normaltextrun"/>
          <w:szCs w:val="24"/>
        </w:rPr>
        <w:t xml:space="preserve"> priekšlikumu</w:t>
      </w:r>
      <w:r w:rsidR="00B75342" w:rsidRPr="00B75342">
        <w:rPr>
          <w:rStyle w:val="normaltextrun"/>
          <w:szCs w:val="24"/>
        </w:rPr>
        <w:t>s</w:t>
      </w:r>
      <w:r w:rsidRPr="00B75342">
        <w:rPr>
          <w:rStyle w:val="normaltextrun"/>
          <w:szCs w:val="24"/>
        </w:rPr>
        <w:t>:</w:t>
      </w:r>
    </w:p>
    <w:p w14:paraId="33DC4946" w14:textId="26123107" w:rsidR="005E1F32" w:rsidRPr="00B75342" w:rsidRDefault="005E1F32" w:rsidP="00B75342">
      <w:pPr>
        <w:pStyle w:val="ListParagraph"/>
        <w:widowControl/>
        <w:numPr>
          <w:ilvl w:val="0"/>
          <w:numId w:val="16"/>
        </w:numPr>
        <w:tabs>
          <w:tab w:val="left" w:pos="709"/>
          <w:tab w:val="left" w:pos="993"/>
        </w:tabs>
        <w:ind w:left="0" w:firstLine="710"/>
        <w:rPr>
          <w:szCs w:val="24"/>
        </w:rPr>
      </w:pPr>
      <w:r w:rsidRPr="00B75342">
        <w:rPr>
          <w:rStyle w:val="normaltextrun"/>
          <w:szCs w:val="24"/>
        </w:rPr>
        <w:t xml:space="preserve">Lūdzam precizēt noteikumu projektu </w:t>
      </w:r>
      <w:r w:rsidRPr="00B75342">
        <w:rPr>
          <w:szCs w:val="24"/>
        </w:rPr>
        <w:t xml:space="preserve">atbilstoši </w:t>
      </w:r>
      <w:r w:rsidR="00157B55" w:rsidRPr="00B75342">
        <w:rPr>
          <w:szCs w:val="24"/>
        </w:rPr>
        <w:t>MK</w:t>
      </w:r>
      <w:r w:rsidRPr="00B75342">
        <w:rPr>
          <w:szCs w:val="24"/>
        </w:rPr>
        <w:t xml:space="preserve"> noteikumu Nr. 108 </w:t>
      </w:r>
      <w:r w:rsidRPr="00B75342">
        <w:rPr>
          <w:bCs/>
          <w:szCs w:val="24"/>
          <w:lang w:eastAsia="lv-LV"/>
        </w:rPr>
        <w:t>141.8. apakšpunktam (neminot divas reizes 2019. gadu).</w:t>
      </w:r>
    </w:p>
    <w:p w14:paraId="22EFA705" w14:textId="1591DC25" w:rsidR="00B75342" w:rsidRPr="00B75342" w:rsidRDefault="00B75342" w:rsidP="00B75342">
      <w:pPr>
        <w:pStyle w:val="ListParagraph"/>
        <w:widowControl/>
        <w:numPr>
          <w:ilvl w:val="0"/>
          <w:numId w:val="16"/>
        </w:numPr>
        <w:tabs>
          <w:tab w:val="left" w:pos="709"/>
          <w:tab w:val="left" w:pos="993"/>
        </w:tabs>
        <w:ind w:left="0" w:firstLine="710"/>
        <w:rPr>
          <w:rStyle w:val="normaltextrun"/>
          <w:szCs w:val="24"/>
        </w:rPr>
      </w:pPr>
      <w:r w:rsidRPr="00B75342">
        <w:rPr>
          <w:bCs/>
          <w:szCs w:val="24"/>
          <w:lang w:eastAsia="lv-LV"/>
        </w:rPr>
        <w:t>Lūdzam atbilstoši Instrukcijas Nr. </w:t>
      </w:r>
      <w:r w:rsidRPr="00B75342">
        <w:rPr>
          <w:szCs w:val="24"/>
        </w:rPr>
        <w:t xml:space="preserve">19 10. punktam anotācijā </w:t>
      </w:r>
      <w:r w:rsidRPr="00B75342">
        <w:rPr>
          <w:szCs w:val="24"/>
          <w:shd w:val="clear" w:color="auto" w:fill="FFFFFF"/>
        </w:rPr>
        <w:t>pievienot atsauci uz informācijas ieguves avotu un norādīt, kur ir iespējams pilnībā iepazīties ar </w:t>
      </w:r>
      <w:r w:rsidRPr="00B75342">
        <w:rPr>
          <w:rFonts w:eastAsia="Times New Roman"/>
          <w:iCs/>
          <w:szCs w:val="24"/>
          <w:lang w:eastAsia="lv-LV"/>
        </w:rPr>
        <w:t>Valsts kontroles revīzijas ziņojumu Nr. 2.4.1-23/2018 "Par Latvijas Republikas 2018. gada pārskatu par valsts budžeta izpildi un par pašvaldību budžetiem".</w:t>
      </w:r>
    </w:p>
    <w:p w14:paraId="5DD9DDDC" w14:textId="0A21397C" w:rsidR="005E1F32" w:rsidRDefault="005E1F32" w:rsidP="00AE4E38">
      <w:pPr>
        <w:widowControl/>
        <w:tabs>
          <w:tab w:val="left" w:pos="1134"/>
        </w:tabs>
        <w:rPr>
          <w:rStyle w:val="normaltextrun"/>
          <w:szCs w:val="24"/>
        </w:rPr>
      </w:pPr>
    </w:p>
    <w:p w14:paraId="2D3FFF1E" w14:textId="77777777" w:rsidR="006F3B00" w:rsidRPr="00AD7F17" w:rsidRDefault="006F3B00" w:rsidP="006F3B00">
      <w:pPr>
        <w:tabs>
          <w:tab w:val="left" w:pos="993"/>
          <w:tab w:val="center" w:pos="4677"/>
        </w:tabs>
        <w:suppressAutoHyphens/>
        <w:contextualSpacing/>
        <w:rPr>
          <w:rFonts w:eastAsia="Times New Roman"/>
          <w:szCs w:val="24"/>
          <w:lang w:eastAsia="zh-CN"/>
        </w:rPr>
      </w:pPr>
      <w:r w:rsidRPr="00AD7F17">
        <w:rPr>
          <w:rFonts w:eastAsia="Times New Roman"/>
          <w:szCs w:val="24"/>
          <w:lang w:eastAsia="zh-CN"/>
        </w:rPr>
        <w:t>Valsts sekretāra vietniece</w:t>
      </w:r>
    </w:p>
    <w:p w14:paraId="0B2AFC57" w14:textId="77777777" w:rsidR="006F3B00" w:rsidRPr="00AD7F17" w:rsidRDefault="006F3B00" w:rsidP="006F3B00">
      <w:pPr>
        <w:tabs>
          <w:tab w:val="left" w:pos="993"/>
          <w:tab w:val="left" w:pos="7938"/>
        </w:tabs>
        <w:suppressAutoHyphens/>
        <w:contextualSpacing/>
        <w:rPr>
          <w:rFonts w:eastAsia="Times New Roman"/>
          <w:szCs w:val="24"/>
          <w:lang w:eastAsia="zh-CN"/>
        </w:rPr>
      </w:pPr>
      <w:r w:rsidRPr="00AD7F17">
        <w:rPr>
          <w:rFonts w:eastAsia="Times New Roman"/>
          <w:szCs w:val="24"/>
          <w:lang w:eastAsia="zh-CN"/>
        </w:rPr>
        <w:t xml:space="preserve">tiesību politikas jautājumos </w:t>
      </w:r>
      <w:r w:rsidRPr="00AD7F17">
        <w:rPr>
          <w:rFonts w:eastAsia="Times New Roman"/>
          <w:szCs w:val="24"/>
          <w:lang w:eastAsia="zh-CN"/>
        </w:rPr>
        <w:tab/>
        <w:t>L. Medina</w:t>
      </w:r>
    </w:p>
    <w:p w14:paraId="0B1F524D" w14:textId="77777777" w:rsidR="006F3B00" w:rsidRPr="003E61D7" w:rsidRDefault="006F3B00" w:rsidP="006F3B00">
      <w:pPr>
        <w:suppressAutoHyphens/>
        <w:rPr>
          <w:rFonts w:eastAsia="Times New Roman"/>
          <w:sz w:val="20"/>
          <w:szCs w:val="20"/>
          <w:lang w:eastAsia="zh-CN"/>
        </w:rPr>
      </w:pPr>
    </w:p>
    <w:p w14:paraId="4BA50C65" w14:textId="77777777" w:rsidR="006F3B00" w:rsidRPr="003E61D7" w:rsidRDefault="006F3B00" w:rsidP="006F3B00">
      <w:pPr>
        <w:suppressAutoHyphens/>
        <w:rPr>
          <w:rFonts w:eastAsia="Times New Roman"/>
          <w:sz w:val="20"/>
          <w:szCs w:val="20"/>
          <w:lang w:eastAsia="zh-CN"/>
        </w:rPr>
      </w:pPr>
    </w:p>
    <w:p w14:paraId="15D94FEB" w14:textId="77777777" w:rsidR="006F3B00" w:rsidRPr="003E61D7" w:rsidRDefault="006F3B00" w:rsidP="006F3B00">
      <w:pPr>
        <w:suppressAutoHyphens/>
        <w:rPr>
          <w:rFonts w:eastAsia="Times New Roman"/>
          <w:sz w:val="20"/>
          <w:szCs w:val="20"/>
          <w:lang w:eastAsia="zh-CN"/>
        </w:rPr>
      </w:pPr>
      <w:r w:rsidRPr="003E61D7">
        <w:rPr>
          <w:rFonts w:eastAsia="Times New Roman"/>
          <w:sz w:val="20"/>
          <w:szCs w:val="20"/>
          <w:lang w:eastAsia="zh-CN"/>
        </w:rPr>
        <w:t>Ē.</w:t>
      </w:r>
      <w:r>
        <w:rPr>
          <w:rFonts w:eastAsia="Times New Roman"/>
          <w:sz w:val="20"/>
          <w:szCs w:val="20"/>
          <w:lang w:eastAsia="zh-CN"/>
        </w:rPr>
        <w:t> </w:t>
      </w:r>
      <w:r w:rsidRPr="003E61D7">
        <w:rPr>
          <w:rFonts w:eastAsia="Times New Roman"/>
          <w:sz w:val="20"/>
          <w:szCs w:val="20"/>
          <w:lang w:eastAsia="zh-CN"/>
        </w:rPr>
        <w:t>Inkina</w:t>
      </w:r>
    </w:p>
    <w:p w14:paraId="4CDB99F3" w14:textId="77777777" w:rsidR="006F3B00" w:rsidRPr="003E61D7" w:rsidRDefault="006F3B00" w:rsidP="006F3B00">
      <w:pPr>
        <w:suppressAutoHyphens/>
        <w:rPr>
          <w:rFonts w:eastAsia="Times New Roman"/>
          <w:sz w:val="20"/>
          <w:szCs w:val="20"/>
          <w:lang w:eastAsia="zh-CN"/>
        </w:rPr>
      </w:pPr>
      <w:r w:rsidRPr="003E61D7">
        <w:rPr>
          <w:rFonts w:eastAsia="Times New Roman"/>
          <w:sz w:val="20"/>
          <w:szCs w:val="20"/>
          <w:lang w:eastAsia="zh-CN"/>
        </w:rPr>
        <w:lastRenderedPageBreak/>
        <w:t>Tieslietu ministrijas</w:t>
      </w:r>
    </w:p>
    <w:p w14:paraId="1FADE63B" w14:textId="77777777" w:rsidR="006F3B00" w:rsidRPr="003E61D7" w:rsidRDefault="006F3B00" w:rsidP="006F3B00">
      <w:pPr>
        <w:suppressAutoHyphens/>
        <w:rPr>
          <w:rFonts w:eastAsia="Times New Roman"/>
          <w:sz w:val="20"/>
          <w:szCs w:val="20"/>
          <w:lang w:eastAsia="zh-CN"/>
        </w:rPr>
      </w:pPr>
      <w:r w:rsidRPr="003E61D7">
        <w:rPr>
          <w:rFonts w:eastAsia="Times New Roman"/>
          <w:sz w:val="20"/>
          <w:szCs w:val="20"/>
          <w:lang w:eastAsia="zh-CN"/>
        </w:rPr>
        <w:t>Normatīvo aktu kvalitātes nodrošināšanas</w:t>
      </w:r>
    </w:p>
    <w:p w14:paraId="6D662EF0" w14:textId="77777777" w:rsidR="006F3B00" w:rsidRPr="003E61D7" w:rsidRDefault="006F3B00" w:rsidP="006F3B00">
      <w:pPr>
        <w:suppressAutoHyphens/>
        <w:rPr>
          <w:rFonts w:eastAsia="Times New Roman"/>
          <w:sz w:val="20"/>
          <w:szCs w:val="20"/>
          <w:lang w:eastAsia="zh-CN"/>
        </w:rPr>
      </w:pPr>
      <w:r w:rsidRPr="003E61D7">
        <w:rPr>
          <w:rFonts w:eastAsia="Times New Roman"/>
          <w:sz w:val="20"/>
          <w:szCs w:val="20"/>
          <w:lang w:eastAsia="zh-CN"/>
        </w:rPr>
        <w:t>departamenta juriste</w:t>
      </w:r>
    </w:p>
    <w:p w14:paraId="04238E4C" w14:textId="77777777" w:rsidR="006F3B00" w:rsidRPr="003E61D7" w:rsidRDefault="006F3B00" w:rsidP="006F3B00">
      <w:pPr>
        <w:suppressAutoHyphens/>
      </w:pPr>
      <w:r w:rsidRPr="003E61D7">
        <w:rPr>
          <w:rFonts w:eastAsia="Times New Roman"/>
          <w:sz w:val="20"/>
          <w:szCs w:val="20"/>
          <w:lang w:eastAsia="zh-CN"/>
        </w:rPr>
        <w:t xml:space="preserve">67036969, </w:t>
      </w:r>
      <w:hyperlink r:id="rId10" w:history="1">
        <w:r w:rsidRPr="008D1333">
          <w:rPr>
            <w:rStyle w:val="Hyperlink"/>
            <w:rFonts w:eastAsia="Times New Roman"/>
            <w:sz w:val="20"/>
            <w:szCs w:val="20"/>
            <w:lang w:eastAsia="zh-CN"/>
          </w:rPr>
          <w:t>erika.inkina@tm.gov.lv</w:t>
        </w:r>
      </w:hyperlink>
    </w:p>
    <w:p w14:paraId="5E7C1C29" w14:textId="5BDC0613" w:rsidR="00830970" w:rsidRPr="006F3B00" w:rsidRDefault="00830970" w:rsidP="006F3B00"/>
    <w:sectPr w:rsidR="00830970" w:rsidRPr="006F3B00" w:rsidSect="00A34ACB">
      <w:headerReference w:type="default" r:id="rId11"/>
      <w:footerReference w:type="default" r:id="rId12"/>
      <w:headerReference w:type="first" r:id="rId13"/>
      <w:footerReference w:type="first" r:id="rId14"/>
      <w:type w:val="continuous"/>
      <w:pgSz w:w="11920" w:h="16840"/>
      <w:pgMar w:top="1134" w:right="851"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C1C2C" w14:textId="77777777" w:rsidR="00EC3533" w:rsidRDefault="00EC3533">
      <w:r>
        <w:separator/>
      </w:r>
    </w:p>
  </w:endnote>
  <w:endnote w:type="continuationSeparator" w:id="0">
    <w:p w14:paraId="5E7C1C2D" w14:textId="77777777" w:rsidR="00EC3533" w:rsidRDefault="00EC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30D0B" w14:textId="77777777" w:rsidR="00F92022" w:rsidRDefault="00F92022" w:rsidP="00F92022">
    <w:pPr>
      <w:ind w:right="12"/>
    </w:pPr>
    <w:r w:rsidRPr="00405649">
      <w:rPr>
        <w:sz w:val="22"/>
      </w:rPr>
      <w:t>TMAtz_</w:t>
    </w:r>
    <w:r>
      <w:rPr>
        <w:sz w:val="22"/>
      </w:rPr>
      <w:t>060921_FM</w:t>
    </w:r>
    <w:r w:rsidRPr="00405649">
      <w:rPr>
        <w:sz w:val="22"/>
      </w:rPr>
      <w:t>-</w:t>
    </w:r>
    <w:r>
      <w:rPr>
        <w:sz w:val="22"/>
      </w:rPr>
      <w:t>786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3923C" w14:textId="348B0995" w:rsidR="00B429B5" w:rsidRDefault="00B429B5" w:rsidP="00B429B5">
    <w:pPr>
      <w:ind w:right="12"/>
    </w:pPr>
    <w:r w:rsidRPr="00405649">
      <w:rPr>
        <w:sz w:val="22"/>
      </w:rPr>
      <w:t>TMAtz_</w:t>
    </w:r>
    <w:r>
      <w:rPr>
        <w:sz w:val="22"/>
      </w:rPr>
      <w:t>060921</w:t>
    </w:r>
    <w:r w:rsidR="00873217">
      <w:rPr>
        <w:sz w:val="22"/>
      </w:rPr>
      <w:t>_FM</w:t>
    </w:r>
    <w:r w:rsidRPr="00405649">
      <w:rPr>
        <w:sz w:val="22"/>
      </w:rPr>
      <w:t>-</w:t>
    </w:r>
    <w:r>
      <w:rPr>
        <w:sz w:val="22"/>
      </w:rPr>
      <w:t>7</w:t>
    </w:r>
    <w:r w:rsidR="00873217">
      <w:rPr>
        <w:sz w:val="22"/>
      </w:rPr>
      <w:t>86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C1C2A" w14:textId="77777777" w:rsidR="00EC3533" w:rsidRDefault="00EC3533">
      <w:r>
        <w:separator/>
      </w:r>
    </w:p>
  </w:footnote>
  <w:footnote w:type="continuationSeparator" w:id="0">
    <w:p w14:paraId="5E7C1C2B" w14:textId="77777777" w:rsidR="00EC3533" w:rsidRDefault="00EC3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847357"/>
      <w:docPartObj>
        <w:docPartGallery w:val="Page Numbers (Top of Page)"/>
        <w:docPartUnique/>
      </w:docPartObj>
    </w:sdtPr>
    <w:sdtEndPr/>
    <w:sdtContent>
      <w:p w14:paraId="5E7C1C2E" w14:textId="7DAC44DF" w:rsidR="007B3740" w:rsidRDefault="007B3740">
        <w:pPr>
          <w:pStyle w:val="Header"/>
          <w:jc w:val="center"/>
        </w:pPr>
        <w:r>
          <w:fldChar w:fldCharType="begin"/>
        </w:r>
        <w:r>
          <w:instrText>PAGE   \* MERGEFORMAT</w:instrText>
        </w:r>
        <w:r>
          <w:fldChar w:fldCharType="separate"/>
        </w:r>
        <w:r w:rsidR="009145A4">
          <w:rPr>
            <w:noProof/>
          </w:rPr>
          <w:t>2</w:t>
        </w:r>
        <w:r>
          <w:fldChar w:fldCharType="end"/>
        </w:r>
      </w:p>
    </w:sdtContent>
  </w:sdt>
  <w:p w14:paraId="5E7C1C2F" w14:textId="77777777" w:rsidR="006C6018" w:rsidRDefault="006C6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C1C30" w14:textId="77777777" w:rsidR="00A34ACB" w:rsidRDefault="00A34ACB" w:rsidP="00A34ACB">
    <w:pPr>
      <w:pStyle w:val="Header"/>
    </w:pPr>
  </w:p>
  <w:p w14:paraId="5E7C1C31" w14:textId="77777777" w:rsidR="00A34ACB" w:rsidRDefault="00E40434" w:rsidP="00A34ACB">
    <w:pPr>
      <w:pStyle w:val="Header"/>
    </w:pPr>
    <w:r>
      <w:rPr>
        <w:noProof/>
        <w:lang w:eastAsia="lv-LV"/>
      </w:rPr>
      <w:drawing>
        <wp:anchor distT="0" distB="0" distL="114300" distR="114300" simplePos="0" relativeHeight="251660800" behindDoc="1" locked="0" layoutInCell="1" allowOverlap="1" wp14:anchorId="5E7C1C42" wp14:editId="5E7C1C43">
          <wp:simplePos x="0" y="0"/>
          <wp:positionH relativeFrom="margin">
            <wp:align>center</wp:align>
          </wp:positionH>
          <wp:positionV relativeFrom="paragraph">
            <wp:posOffset>84455</wp:posOffset>
          </wp:positionV>
          <wp:extent cx="5915025" cy="1066800"/>
          <wp:effectExtent l="0" t="0" r="0" b="0"/>
          <wp:wrapNone/>
          <wp:docPr id="7" name="Attēls 10" descr="\\ts.gov.lv\tmdfs\BB\lk1201\My Documents\DOKUMENTI\RIIKOJUMI\VEIDLAPAS_2015\vienkrasu_header_veidlapa_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0" descr="\\ts.gov.lv\tmdfs\BB\lk1201\My Documents\DOKUMENTI\RIIKOJUMI\VEIDLAPAS_2015\vienkrasu_header_veidlapa_67.png"/>
                  <pic:cNvPicPr>
                    <a:picLocks noChangeAspect="1" noChangeArrowheads="1"/>
                  </pic:cNvPicPr>
                </pic:nvPicPr>
                <pic:blipFill>
                  <a:blip r:embed="rId1">
                    <a:extLst>
                      <a:ext uri="{BEBA8EAE-BF5A-486C-A8C5-ECC9F3942E4B}">
                        <a14:imgProps xmlns:a14="http://schemas.microsoft.com/office/drawing/2010/main">
                          <a14:imgLayer r:embed="rId2">
                            <a14:imgEffect>
                              <a14:sharpenSoften amount="50000"/>
                            </a14:imgEffect>
                            <a14:imgEffect>
                              <a14:brightnessContrast contrast="100000"/>
                            </a14:imgEffect>
                          </a14:imgLayer>
                        </a14:imgProps>
                      </a:ext>
                      <a:ext uri="{28A0092B-C50C-407E-A947-70E740481C1C}">
                        <a14:useLocalDpi xmlns:a14="http://schemas.microsoft.com/office/drawing/2010/main" val="0"/>
                      </a:ext>
                    </a:extLst>
                  </a:blip>
                  <a:srcRect/>
                  <a:stretch>
                    <a:fillRect/>
                  </a:stretch>
                </pic:blipFill>
                <pic:spPr bwMode="auto">
                  <a:xfrm>
                    <a:off x="0" y="0"/>
                    <a:ext cx="591502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7C1C32" w14:textId="77777777" w:rsidR="00A34ACB" w:rsidRDefault="00A34ACB" w:rsidP="00A34ACB">
    <w:pPr>
      <w:pStyle w:val="Header"/>
    </w:pPr>
  </w:p>
  <w:p w14:paraId="5E7C1C33" w14:textId="77777777" w:rsidR="00A34ACB" w:rsidRDefault="00A34ACB" w:rsidP="00A34ACB">
    <w:pPr>
      <w:pStyle w:val="Header"/>
    </w:pPr>
  </w:p>
  <w:p w14:paraId="5E7C1C34" w14:textId="77777777" w:rsidR="00A34ACB" w:rsidRDefault="00A34ACB" w:rsidP="00A34ACB">
    <w:pPr>
      <w:pStyle w:val="Header"/>
    </w:pPr>
  </w:p>
  <w:p w14:paraId="5E7C1C35" w14:textId="77777777" w:rsidR="00A34ACB" w:rsidRDefault="00A34ACB" w:rsidP="00A34ACB">
    <w:pPr>
      <w:pStyle w:val="Header"/>
    </w:pPr>
  </w:p>
  <w:p w14:paraId="5E7C1C36" w14:textId="77777777" w:rsidR="00A34ACB" w:rsidRDefault="00A34ACB" w:rsidP="00A34ACB">
    <w:pPr>
      <w:pStyle w:val="Header"/>
    </w:pPr>
  </w:p>
  <w:p w14:paraId="5E7C1C37" w14:textId="77777777" w:rsidR="00A34ACB" w:rsidRDefault="00A34ACB" w:rsidP="00A34ACB">
    <w:pPr>
      <w:pStyle w:val="Header"/>
    </w:pPr>
  </w:p>
  <w:p w14:paraId="5E7C1C38" w14:textId="77777777" w:rsidR="00A34ACB" w:rsidRDefault="00A34ACB" w:rsidP="00A34ACB">
    <w:pPr>
      <w:pStyle w:val="Header"/>
    </w:pPr>
  </w:p>
  <w:p w14:paraId="5E7C1C39" w14:textId="77777777" w:rsidR="00A34ACB" w:rsidRDefault="00A34ACB" w:rsidP="00A34ACB">
    <w:pPr>
      <w:pStyle w:val="Header"/>
    </w:pPr>
  </w:p>
  <w:p w14:paraId="5E7C1C3A" w14:textId="77777777" w:rsidR="00A34ACB" w:rsidRPr="00815277" w:rsidRDefault="00E40434" w:rsidP="00A34ACB">
    <w:pPr>
      <w:pStyle w:val="Header"/>
    </w:pPr>
    <w:r>
      <w:rPr>
        <w:noProof/>
        <w:lang w:eastAsia="lv-LV"/>
      </w:rPr>
      <mc:AlternateContent>
        <mc:Choice Requires="wps">
          <w:drawing>
            <wp:anchor distT="0" distB="0" distL="114300" distR="114300" simplePos="0" relativeHeight="251658752" behindDoc="1" locked="0" layoutInCell="1" allowOverlap="1" wp14:anchorId="5E7C1C44" wp14:editId="5E7C1C45">
              <wp:simplePos x="0" y="0"/>
              <wp:positionH relativeFrom="page">
                <wp:posOffset>1171575</wp:posOffset>
              </wp:positionH>
              <wp:positionV relativeFrom="page">
                <wp:posOffset>2030730</wp:posOffset>
              </wp:positionV>
              <wp:extent cx="5838825" cy="314325"/>
              <wp:effectExtent l="0" t="0" r="9525" b="9525"/>
              <wp:wrapNone/>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C1C48" w14:textId="77777777" w:rsidR="00A34ACB" w:rsidRPr="006C6018" w:rsidRDefault="00AC270F" w:rsidP="00A34ACB">
                          <w:pPr>
                            <w:spacing w:line="194" w:lineRule="exact"/>
                            <w:ind w:left="20" w:right="-45"/>
                            <w:jc w:val="center"/>
                            <w:rPr>
                              <w:rFonts w:eastAsia="Times New Roman"/>
                              <w:sz w:val="17"/>
                              <w:szCs w:val="17"/>
                            </w:rPr>
                          </w:pPr>
                          <w:r w:rsidRPr="006C6018">
                            <w:rPr>
                              <w:rFonts w:eastAsia="Times New Roman"/>
                              <w:sz w:val="17"/>
                              <w:szCs w:val="17"/>
                            </w:rPr>
                            <w:t>Brīvības bulvāris</w:t>
                          </w:r>
                          <w:r w:rsidR="00A34ACB" w:rsidRPr="006C6018">
                            <w:rPr>
                              <w:rFonts w:eastAsia="Times New Roman"/>
                              <w:sz w:val="17"/>
                              <w:szCs w:val="17"/>
                            </w:rPr>
                            <w:t xml:space="preserve"> 36, Rīga, LV-1536</w:t>
                          </w:r>
                          <w:r w:rsidR="00AB4E8A" w:rsidRPr="006C6018">
                            <w:rPr>
                              <w:rFonts w:eastAsia="Times New Roman"/>
                              <w:sz w:val="17"/>
                              <w:szCs w:val="17"/>
                            </w:rPr>
                            <w:t>;</w:t>
                          </w:r>
                          <w:r w:rsidR="00A34ACB" w:rsidRPr="006C6018">
                            <w:rPr>
                              <w:rFonts w:eastAsia="Times New Roman"/>
                              <w:sz w:val="17"/>
                              <w:szCs w:val="17"/>
                            </w:rPr>
                            <w:t xml:space="preserve"> tālr.</w:t>
                          </w:r>
                          <w:r w:rsidRPr="006C6018">
                            <w:rPr>
                              <w:rFonts w:eastAsia="Times New Roman"/>
                              <w:sz w:val="17"/>
                              <w:szCs w:val="17"/>
                            </w:rPr>
                            <w:t>:</w:t>
                          </w:r>
                          <w:r w:rsidR="00A34ACB" w:rsidRPr="006C6018">
                            <w:rPr>
                              <w:rFonts w:eastAsia="Times New Roman"/>
                              <w:sz w:val="17"/>
                              <w:szCs w:val="17"/>
                            </w:rPr>
                            <w:t xml:space="preserve"> 67036801, 67036716, 67036721</w:t>
                          </w:r>
                          <w:r w:rsidR="00AB4E8A" w:rsidRPr="006C6018">
                            <w:rPr>
                              <w:rFonts w:eastAsia="Times New Roman"/>
                              <w:sz w:val="17"/>
                              <w:szCs w:val="17"/>
                            </w:rPr>
                            <w:t>;</w:t>
                          </w:r>
                          <w:r w:rsidR="00A34ACB" w:rsidRPr="006C6018">
                            <w:rPr>
                              <w:rFonts w:eastAsia="Times New Roman"/>
                              <w:sz w:val="17"/>
                              <w:szCs w:val="17"/>
                            </w:rPr>
                            <w:t xml:space="preserve"> fakss</w:t>
                          </w:r>
                          <w:r w:rsidRPr="006C6018">
                            <w:rPr>
                              <w:rFonts w:eastAsia="Times New Roman"/>
                              <w:sz w:val="17"/>
                              <w:szCs w:val="17"/>
                            </w:rPr>
                            <w:t>:</w:t>
                          </w:r>
                          <w:r w:rsidR="00A34ACB" w:rsidRPr="006C6018">
                            <w:rPr>
                              <w:rFonts w:eastAsia="Times New Roman"/>
                              <w:sz w:val="17"/>
                              <w:szCs w:val="17"/>
                            </w:rPr>
                            <w:t xml:space="preserve"> 67210823, 67285575</w:t>
                          </w:r>
                          <w:r w:rsidR="00AB4E8A" w:rsidRPr="006C6018">
                            <w:rPr>
                              <w:rFonts w:eastAsia="Times New Roman"/>
                              <w:sz w:val="17"/>
                              <w:szCs w:val="17"/>
                            </w:rPr>
                            <w:t>;</w:t>
                          </w:r>
                          <w:r w:rsidR="00A34ACB" w:rsidRPr="006C6018">
                            <w:rPr>
                              <w:rFonts w:eastAsia="Times New Roman"/>
                              <w:sz w:val="17"/>
                              <w:szCs w:val="17"/>
                            </w:rPr>
                            <w:t xml:space="preserve"> </w:t>
                          </w:r>
                        </w:p>
                        <w:p w14:paraId="5E7C1C49" w14:textId="2E3D2505" w:rsidR="00A34ACB" w:rsidRPr="006C6018" w:rsidRDefault="00A34ACB" w:rsidP="00A34ACB">
                          <w:pPr>
                            <w:spacing w:line="194" w:lineRule="exact"/>
                            <w:ind w:left="20" w:right="-45"/>
                            <w:jc w:val="center"/>
                            <w:rPr>
                              <w:rFonts w:eastAsia="Times New Roman"/>
                              <w:sz w:val="17"/>
                              <w:szCs w:val="17"/>
                            </w:rPr>
                          </w:pPr>
                          <w:r w:rsidRPr="006C6018">
                            <w:rPr>
                              <w:rFonts w:eastAsia="Times New Roman"/>
                              <w:sz w:val="17"/>
                              <w:szCs w:val="17"/>
                            </w:rPr>
                            <w:t>e-pasts</w:t>
                          </w:r>
                          <w:r w:rsidR="00AC270F" w:rsidRPr="006C6018">
                            <w:rPr>
                              <w:rFonts w:eastAsia="Times New Roman"/>
                              <w:sz w:val="17"/>
                              <w:szCs w:val="17"/>
                            </w:rPr>
                            <w:t>:</w:t>
                          </w:r>
                          <w:r w:rsidRPr="006C6018">
                            <w:rPr>
                              <w:rFonts w:eastAsia="Times New Roman"/>
                              <w:sz w:val="17"/>
                              <w:szCs w:val="17"/>
                            </w:rPr>
                            <w:t xml:space="preserve"> </w:t>
                          </w:r>
                          <w:r w:rsidR="00F134BD">
                            <w:rPr>
                              <w:rFonts w:eastAsia="Times New Roman"/>
                              <w:sz w:val="17"/>
                              <w:szCs w:val="17"/>
                            </w:rPr>
                            <w:t>pasts</w:t>
                          </w:r>
                          <w:r w:rsidRPr="006C6018">
                            <w:rPr>
                              <w:rFonts w:eastAsia="Times New Roman"/>
                              <w:sz w:val="17"/>
                              <w:szCs w:val="17"/>
                            </w:rPr>
                            <w:t>@tm.gov.lv</w:t>
                          </w:r>
                          <w:r w:rsidR="00AB4E8A" w:rsidRPr="006C6018">
                            <w:rPr>
                              <w:rFonts w:eastAsia="Times New Roman"/>
                              <w:sz w:val="17"/>
                              <w:szCs w:val="17"/>
                            </w:rPr>
                            <w:t>;</w:t>
                          </w:r>
                          <w:r w:rsidRPr="006C6018">
                            <w:rPr>
                              <w:rFonts w:eastAsia="Times New Roman"/>
                              <w:sz w:val="17"/>
                              <w:szCs w:val="17"/>
                            </w:rPr>
                            <w:t xml:space="preserve"> www.tm.gov.lv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14="http://schemas.microsoft.com/office/drawing/2010/main" xmlns:pic="http://schemas.openxmlformats.org/drawingml/2006/picture" xmlns:a="http://schemas.openxmlformats.org/drawingml/2006/main">
          <w:pict>
            <v:shapetype id="_x0000_t202" coordsize="21600,21600" o:spt="202" path="m,l,21600r21600,l21600,xe" w14:anchorId="5E7C1C44">
              <v:stroke joinstyle="miter"/>
              <v:path gradientshapeok="t" o:connecttype="rect"/>
            </v:shapetype>
            <v:shape id="Text Box 43" style="position:absolute;left:0;text-align:left;margin-left:92.25pt;margin-top:159.9pt;width:459.75pt;height:24.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">
              <v:textbox inset="0,0,0,0">
                <w:txbxContent>
                  <w:p w:rsidRPr="006C6018" w:rsidR="00A34ACB" w:rsidP="00A34ACB" w:rsidRDefault="00AC270F" w14:paraId="5E7C1C48" w14:textId="77777777">
                    <w:pPr>
                      <w:spacing w:line="194" w:lineRule="exact"/>
                      <w:ind w:left="20" w:right="-45"/>
                      <w:jc w:val="center"/>
                      <w:rPr>
                        <w:rFonts w:eastAsia="Times New Roman"/>
                        <w:sz w:val="17"/>
                        <w:szCs w:val="17"/>
                      </w:rPr>
                    </w:pPr>
                    <w:r w:rsidRPr="006C6018">
                      <w:rPr>
                        <w:rFonts w:eastAsia="Times New Roman"/>
                        <w:sz w:val="17"/>
                        <w:szCs w:val="17"/>
                      </w:rPr>
                      <w:t>Brīvības bulvāris</w:t>
                    </w:r>
                    <w:r w:rsidRPr="006C6018" w:rsidR="00A34ACB">
                      <w:rPr>
                        <w:rFonts w:eastAsia="Times New Roman"/>
                        <w:sz w:val="17"/>
                        <w:szCs w:val="17"/>
                      </w:rPr>
                      <w:t xml:space="preserve"> 36, Rīga, LV-1536</w:t>
                    </w:r>
                    <w:r w:rsidRPr="006C6018" w:rsidR="00AB4E8A">
                      <w:rPr>
                        <w:rFonts w:eastAsia="Times New Roman"/>
                        <w:sz w:val="17"/>
                        <w:szCs w:val="17"/>
                      </w:rPr>
                      <w:t>;</w:t>
                    </w:r>
                    <w:r w:rsidRPr="006C6018" w:rsidR="00A34ACB">
                      <w:rPr>
                        <w:rFonts w:eastAsia="Times New Roman"/>
                        <w:sz w:val="17"/>
                        <w:szCs w:val="17"/>
                      </w:rPr>
                      <w:t xml:space="preserve"> tālr.</w:t>
                    </w:r>
                    <w:r w:rsidRPr="006C6018">
                      <w:rPr>
                        <w:rFonts w:eastAsia="Times New Roman"/>
                        <w:sz w:val="17"/>
                        <w:szCs w:val="17"/>
                      </w:rPr>
                      <w:t>:</w:t>
                    </w:r>
                    <w:r w:rsidRPr="006C6018" w:rsidR="00A34ACB">
                      <w:rPr>
                        <w:rFonts w:eastAsia="Times New Roman"/>
                        <w:sz w:val="17"/>
                        <w:szCs w:val="17"/>
                      </w:rPr>
                      <w:t xml:space="preserve"> 67036801, 67036716, 67036721</w:t>
                    </w:r>
                    <w:r w:rsidRPr="006C6018" w:rsidR="00AB4E8A">
                      <w:rPr>
                        <w:rFonts w:eastAsia="Times New Roman"/>
                        <w:sz w:val="17"/>
                        <w:szCs w:val="17"/>
                      </w:rPr>
                      <w:t>;</w:t>
                    </w:r>
                    <w:r w:rsidRPr="006C6018" w:rsidR="00A34ACB">
                      <w:rPr>
                        <w:rFonts w:eastAsia="Times New Roman"/>
                        <w:sz w:val="17"/>
                        <w:szCs w:val="17"/>
                      </w:rPr>
                      <w:t xml:space="preserve"> fakss</w:t>
                    </w:r>
                    <w:r w:rsidRPr="006C6018">
                      <w:rPr>
                        <w:rFonts w:eastAsia="Times New Roman"/>
                        <w:sz w:val="17"/>
                        <w:szCs w:val="17"/>
                      </w:rPr>
                      <w:t>:</w:t>
                    </w:r>
                    <w:r w:rsidRPr="006C6018" w:rsidR="00A34ACB">
                      <w:rPr>
                        <w:rFonts w:eastAsia="Times New Roman"/>
                        <w:sz w:val="17"/>
                        <w:szCs w:val="17"/>
                      </w:rPr>
                      <w:t xml:space="preserve"> 67210823, 67285575</w:t>
                    </w:r>
                    <w:r w:rsidRPr="006C6018" w:rsidR="00AB4E8A">
                      <w:rPr>
                        <w:rFonts w:eastAsia="Times New Roman"/>
                        <w:sz w:val="17"/>
                        <w:szCs w:val="17"/>
                      </w:rPr>
                      <w:t>;</w:t>
                    </w:r>
                    <w:r w:rsidRPr="006C6018" w:rsidR="00A34ACB">
                      <w:rPr>
                        <w:rFonts w:eastAsia="Times New Roman"/>
                        <w:sz w:val="17"/>
                        <w:szCs w:val="17"/>
                      </w:rPr>
                      <w:t xml:space="preserve"> </w:t>
                    </w:r>
                  </w:p>
                  <w:p w:rsidRPr="006C6018" w:rsidR="00A34ACB" w:rsidP="00A34ACB" w:rsidRDefault="00A34ACB" w14:paraId="5E7C1C49" w14:textId="2E3D2505">
                    <w:pPr>
                      <w:spacing w:line="194" w:lineRule="exact"/>
                      <w:ind w:left="20" w:right="-45"/>
                      <w:jc w:val="center"/>
                      <w:rPr>
                        <w:rFonts w:eastAsia="Times New Roman"/>
                        <w:sz w:val="17"/>
                        <w:szCs w:val="17"/>
                      </w:rPr>
                    </w:pPr>
                    <w:r w:rsidRPr="006C6018">
                      <w:rPr>
                        <w:rFonts w:eastAsia="Times New Roman"/>
                        <w:sz w:val="17"/>
                        <w:szCs w:val="17"/>
                      </w:rPr>
                      <w:t>e-pasts</w:t>
                    </w:r>
                    <w:r w:rsidRPr="006C6018" w:rsidR="00AC270F">
                      <w:rPr>
                        <w:rFonts w:eastAsia="Times New Roman"/>
                        <w:sz w:val="17"/>
                        <w:szCs w:val="17"/>
                      </w:rPr>
                      <w:t>:</w:t>
                    </w:r>
                    <w:r w:rsidRPr="006C6018">
                      <w:rPr>
                        <w:rFonts w:eastAsia="Times New Roman"/>
                        <w:sz w:val="17"/>
                        <w:szCs w:val="17"/>
                      </w:rPr>
                      <w:t xml:space="preserve"> </w:t>
                    </w:r>
                    <w:r w:rsidR="00F134BD">
                      <w:rPr>
                        <w:rFonts w:eastAsia="Times New Roman"/>
                        <w:sz w:val="17"/>
                        <w:szCs w:val="17"/>
                      </w:rPr>
                      <w:t>pasts</w:t>
                    </w:r>
                    <w:r w:rsidRPr="006C6018">
                      <w:rPr>
                        <w:rFonts w:eastAsia="Times New Roman"/>
                        <w:sz w:val="17"/>
                        <w:szCs w:val="17"/>
                      </w:rPr>
                      <w:t>@tm.gov.lv</w:t>
                    </w:r>
                    <w:r w:rsidRPr="006C6018" w:rsidR="00AB4E8A">
                      <w:rPr>
                        <w:rFonts w:eastAsia="Times New Roman"/>
                        <w:sz w:val="17"/>
                        <w:szCs w:val="17"/>
                      </w:rPr>
                      <w:t>;</w:t>
                    </w:r>
                    <w:r w:rsidRPr="006C6018">
                      <w:rPr>
                        <w:rFonts w:eastAsia="Times New Roman"/>
                        <w:sz w:val="17"/>
                        <w:szCs w:val="17"/>
                      </w:rPr>
                      <w:t xml:space="preserve"> www.tm.gov.lv</w:t>
                    </w:r>
                  </w:p>
                </w:txbxContent>
              </v:textbox>
              <w10:wrap anchorx="page" anchory="page"/>
            </v:shape>
          </w:pict>
        </mc:Fallback>
      </mc:AlternateContent>
    </w:r>
    <w:r>
      <w:rPr>
        <w:noProof/>
        <w:lang w:eastAsia="lv-LV"/>
      </w:rPr>
      <mc:AlternateContent>
        <mc:Choice Requires="wpg">
          <w:drawing>
            <wp:anchor distT="0" distB="0" distL="114300" distR="114300" simplePos="0" relativeHeight="251657728" behindDoc="1" locked="0" layoutInCell="1" allowOverlap="1" wp14:anchorId="5E7C1C46" wp14:editId="5E7C1C47">
              <wp:simplePos x="0" y="0"/>
              <wp:positionH relativeFrom="page">
                <wp:posOffset>1850390</wp:posOffset>
              </wp:positionH>
              <wp:positionV relativeFrom="page">
                <wp:posOffset>1903095</wp:posOffset>
              </wp:positionV>
              <wp:extent cx="4397375" cy="1270"/>
              <wp:effectExtent l="0" t="0" r="22225" b="17780"/>
              <wp:wrapNone/>
              <wp:docPr id="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7375" cy="1270"/>
                        <a:chOff x="2915" y="2998"/>
                        <a:chExt cx="6926" cy="2"/>
                      </a:xfrm>
                    </wpg:grpSpPr>
                    <wps:wsp>
                      <wps:cNvPr id="5"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14="http://schemas.microsoft.com/office/drawing/2010/main" xmlns:pic="http://schemas.openxmlformats.org/drawingml/2006/picture" xmlns:a="http://schemas.openxmlformats.org/drawingml/2006/main">
          <w:pict>
            <v:group id="Group 41" style="position:absolute;margin-left:145.7pt;margin-top:149.85pt;width:346.25pt;height:.1pt;z-index:-251658752;mso-position-horizontal-relative:page;mso-position-vertical-relative:page" coordsize="6926,2" coordorigin="2915,2998"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" w14:anchorId="29C7D1B5">
              <v:shape id="Freeform 42" style="position:absolute;left:2915;top:2998;width:6926;height:2;visibility:visible;mso-wrap-style:square;v-text-anchor:top" coordsize="6926,2" o:spid="_x0000_s1027" filled="f" strokecolor="#231f20" strokeweight=".25pt" path="m,l69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">
                <v:path arrowok="t" o:connecttype="custom" o:connectlocs="0,0;6926,0" o:connectangles="0,0"/>
              </v:shape>
              <w10:wrap anchorx="page" anchory="page"/>
            </v:group>
          </w:pict>
        </mc:Fallback>
      </mc:AlternateContent>
    </w:r>
  </w:p>
  <w:p w14:paraId="5E7C1C3B" w14:textId="77777777" w:rsidR="00AB4E8A" w:rsidRPr="00C836FF" w:rsidRDefault="00AB4E8A" w:rsidP="00AB4E8A">
    <w:pPr>
      <w:jc w:val="center"/>
      <w:rPr>
        <w:szCs w:val="24"/>
      </w:rPr>
    </w:pPr>
    <w:r w:rsidRPr="00C836FF">
      <w:rPr>
        <w:szCs w:val="24"/>
      </w:rPr>
      <w:t>Rīgā</w:t>
    </w:r>
  </w:p>
  <w:p w14:paraId="5E7C1C3C" w14:textId="77777777" w:rsidR="00AB4E8A" w:rsidRPr="00C836FF" w:rsidRDefault="00AB4E8A" w:rsidP="00AB4E8A">
    <w:pPr>
      <w:jc w:val="center"/>
      <w:rPr>
        <w:szCs w:val="24"/>
      </w:rPr>
    </w:pPr>
  </w:p>
  <w:tbl>
    <w:tblPr>
      <w:tblStyle w:val="TableGrid"/>
      <w:tblW w:w="0" w:type="auto"/>
      <w:tblInd w:w="108" w:type="dxa"/>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10"/>
      <w:gridCol w:w="420"/>
      <w:gridCol w:w="1890"/>
    </w:tblGrid>
    <w:tr w:rsidR="00E11DA3" w14:paraId="5E7C1C40" w14:textId="77777777" w:rsidTr="00A6153E">
      <w:tc>
        <w:tcPr>
          <w:tcW w:w="1810" w:type="dxa"/>
        </w:tcPr>
        <w:p w14:paraId="5E7C1C3D" w14:textId="41B37D0D" w:rsidR="00E11DA3" w:rsidRDefault="00887350" w:rsidP="00E11DA3">
          <w:pPr>
            <w:pStyle w:val="Header"/>
            <w:jc w:val="center"/>
            <w:rPr>
              <w:szCs w:val="24"/>
            </w:rPr>
          </w:pPr>
          <w:r>
            <w:t>13.09.2021</w:t>
          </w:r>
          <w:r>
            <w:rPr>
              <w:szCs w:val="24"/>
            </w:rPr>
            <w:t>.</w:t>
          </w:r>
        </w:p>
      </w:tc>
      <w:tc>
        <w:tcPr>
          <w:tcW w:w="420" w:type="dxa"/>
          <w:tcBorders>
            <w:bottom w:val="nil"/>
          </w:tcBorders>
        </w:tcPr>
        <w:p w14:paraId="5E7C1C3E" w14:textId="77777777" w:rsidR="00E11DA3" w:rsidRDefault="00E11DA3" w:rsidP="00E11DA3">
          <w:pPr>
            <w:pStyle w:val="Header"/>
            <w:rPr>
              <w:szCs w:val="24"/>
            </w:rPr>
          </w:pPr>
          <w:r>
            <w:rPr>
              <w:szCs w:val="24"/>
            </w:rPr>
            <w:t xml:space="preserve"> Nr.</w:t>
          </w:r>
        </w:p>
      </w:tc>
      <w:tc>
        <w:tcPr>
          <w:tcW w:w="1890" w:type="dxa"/>
        </w:tcPr>
        <w:p w14:paraId="5E7C1C3F" w14:textId="77777777" w:rsidR="00E11DA3" w:rsidRDefault="00E11DA3" w:rsidP="00E11DA3">
          <w:pPr>
            <w:pStyle w:val="Header"/>
            <w:jc w:val="center"/>
            <w:rPr>
              <w:szCs w:val="24"/>
            </w:rPr>
          </w:pPr>
          <w:r>
            <w:t>1-9.1/1003</w:t>
          </w:r>
        </w:p>
      </w:tc>
    </w:tr>
  </w:tbl>
  <w:p w14:paraId="5E7C1C41" w14:textId="77777777" w:rsidR="00AB4E8A" w:rsidRPr="00887350" w:rsidRDefault="00AB4E8A" w:rsidP="00E11DA3">
    <w:pPr>
      <w:tabs>
        <w:tab w:val="center" w:pos="4320"/>
        <w:tab w:val="right" w:pos="8640"/>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0611AD"/>
    <w:multiLevelType w:val="hybridMultilevel"/>
    <w:tmpl w:val="C840D454"/>
    <w:lvl w:ilvl="0" w:tplc="9244CD4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0C8B7323"/>
    <w:multiLevelType w:val="hybridMultilevel"/>
    <w:tmpl w:val="D6CE421A"/>
    <w:lvl w:ilvl="0" w:tplc="00F29C40">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13" w15:restartNumberingAfterBreak="0">
    <w:nsid w:val="250620DC"/>
    <w:multiLevelType w:val="hybridMultilevel"/>
    <w:tmpl w:val="1E18EAE4"/>
    <w:lvl w:ilvl="0" w:tplc="1C46F7C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82F67F8"/>
    <w:multiLevelType w:val="hybridMultilevel"/>
    <w:tmpl w:val="581A7748"/>
    <w:lvl w:ilvl="0" w:tplc="806AC3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661D23D5"/>
    <w:multiLevelType w:val="hybridMultilevel"/>
    <w:tmpl w:val="B98A7F7C"/>
    <w:lvl w:ilvl="0" w:tplc="4C1C4172">
      <w:start w:val="1"/>
      <w:numFmt w:val="decimal"/>
      <w:lvlText w:val="%1."/>
      <w:lvlJc w:val="left"/>
      <w:pPr>
        <w:ind w:left="1069" w:hanging="360"/>
      </w:pPr>
      <w:rPr>
        <w:rFonts w:ascii="Times New Roman" w:hAnsi="Times New Roman" w:cs="Times New Roman" w:hint="default"/>
        <w:b w:val="0"/>
        <w:color w:val="auto"/>
        <w:sz w:val="24"/>
        <w:szCs w:val="24"/>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3"/>
  </w:num>
  <w:num w:numId="14">
    <w:abstractNumId w:val="14"/>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52E14"/>
    <w:rsid w:val="00091ABD"/>
    <w:rsid w:val="000D6929"/>
    <w:rsid w:val="000E59E5"/>
    <w:rsid w:val="000E7F03"/>
    <w:rsid w:val="00107C15"/>
    <w:rsid w:val="00124173"/>
    <w:rsid w:val="00157B55"/>
    <w:rsid w:val="00187A98"/>
    <w:rsid w:val="002533D6"/>
    <w:rsid w:val="00275B9E"/>
    <w:rsid w:val="002B3077"/>
    <w:rsid w:val="002E1474"/>
    <w:rsid w:val="00335032"/>
    <w:rsid w:val="00441F52"/>
    <w:rsid w:val="00493308"/>
    <w:rsid w:val="004D3571"/>
    <w:rsid w:val="00535564"/>
    <w:rsid w:val="005D1D94"/>
    <w:rsid w:val="005E1F32"/>
    <w:rsid w:val="005E672B"/>
    <w:rsid w:val="00663C3A"/>
    <w:rsid w:val="006C1639"/>
    <w:rsid w:val="006C6018"/>
    <w:rsid w:val="006F3B00"/>
    <w:rsid w:val="00724680"/>
    <w:rsid w:val="00726E06"/>
    <w:rsid w:val="007274DD"/>
    <w:rsid w:val="00747CCB"/>
    <w:rsid w:val="007704BD"/>
    <w:rsid w:val="007B3740"/>
    <w:rsid w:val="007B3BA5"/>
    <w:rsid w:val="007B48EC"/>
    <w:rsid w:val="007E0D0E"/>
    <w:rsid w:val="007E4D1F"/>
    <w:rsid w:val="00815277"/>
    <w:rsid w:val="00816499"/>
    <w:rsid w:val="00830970"/>
    <w:rsid w:val="00873217"/>
    <w:rsid w:val="0087450D"/>
    <w:rsid w:val="00876C21"/>
    <w:rsid w:val="00883533"/>
    <w:rsid w:val="00887350"/>
    <w:rsid w:val="008A679D"/>
    <w:rsid w:val="008C2E22"/>
    <w:rsid w:val="008C7038"/>
    <w:rsid w:val="008E3CED"/>
    <w:rsid w:val="008F7DA4"/>
    <w:rsid w:val="009145A4"/>
    <w:rsid w:val="00954D5A"/>
    <w:rsid w:val="0096342D"/>
    <w:rsid w:val="009B7EA4"/>
    <w:rsid w:val="009D6B6A"/>
    <w:rsid w:val="00A34ACB"/>
    <w:rsid w:val="00A84FC7"/>
    <w:rsid w:val="00AB4E8A"/>
    <w:rsid w:val="00AC270F"/>
    <w:rsid w:val="00AE4E38"/>
    <w:rsid w:val="00AF10A5"/>
    <w:rsid w:val="00B21B50"/>
    <w:rsid w:val="00B429B5"/>
    <w:rsid w:val="00B72DCA"/>
    <w:rsid w:val="00B75342"/>
    <w:rsid w:val="00BB087F"/>
    <w:rsid w:val="00C04896"/>
    <w:rsid w:val="00C255D9"/>
    <w:rsid w:val="00C47F57"/>
    <w:rsid w:val="00C81442"/>
    <w:rsid w:val="00C836FF"/>
    <w:rsid w:val="00CF0967"/>
    <w:rsid w:val="00D21FA6"/>
    <w:rsid w:val="00D55B4B"/>
    <w:rsid w:val="00D57683"/>
    <w:rsid w:val="00DA7797"/>
    <w:rsid w:val="00E11DA3"/>
    <w:rsid w:val="00E365CE"/>
    <w:rsid w:val="00E40434"/>
    <w:rsid w:val="00E44743"/>
    <w:rsid w:val="00EC3533"/>
    <w:rsid w:val="00F134BD"/>
    <w:rsid w:val="00F4496C"/>
    <w:rsid w:val="00F60586"/>
    <w:rsid w:val="00F92022"/>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7C1C27"/>
  <w15:docId w15:val="{F0A60899-0F59-4FE3-B604-795CBD48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E06"/>
    <w:pPr>
      <w:widowControl w:val="0"/>
      <w:jc w:val="both"/>
    </w:pPr>
    <w:rPr>
      <w:rFonts w:ascii="Times New Roman" w:hAnsi="Times New Roman"/>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pPr>
    <w:rPr>
      <w:szCs w:val="21"/>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NoSpacing">
    <w:name w:val="No Spacing"/>
    <w:basedOn w:val="Normal"/>
    <w:next w:val="Normal"/>
    <w:uiPriority w:val="1"/>
    <w:qFormat/>
    <w:rsid w:val="007B3740"/>
  </w:style>
  <w:style w:type="table" w:styleId="TableGrid">
    <w:name w:val="Table Grid"/>
    <w:basedOn w:val="TableNormal"/>
    <w:uiPriority w:val="59"/>
    <w:rsid w:val="00E11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lxnowrap1">
    <w:name w:val="dlxnowrap1"/>
    <w:basedOn w:val="DefaultParagraphFont"/>
    <w:rsid w:val="005D1D94"/>
  </w:style>
  <w:style w:type="character" w:customStyle="1" w:styleId="dlxnowrap">
    <w:name w:val="dlxnowrap"/>
    <w:basedOn w:val="DefaultParagraphFont"/>
    <w:rsid w:val="005D1D94"/>
  </w:style>
  <w:style w:type="paragraph" w:styleId="FootnoteText">
    <w:name w:val="footnote text"/>
    <w:basedOn w:val="Normal"/>
    <w:link w:val="FootnoteTextChar"/>
    <w:uiPriority w:val="99"/>
    <w:unhideWhenUsed/>
    <w:rsid w:val="00F4496C"/>
    <w:rPr>
      <w:sz w:val="20"/>
      <w:szCs w:val="20"/>
    </w:rPr>
  </w:style>
  <w:style w:type="character" w:customStyle="1" w:styleId="FootnoteTextChar">
    <w:name w:val="Footnote Text Char"/>
    <w:basedOn w:val="DefaultParagraphFont"/>
    <w:link w:val="FootnoteText"/>
    <w:uiPriority w:val="99"/>
    <w:rsid w:val="00F4496C"/>
    <w:rPr>
      <w:rFonts w:ascii="Times New Roman" w:hAnsi="Times New Roman"/>
      <w:lang w:eastAsia="en-US"/>
    </w:rPr>
  </w:style>
  <w:style w:type="character" w:styleId="FootnoteReference">
    <w:name w:val="footnote reference"/>
    <w:basedOn w:val="DefaultParagraphFont"/>
    <w:uiPriority w:val="99"/>
    <w:unhideWhenUsed/>
    <w:rsid w:val="00F4496C"/>
    <w:rPr>
      <w:vertAlign w:val="superscript"/>
    </w:rPr>
  </w:style>
  <w:style w:type="paragraph" w:customStyle="1" w:styleId="tv213">
    <w:name w:val="tv213"/>
    <w:basedOn w:val="Normal"/>
    <w:rsid w:val="00F4496C"/>
    <w:pPr>
      <w:widowControl/>
      <w:spacing w:before="100" w:beforeAutospacing="1" w:after="100" w:afterAutospacing="1"/>
      <w:jc w:val="left"/>
    </w:pPr>
    <w:rPr>
      <w:rFonts w:eastAsia="Times New Roman"/>
      <w:szCs w:val="24"/>
      <w:lang w:eastAsia="lv-LV"/>
    </w:rPr>
  </w:style>
  <w:style w:type="paragraph" w:styleId="ListParagraph">
    <w:name w:val="List Paragraph"/>
    <w:aliases w:val="2,Akapit z listą BS,H&amp;P List Paragraph,Strip"/>
    <w:basedOn w:val="Normal"/>
    <w:link w:val="ListParagraphChar"/>
    <w:uiPriority w:val="34"/>
    <w:qFormat/>
    <w:rsid w:val="006F3B00"/>
    <w:pPr>
      <w:ind w:left="720"/>
      <w:contextualSpacing/>
    </w:pPr>
  </w:style>
  <w:style w:type="character" w:customStyle="1" w:styleId="ListParagraphChar">
    <w:name w:val="List Paragraph Char"/>
    <w:aliases w:val="2 Char,Akapit z listą BS Char,H&amp;P List Paragraph Char,Strip Char"/>
    <w:link w:val="ListParagraph"/>
    <w:uiPriority w:val="34"/>
    <w:rsid w:val="006F3B00"/>
    <w:rPr>
      <w:rFonts w:ascii="Times New Roman" w:hAnsi="Times New Roman"/>
      <w:sz w:val="24"/>
      <w:szCs w:val="22"/>
      <w:lang w:eastAsia="en-US"/>
    </w:rPr>
  </w:style>
  <w:style w:type="paragraph" w:customStyle="1" w:styleId="tv2133">
    <w:name w:val="tv2133"/>
    <w:basedOn w:val="Normal"/>
    <w:rsid w:val="006F3B00"/>
    <w:pPr>
      <w:widowControl/>
      <w:spacing w:line="360" w:lineRule="auto"/>
      <w:ind w:firstLine="300"/>
      <w:jc w:val="left"/>
    </w:pPr>
    <w:rPr>
      <w:rFonts w:eastAsia="Times New Roman"/>
      <w:color w:val="414142"/>
      <w:sz w:val="20"/>
      <w:szCs w:val="20"/>
      <w:lang w:eastAsia="lv-LV"/>
    </w:rPr>
  </w:style>
  <w:style w:type="paragraph" w:styleId="NormalWeb">
    <w:name w:val="Normal (Web)"/>
    <w:basedOn w:val="Normal"/>
    <w:uiPriority w:val="99"/>
    <w:unhideWhenUsed/>
    <w:rsid w:val="006F3B00"/>
    <w:pPr>
      <w:widowControl/>
      <w:spacing w:after="200" w:line="276" w:lineRule="auto"/>
      <w:jc w:val="left"/>
    </w:pPr>
    <w:rPr>
      <w:rFonts w:eastAsiaTheme="minorHAnsi"/>
      <w:szCs w:val="24"/>
    </w:rPr>
  </w:style>
  <w:style w:type="character" w:customStyle="1" w:styleId="normaltextrun">
    <w:name w:val="normaltextrun"/>
    <w:basedOn w:val="DefaultParagraphFont"/>
    <w:rsid w:val="00B42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828527">
      <w:bodyDiv w:val="1"/>
      <w:marLeft w:val="0"/>
      <w:marRight w:val="0"/>
      <w:marTop w:val="0"/>
      <w:marBottom w:val="0"/>
      <w:divBdr>
        <w:top w:val="none" w:sz="0" w:space="0" w:color="auto"/>
        <w:left w:val="none" w:sz="0" w:space="0" w:color="auto"/>
        <w:bottom w:val="none" w:sz="0" w:space="0" w:color="auto"/>
        <w:right w:val="none" w:sz="0" w:space="0" w:color="auto"/>
      </w:divBdr>
    </w:div>
    <w:div w:id="606161373">
      <w:bodyDiv w:val="1"/>
      <w:marLeft w:val="0"/>
      <w:marRight w:val="0"/>
      <w:marTop w:val="0"/>
      <w:marBottom w:val="0"/>
      <w:divBdr>
        <w:top w:val="none" w:sz="0" w:space="0" w:color="auto"/>
        <w:left w:val="none" w:sz="0" w:space="0" w:color="auto"/>
        <w:bottom w:val="none" w:sz="0" w:space="0" w:color="auto"/>
        <w:right w:val="none" w:sz="0" w:space="0" w:color="auto"/>
      </w:divBdr>
    </w:div>
    <w:div w:id="1385448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m.likumi.lv/doc.php?id=20306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rika.inkina@tm.gov.lv" TargetMode="External"/><Relationship Id="rId4" Type="http://schemas.openxmlformats.org/officeDocument/2006/relationships/settings" Target="settings.xml"/><Relationship Id="rId9" Type="http://schemas.openxmlformats.org/officeDocument/2006/relationships/hyperlink" Target="https://m.likumi.lv/ta/id/187822"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C0447-6972-4FD7-B31E-7AAB5C8AD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3509</Words>
  <Characters>2001</Characters>
  <Application>Microsoft Office Word</Application>
  <DocSecurity>4</DocSecurity>
  <Lines>16</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Par Ministru kabineta noteikumu projektu "Grozījumi Ministru kabineta 2012. gada 11. decembra noteikumos Nr. 867 "Kārtība, kādā nosakāms maksimāli pieļaujamais valsts budžeta izdevumu kopapjoms un maksimāli pieļaujamais valsts budžeta izdevumu kopējais ap</vt:lpstr>
      <vt:lpstr>Par Ministru kabineta noteikumu projektu "Grozījumi Ministru kabineta 2012. gada 11. decembra noteikumos Nr. 867 "Kārtība, kādā nosakāms maksimāli pieļaujamais valsts budžeta izdevumu kopapjoms un maksimāli pieļaujamais valsts budžeta izdevumu kopējais ap</vt:lpstr>
    </vt:vector>
  </TitlesOfParts>
  <Company>Tieslietu ministrija</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Ministru kabineta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dc:title>
  <dc:subject>Atzinums</dc:subject>
  <dc:creator>Erika.Inkina@TM.GOV.LV</dc:creator>
  <dc:description>Ē. Inkina
Tieslietu ministrijas
Normatīvo aktu kvalitātes nodrošināšanas
departamenta juriste
67036969, erika.inkina@tm.gov.lv</dc:description>
  <cp:lastModifiedBy>Ieva Klinsone</cp:lastModifiedBy>
  <cp:revision>2</cp:revision>
  <cp:lastPrinted>2015-01-09T08:13:00Z</cp:lastPrinted>
  <dcterms:created xsi:type="dcterms:W3CDTF">2021-09-13T07:49:00Z</dcterms:created>
  <dcterms:modified xsi:type="dcterms:W3CDTF">2021-09-13T07:49:00Z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