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30761" w14:textId="2558ED8F" w:rsidR="00B674E1" w:rsidRPr="00056A0A" w:rsidRDefault="00B674E1" w:rsidP="00B674E1">
      <w:pPr>
        <w:tabs>
          <w:tab w:val="left" w:pos="3960"/>
        </w:tabs>
        <w:jc w:val="both"/>
        <w:rPr>
          <w:sz w:val="26"/>
          <w:highlight w:val="yellow"/>
          <w:lang w:val="cs-CZ"/>
        </w:rPr>
      </w:pPr>
      <w:bookmarkStart w:id="0" w:name="_GoBack"/>
      <w:bookmarkEnd w:id="0"/>
      <w:r>
        <w:rPr>
          <w:noProof/>
          <w:sz w:val="26"/>
        </w:rPr>
        <w:drawing>
          <wp:inline distT="0" distB="0" distL="0" distR="0" wp14:anchorId="5F9E4AC2" wp14:editId="1FEB1185">
            <wp:extent cx="5760085" cy="16744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085" cy="1674495"/>
                    </a:xfrm>
                    <a:prstGeom prst="rect">
                      <a:avLst/>
                    </a:prstGeom>
                  </pic:spPr>
                </pic:pic>
              </a:graphicData>
            </a:graphic>
          </wp:inline>
        </w:drawing>
      </w:r>
    </w:p>
    <w:p w14:paraId="547ED101" w14:textId="77777777" w:rsidR="00B674E1" w:rsidRDefault="00B674E1" w:rsidP="00B674E1">
      <w:pPr>
        <w:tabs>
          <w:tab w:val="left" w:pos="3960"/>
        </w:tabs>
        <w:jc w:val="both"/>
        <w:rPr>
          <w:sz w:val="26"/>
        </w:rPr>
      </w:pPr>
    </w:p>
    <w:p w14:paraId="2024F91E" w14:textId="77777777" w:rsidR="00B674E1" w:rsidRDefault="00B674E1" w:rsidP="00B674E1">
      <w:pPr>
        <w:tabs>
          <w:tab w:val="left" w:pos="3960"/>
        </w:tabs>
        <w:jc w:val="center"/>
        <w:rPr>
          <w:sz w:val="26"/>
        </w:rPr>
      </w:pPr>
      <w:r>
        <w:rPr>
          <w:sz w:val="26"/>
        </w:rPr>
        <w:t>Rīgā</w:t>
      </w:r>
    </w:p>
    <w:p w14:paraId="4575C100" w14:textId="77777777" w:rsidR="00B674E1" w:rsidRDefault="00B674E1" w:rsidP="00B674E1">
      <w:pPr>
        <w:tabs>
          <w:tab w:val="left" w:pos="3960"/>
        </w:tabs>
        <w:jc w:val="center"/>
        <w:rPr>
          <w:sz w:val="26"/>
        </w:rPr>
      </w:pPr>
    </w:p>
    <w:p w14:paraId="5179F351" w14:textId="77CEF29E" w:rsidR="00B674E1" w:rsidRDefault="00B674E1" w:rsidP="00B674E1">
      <w:pPr>
        <w:jc w:val="both"/>
        <w:rPr>
          <w:sz w:val="26"/>
        </w:rPr>
      </w:pPr>
      <w:r>
        <w:rPr>
          <w:sz w:val="26"/>
        </w:rPr>
        <w:t>1</w:t>
      </w:r>
      <w:r w:rsidR="00816AB3">
        <w:rPr>
          <w:sz w:val="26"/>
        </w:rPr>
        <w:t>4</w:t>
      </w:r>
      <w:r>
        <w:rPr>
          <w:sz w:val="26"/>
        </w:rPr>
        <w:t>.09.2021. Nr.10-1/</w:t>
      </w:r>
      <w:r w:rsidR="00210BF1">
        <w:rPr>
          <w:sz w:val="26"/>
        </w:rPr>
        <w:t>10-1011</w:t>
      </w:r>
      <w:r>
        <w:rPr>
          <w:sz w:val="26"/>
        </w:rPr>
        <w:t>nos</w:t>
      </w:r>
    </w:p>
    <w:p w14:paraId="4E784DDB" w14:textId="77777777" w:rsidR="00B674E1" w:rsidRDefault="00B674E1" w:rsidP="00B674E1">
      <w:pPr>
        <w:jc w:val="both"/>
        <w:rPr>
          <w:sz w:val="26"/>
        </w:rPr>
      </w:pPr>
      <w:r>
        <w:rPr>
          <w:sz w:val="26"/>
        </w:rPr>
        <w:t>Uz 31.08.2021. Nr.3.2-23/22-1/4801</w:t>
      </w:r>
    </w:p>
    <w:p w14:paraId="784FA5D1" w14:textId="77777777" w:rsidR="00B674E1" w:rsidRDefault="00B674E1" w:rsidP="00B674E1">
      <w:pPr>
        <w:jc w:val="right"/>
        <w:rPr>
          <w:sz w:val="26"/>
        </w:rPr>
      </w:pPr>
      <w:r>
        <w:rPr>
          <w:sz w:val="26"/>
        </w:rPr>
        <w:t>Finanšu ministrijas</w:t>
      </w:r>
    </w:p>
    <w:p w14:paraId="22994C45" w14:textId="77777777" w:rsidR="00B674E1" w:rsidRDefault="00B674E1" w:rsidP="00B674E1">
      <w:pPr>
        <w:jc w:val="right"/>
        <w:rPr>
          <w:sz w:val="26"/>
        </w:rPr>
      </w:pPr>
      <w:r>
        <w:rPr>
          <w:sz w:val="26"/>
        </w:rPr>
        <w:t>Valsts sekretāres vietniecei</w:t>
      </w:r>
    </w:p>
    <w:p w14:paraId="6E0FCAF4" w14:textId="77777777" w:rsidR="00B674E1" w:rsidRDefault="00B674E1" w:rsidP="00B674E1">
      <w:pPr>
        <w:jc w:val="right"/>
        <w:rPr>
          <w:sz w:val="26"/>
        </w:rPr>
      </w:pPr>
      <w:r>
        <w:rPr>
          <w:sz w:val="26"/>
        </w:rPr>
        <w:t>Jolantai Plūmei</w:t>
      </w:r>
    </w:p>
    <w:p w14:paraId="6EE9F550" w14:textId="0EFC7A7E" w:rsidR="00B674E1" w:rsidRDefault="00B674E1" w:rsidP="00B674E1">
      <w:pPr>
        <w:jc w:val="right"/>
        <w:rPr>
          <w:sz w:val="26"/>
        </w:rPr>
      </w:pPr>
      <w:r>
        <w:rPr>
          <w:sz w:val="26"/>
        </w:rPr>
        <w:t xml:space="preserve">E-pasts: </w:t>
      </w:r>
      <w:hyperlink r:id="rId5" w:history="1">
        <w:r w:rsidRPr="00537F03">
          <w:rPr>
            <w:rStyle w:val="Hyperlink"/>
            <w:sz w:val="26"/>
          </w:rPr>
          <w:t>pasts@fm.gov.lv</w:t>
        </w:r>
      </w:hyperlink>
    </w:p>
    <w:p w14:paraId="36871A7F" w14:textId="77777777" w:rsidR="00B674E1" w:rsidRDefault="00B674E1" w:rsidP="00B674E1">
      <w:pPr>
        <w:jc w:val="right"/>
        <w:rPr>
          <w:sz w:val="26"/>
        </w:rPr>
      </w:pPr>
    </w:p>
    <w:p w14:paraId="2074F5E0" w14:textId="77777777" w:rsidR="00B674E1" w:rsidRDefault="00B674E1" w:rsidP="00B674E1">
      <w:pPr>
        <w:jc w:val="right"/>
        <w:rPr>
          <w:sz w:val="26"/>
        </w:rPr>
      </w:pPr>
    </w:p>
    <w:p w14:paraId="09FA7520" w14:textId="77777777" w:rsidR="00B674E1" w:rsidRDefault="00B674E1" w:rsidP="00B674E1">
      <w:pPr>
        <w:jc w:val="both"/>
        <w:rPr>
          <w:sz w:val="26"/>
          <w:szCs w:val="26"/>
        </w:rPr>
      </w:pPr>
      <w:r>
        <w:rPr>
          <w:sz w:val="26"/>
          <w:szCs w:val="26"/>
        </w:rPr>
        <w:t xml:space="preserve">Par Ministru kabineta noteikumu projektu </w:t>
      </w:r>
    </w:p>
    <w:p w14:paraId="686BF443" w14:textId="513DA3D7" w:rsidR="00B674E1" w:rsidRDefault="00B674E1" w:rsidP="00B674E1">
      <w:pPr>
        <w:jc w:val="both"/>
        <w:rPr>
          <w:sz w:val="26"/>
          <w:szCs w:val="26"/>
        </w:rPr>
      </w:pPr>
      <w:r>
        <w:rPr>
          <w:sz w:val="26"/>
          <w:szCs w:val="26"/>
        </w:rPr>
        <w:t>„Grozījumi</w:t>
      </w:r>
      <w:r w:rsidRPr="00A3133C">
        <w:rPr>
          <w:sz w:val="26"/>
          <w:szCs w:val="26"/>
        </w:rPr>
        <w:t xml:space="preserve"> Ministru kabineta </w:t>
      </w:r>
    </w:p>
    <w:p w14:paraId="10868B8E" w14:textId="77777777" w:rsidR="00B674E1" w:rsidRDefault="00B674E1" w:rsidP="00B674E1">
      <w:pPr>
        <w:jc w:val="both"/>
        <w:rPr>
          <w:sz w:val="26"/>
          <w:szCs w:val="26"/>
        </w:rPr>
      </w:pPr>
      <w:r w:rsidRPr="00A3133C">
        <w:rPr>
          <w:sz w:val="26"/>
          <w:szCs w:val="26"/>
        </w:rPr>
        <w:t>2012.</w:t>
      </w:r>
      <w:r>
        <w:rPr>
          <w:sz w:val="26"/>
          <w:szCs w:val="26"/>
        </w:rPr>
        <w:t> </w:t>
      </w:r>
      <w:r w:rsidRPr="00A3133C">
        <w:rPr>
          <w:sz w:val="26"/>
          <w:szCs w:val="26"/>
        </w:rPr>
        <w:t>gada 11.</w:t>
      </w:r>
      <w:r>
        <w:rPr>
          <w:sz w:val="26"/>
          <w:szCs w:val="26"/>
        </w:rPr>
        <w:t> </w:t>
      </w:r>
      <w:r w:rsidRPr="00A3133C">
        <w:rPr>
          <w:sz w:val="26"/>
          <w:szCs w:val="26"/>
        </w:rPr>
        <w:t xml:space="preserve">decembra noteikumos Nr.867 </w:t>
      </w:r>
    </w:p>
    <w:p w14:paraId="14A47891" w14:textId="77777777" w:rsidR="00B674E1" w:rsidRDefault="00B674E1" w:rsidP="00B674E1">
      <w:pPr>
        <w:jc w:val="both"/>
        <w:rPr>
          <w:sz w:val="26"/>
          <w:szCs w:val="26"/>
        </w:rPr>
      </w:pPr>
      <w:r w:rsidRPr="00A3133C">
        <w:rPr>
          <w:sz w:val="26"/>
          <w:szCs w:val="26"/>
        </w:rPr>
        <w:t xml:space="preserve">„Kārtība, kādā nosakāms maksimāli </w:t>
      </w:r>
    </w:p>
    <w:p w14:paraId="04B20C13" w14:textId="77777777" w:rsidR="00B674E1" w:rsidRDefault="00B674E1" w:rsidP="00B674E1">
      <w:pPr>
        <w:jc w:val="both"/>
        <w:rPr>
          <w:sz w:val="26"/>
          <w:szCs w:val="26"/>
        </w:rPr>
      </w:pPr>
      <w:r w:rsidRPr="00A3133C">
        <w:rPr>
          <w:sz w:val="26"/>
          <w:szCs w:val="26"/>
        </w:rPr>
        <w:t xml:space="preserve">pieļaujamais valsts budžeta izdevumu </w:t>
      </w:r>
    </w:p>
    <w:p w14:paraId="3D85EDA0" w14:textId="77777777" w:rsidR="00B674E1" w:rsidRDefault="00B674E1" w:rsidP="00B674E1">
      <w:pPr>
        <w:jc w:val="both"/>
        <w:rPr>
          <w:sz w:val="26"/>
          <w:szCs w:val="26"/>
        </w:rPr>
      </w:pPr>
      <w:r w:rsidRPr="00A3133C">
        <w:rPr>
          <w:sz w:val="26"/>
          <w:szCs w:val="26"/>
        </w:rPr>
        <w:t xml:space="preserve">kopapjoms un maksimāli pieļaujamais </w:t>
      </w:r>
    </w:p>
    <w:p w14:paraId="55F9D9DB" w14:textId="77777777" w:rsidR="00B674E1" w:rsidRDefault="00B674E1" w:rsidP="00B674E1">
      <w:pPr>
        <w:jc w:val="both"/>
        <w:rPr>
          <w:sz w:val="26"/>
          <w:szCs w:val="26"/>
        </w:rPr>
      </w:pPr>
      <w:r w:rsidRPr="00A3133C">
        <w:rPr>
          <w:sz w:val="26"/>
          <w:szCs w:val="26"/>
        </w:rPr>
        <w:t xml:space="preserve">valsts budžeta izdevumu kopējais apjoms </w:t>
      </w:r>
    </w:p>
    <w:p w14:paraId="6D279261" w14:textId="77777777" w:rsidR="00B674E1" w:rsidRDefault="00B674E1" w:rsidP="00B674E1">
      <w:pPr>
        <w:jc w:val="both"/>
        <w:rPr>
          <w:sz w:val="26"/>
          <w:szCs w:val="26"/>
        </w:rPr>
      </w:pPr>
      <w:r w:rsidRPr="00A3133C">
        <w:rPr>
          <w:sz w:val="26"/>
          <w:szCs w:val="26"/>
        </w:rPr>
        <w:t xml:space="preserve">katrai ministrijai un citām centrālajām </w:t>
      </w:r>
    </w:p>
    <w:p w14:paraId="22277BB1" w14:textId="77777777" w:rsidR="00B674E1" w:rsidRPr="00A3133C" w:rsidRDefault="00B674E1" w:rsidP="00B674E1">
      <w:pPr>
        <w:jc w:val="both"/>
        <w:rPr>
          <w:sz w:val="26"/>
          <w:szCs w:val="26"/>
        </w:rPr>
      </w:pPr>
      <w:r w:rsidRPr="00A3133C">
        <w:rPr>
          <w:sz w:val="26"/>
          <w:szCs w:val="26"/>
        </w:rPr>
        <w:t>valsts iestādēm vidējam termiņam”</w:t>
      </w:r>
      <w:r>
        <w:rPr>
          <w:sz w:val="26"/>
          <w:szCs w:val="26"/>
        </w:rPr>
        <w:t>”</w:t>
      </w:r>
    </w:p>
    <w:p w14:paraId="58D80820" w14:textId="5FB3A62A" w:rsidR="00B674E1" w:rsidRPr="00A3133C" w:rsidRDefault="00B674E1" w:rsidP="00B674E1">
      <w:pPr>
        <w:jc w:val="both"/>
        <w:rPr>
          <w:sz w:val="26"/>
          <w:szCs w:val="26"/>
        </w:rPr>
      </w:pPr>
    </w:p>
    <w:p w14:paraId="72BC8F56" w14:textId="77777777" w:rsidR="00B674E1" w:rsidRDefault="00B674E1" w:rsidP="00B674E1">
      <w:pPr>
        <w:jc w:val="both"/>
        <w:rPr>
          <w:sz w:val="26"/>
          <w:szCs w:val="26"/>
        </w:rPr>
      </w:pPr>
    </w:p>
    <w:p w14:paraId="46D3BCAB" w14:textId="77777777" w:rsidR="00B674E1" w:rsidRDefault="00B674E1" w:rsidP="00B674E1">
      <w:pPr>
        <w:ind w:firstLine="720"/>
        <w:jc w:val="both"/>
        <w:rPr>
          <w:sz w:val="26"/>
          <w:szCs w:val="26"/>
        </w:rPr>
      </w:pPr>
      <w:r w:rsidRPr="0067182D">
        <w:rPr>
          <w:sz w:val="26"/>
          <w:szCs w:val="26"/>
        </w:rPr>
        <w:t xml:space="preserve">Augstākā tiesa </w:t>
      </w:r>
      <w:r>
        <w:rPr>
          <w:sz w:val="26"/>
          <w:szCs w:val="26"/>
        </w:rPr>
        <w:t>ir iepazinusies ar Finanšu ministrijas izstrādāto Ministru kabineta noteikumu grozījumu</w:t>
      </w:r>
      <w:r w:rsidRPr="0085336A">
        <w:rPr>
          <w:sz w:val="26"/>
          <w:szCs w:val="26"/>
        </w:rPr>
        <w:t xml:space="preserve"> projektu</w:t>
      </w:r>
      <w:r>
        <w:rPr>
          <w:sz w:val="26"/>
          <w:szCs w:val="26"/>
        </w:rPr>
        <w:t xml:space="preserve"> un neatbalsta tā pieņemšanu piedāvātajā redakcijā.</w:t>
      </w:r>
    </w:p>
    <w:p w14:paraId="43F9D1A6" w14:textId="77777777" w:rsidR="00B674E1" w:rsidRDefault="00B674E1" w:rsidP="00B674E1">
      <w:pPr>
        <w:ind w:firstLine="720"/>
        <w:jc w:val="both"/>
        <w:rPr>
          <w:sz w:val="26"/>
          <w:szCs w:val="26"/>
        </w:rPr>
      </w:pPr>
      <w:r w:rsidRPr="0005755C">
        <w:rPr>
          <w:sz w:val="26"/>
          <w:szCs w:val="26"/>
        </w:rPr>
        <w:t>Ministru kabineta noteikumu projekta</w:t>
      </w:r>
      <w:r>
        <w:rPr>
          <w:sz w:val="26"/>
          <w:szCs w:val="26"/>
        </w:rPr>
        <w:t xml:space="preserve"> </w:t>
      </w:r>
      <w:bookmarkStart w:id="1" w:name="_Hlk81386120"/>
      <w:r>
        <w:rPr>
          <w:sz w:val="26"/>
          <w:szCs w:val="26"/>
        </w:rPr>
        <w:t>19</w:t>
      </w:r>
      <w:bookmarkEnd w:id="1"/>
      <w:r>
        <w:rPr>
          <w:sz w:val="26"/>
          <w:szCs w:val="26"/>
        </w:rPr>
        <w:t xml:space="preserve">. un 46. punkts būtu saglabājams esošajā redakcijā. Šie punkti šobrīd nosaka Tieslietu padomes tiesības savas kompetences ietvaros paust viedokli par budžeta bāzes projektu, tādējādi paredzot Tieslietu padomei noteiktu lomu valsts budžeta veidošanas procesā. </w:t>
      </w:r>
    </w:p>
    <w:p w14:paraId="61ECABDD" w14:textId="77777777" w:rsidR="00B674E1" w:rsidRDefault="00B674E1" w:rsidP="00B674E1">
      <w:pPr>
        <w:ind w:firstLine="720"/>
        <w:jc w:val="both"/>
        <w:rPr>
          <w:sz w:val="26"/>
          <w:szCs w:val="26"/>
        </w:rPr>
      </w:pPr>
      <w:r>
        <w:rPr>
          <w:sz w:val="26"/>
          <w:szCs w:val="26"/>
        </w:rPr>
        <w:t>Noteikumu 19. un 46. punktā minēto subjektu aizstāšana ar</w:t>
      </w:r>
      <w:r w:rsidRPr="00EF3B5C">
        <w:t xml:space="preserve"> </w:t>
      </w:r>
      <w:bookmarkStart w:id="2" w:name="_Hlk81388531"/>
      <w:r w:rsidRPr="00EF3B5C">
        <w:rPr>
          <w:sz w:val="26"/>
          <w:szCs w:val="26"/>
        </w:rPr>
        <w:t>Likuma par budžetu un finanšu vadību 16.</w:t>
      </w:r>
      <w:r w:rsidRPr="00231E28">
        <w:rPr>
          <w:sz w:val="26"/>
          <w:szCs w:val="26"/>
          <w:vertAlign w:val="superscript"/>
        </w:rPr>
        <w:t>1</w:t>
      </w:r>
      <w:bookmarkEnd w:id="2"/>
      <w:r>
        <w:rPr>
          <w:sz w:val="26"/>
          <w:szCs w:val="26"/>
        </w:rPr>
        <w:t> </w:t>
      </w:r>
      <w:r w:rsidRPr="00EF3B5C">
        <w:rPr>
          <w:sz w:val="26"/>
          <w:szCs w:val="26"/>
        </w:rPr>
        <w:t>pant</w:t>
      </w:r>
      <w:r>
        <w:rPr>
          <w:sz w:val="26"/>
          <w:szCs w:val="26"/>
        </w:rPr>
        <w:t>ā ietvertajiem subjektiem, kuru skaitā nav Tieslietu padomes, nav korekta.</w:t>
      </w:r>
    </w:p>
    <w:p w14:paraId="4F8A1FF7" w14:textId="051679E8" w:rsidR="00B674E1" w:rsidRDefault="00B674E1" w:rsidP="00B674E1">
      <w:pPr>
        <w:ind w:firstLine="720"/>
        <w:jc w:val="both"/>
        <w:rPr>
          <w:sz w:val="26"/>
          <w:szCs w:val="26"/>
        </w:rPr>
      </w:pPr>
      <w:r>
        <w:rPr>
          <w:sz w:val="26"/>
          <w:szCs w:val="26"/>
        </w:rPr>
        <w:t xml:space="preserve">Saskaņā ar likumu </w:t>
      </w:r>
      <w:r w:rsidR="00054470">
        <w:rPr>
          <w:sz w:val="26"/>
          <w:szCs w:val="26"/>
        </w:rPr>
        <w:t>„</w:t>
      </w:r>
      <w:r>
        <w:rPr>
          <w:sz w:val="26"/>
          <w:szCs w:val="26"/>
        </w:rPr>
        <w:t xml:space="preserve">Par tiesu varu” Tieslietu padome ir koleģiāla institūcija, kas piedalās tiesu sistēmas politikas un stratēģijas izstrādē, kā arī tiesu sistēmas darba organizācijas pilnveidošanā. Tieslietu padomes izveidošanas mērķis bija līdzsvarot attiecības starp izpildvaru, tiesu varu un likumdevēja varu. Tieslietu sistēmai piešķirtais valsts finansējums ir būtisks faktors tās sekmīgai attīstībai un pilnvērtīgai tās funkciju veikšanai saskaņā ar varas dalīšanas principu demokrātiskā valstī. </w:t>
      </w:r>
      <w:r w:rsidR="00175D07" w:rsidRPr="00B03126">
        <w:rPr>
          <w:sz w:val="26"/>
          <w:szCs w:val="26"/>
        </w:rPr>
        <w:t>Likuma par budžetu un finanšu vadību 16.</w:t>
      </w:r>
      <w:r w:rsidR="00175D07" w:rsidRPr="00231E28">
        <w:rPr>
          <w:sz w:val="26"/>
          <w:szCs w:val="26"/>
          <w:vertAlign w:val="superscript"/>
        </w:rPr>
        <w:t>1</w:t>
      </w:r>
      <w:r w:rsidR="00175D07">
        <w:rPr>
          <w:sz w:val="26"/>
          <w:szCs w:val="26"/>
        </w:rPr>
        <w:t>pantā noteikto subjektu starpā nav minēta Tieslietu padome, līdz ar to p</w:t>
      </w:r>
      <w:r>
        <w:rPr>
          <w:sz w:val="26"/>
          <w:szCs w:val="26"/>
        </w:rPr>
        <w:t xml:space="preserve">iedāvātie grozījumi </w:t>
      </w:r>
      <w:r w:rsidR="00175D07">
        <w:rPr>
          <w:sz w:val="26"/>
          <w:szCs w:val="26"/>
        </w:rPr>
        <w:t xml:space="preserve">būtiski </w:t>
      </w:r>
      <w:r>
        <w:rPr>
          <w:sz w:val="26"/>
          <w:szCs w:val="26"/>
        </w:rPr>
        <w:t>mazina Tieslietu padomes iesaisti valsts budžeta veidošanas procesā un tādējādi traucē tai veikt savas valstiskās funkcijas.</w:t>
      </w:r>
    </w:p>
    <w:p w14:paraId="00F9290A" w14:textId="2008C71F" w:rsidR="00B674E1" w:rsidRDefault="00816AB3" w:rsidP="00B674E1">
      <w:pPr>
        <w:ind w:firstLine="720"/>
        <w:jc w:val="both"/>
        <w:rPr>
          <w:sz w:val="26"/>
          <w:szCs w:val="26"/>
        </w:rPr>
      </w:pPr>
      <w:r>
        <w:rPr>
          <w:sz w:val="26"/>
          <w:szCs w:val="26"/>
        </w:rPr>
        <w:lastRenderedPageBreak/>
        <w:t>P</w:t>
      </w:r>
      <w:r w:rsidR="00B674E1">
        <w:rPr>
          <w:sz w:val="26"/>
          <w:szCs w:val="26"/>
        </w:rPr>
        <w:t>retēji projektā piedāvātajam, būtu nepieciešams tālāk stiprināt Tieslietu padomes lomu budžeta veidošanas procesā</w:t>
      </w:r>
      <w:r w:rsidR="00175D07">
        <w:rPr>
          <w:sz w:val="26"/>
          <w:szCs w:val="26"/>
        </w:rPr>
        <w:t>, kā tas paredzēts šogad apstiprinātajā Tieslietu padomes Stratēģijā</w:t>
      </w:r>
      <w:r w:rsidR="00B674E1">
        <w:rPr>
          <w:sz w:val="26"/>
          <w:szCs w:val="26"/>
        </w:rPr>
        <w:t xml:space="preserve">. </w:t>
      </w:r>
    </w:p>
    <w:p w14:paraId="71A82418" w14:textId="3316AD36" w:rsidR="00B674E1" w:rsidRDefault="00B674E1" w:rsidP="00B674E1">
      <w:pPr>
        <w:ind w:firstLine="720"/>
        <w:jc w:val="both"/>
        <w:rPr>
          <w:sz w:val="26"/>
          <w:szCs w:val="26"/>
        </w:rPr>
      </w:pPr>
      <w:r>
        <w:rPr>
          <w:sz w:val="26"/>
          <w:szCs w:val="26"/>
        </w:rPr>
        <w:t>Piemēram, piedāvātā projekta kontekstā būtu nepieciešams pilnveidot arī tā 39.</w:t>
      </w:r>
      <w:r w:rsidRPr="00174256">
        <w:rPr>
          <w:sz w:val="26"/>
          <w:szCs w:val="26"/>
          <w:vertAlign w:val="superscript"/>
        </w:rPr>
        <w:t>1</w:t>
      </w:r>
      <w:r>
        <w:rPr>
          <w:sz w:val="26"/>
          <w:szCs w:val="26"/>
        </w:rPr>
        <w:t xml:space="preserve"> punktu, precizējot </w:t>
      </w:r>
      <w:proofErr w:type="spellStart"/>
      <w:r>
        <w:rPr>
          <w:sz w:val="26"/>
          <w:szCs w:val="26"/>
        </w:rPr>
        <w:t>Pārresoru</w:t>
      </w:r>
      <w:proofErr w:type="spellEnd"/>
      <w:r>
        <w:rPr>
          <w:sz w:val="26"/>
          <w:szCs w:val="26"/>
        </w:rPr>
        <w:t xml:space="preserve"> koordinācijas centra pienākumu sagatavot novērtējumu par iepriekšējos gados piešķirto finansējumu, neattiecinot </w:t>
      </w:r>
      <w:proofErr w:type="spellStart"/>
      <w:r>
        <w:rPr>
          <w:sz w:val="26"/>
          <w:szCs w:val="26"/>
        </w:rPr>
        <w:t>Pārresoru</w:t>
      </w:r>
      <w:proofErr w:type="spellEnd"/>
      <w:r>
        <w:rPr>
          <w:sz w:val="26"/>
          <w:szCs w:val="26"/>
        </w:rPr>
        <w:t xml:space="preserve"> koordinācijas centra kompetenci uz tieslietu sistēmas budžetu un apstiprinātajām prioritātēm, bet šo </w:t>
      </w:r>
      <w:proofErr w:type="spellStart"/>
      <w:r>
        <w:rPr>
          <w:sz w:val="26"/>
          <w:szCs w:val="26"/>
        </w:rPr>
        <w:t>izvērtējumu</w:t>
      </w:r>
      <w:proofErr w:type="spellEnd"/>
      <w:r>
        <w:rPr>
          <w:sz w:val="26"/>
          <w:szCs w:val="26"/>
        </w:rPr>
        <w:t xml:space="preserve"> deleģējot Tieslietu padomei. </w:t>
      </w:r>
    </w:p>
    <w:p w14:paraId="5A7DA727" w14:textId="77777777" w:rsidR="00B674E1" w:rsidRDefault="00B674E1" w:rsidP="00B674E1">
      <w:pPr>
        <w:ind w:firstLine="720"/>
        <w:jc w:val="both"/>
        <w:rPr>
          <w:sz w:val="26"/>
        </w:rPr>
      </w:pPr>
    </w:p>
    <w:p w14:paraId="218260E8" w14:textId="77777777" w:rsidR="00B674E1" w:rsidRPr="006C6C94" w:rsidRDefault="00B674E1" w:rsidP="00B674E1">
      <w:pPr>
        <w:jc w:val="both"/>
        <w:rPr>
          <w:sz w:val="26"/>
          <w:szCs w:val="24"/>
          <w:lang w:eastAsia="ru-RU"/>
        </w:rPr>
      </w:pPr>
    </w:p>
    <w:p w14:paraId="21CC60AD" w14:textId="77777777" w:rsidR="00B674E1" w:rsidRPr="006C6C94" w:rsidRDefault="00B674E1" w:rsidP="00B674E1">
      <w:pPr>
        <w:jc w:val="both"/>
        <w:rPr>
          <w:sz w:val="26"/>
          <w:szCs w:val="24"/>
          <w:lang w:eastAsia="ru-RU"/>
        </w:rPr>
      </w:pPr>
    </w:p>
    <w:tbl>
      <w:tblPr>
        <w:tblW w:w="0" w:type="auto"/>
        <w:tblLook w:val="04A0" w:firstRow="1" w:lastRow="0" w:firstColumn="1" w:lastColumn="0" w:noHBand="0" w:noVBand="1"/>
      </w:tblPr>
      <w:tblGrid>
        <w:gridCol w:w="4541"/>
        <w:gridCol w:w="4530"/>
      </w:tblGrid>
      <w:tr w:rsidR="00B674E1" w:rsidRPr="00E931A2" w14:paraId="1919CA85" w14:textId="77777777" w:rsidTr="00E60315">
        <w:tc>
          <w:tcPr>
            <w:tcW w:w="4643" w:type="dxa"/>
            <w:shd w:val="clear" w:color="auto" w:fill="auto"/>
          </w:tcPr>
          <w:p w14:paraId="38A58FC2" w14:textId="77777777" w:rsidR="00B674E1" w:rsidRPr="00E931A2" w:rsidRDefault="00B674E1" w:rsidP="00E60315">
            <w:pPr>
              <w:jc w:val="both"/>
              <w:rPr>
                <w:sz w:val="26"/>
                <w:szCs w:val="24"/>
                <w:lang w:eastAsia="ru-RU"/>
              </w:rPr>
            </w:pPr>
            <w:r>
              <w:rPr>
                <w:sz w:val="26"/>
                <w:szCs w:val="24"/>
                <w:lang w:eastAsia="ru-RU"/>
              </w:rPr>
              <w:t>Priekšsēdētājs</w:t>
            </w:r>
          </w:p>
        </w:tc>
        <w:tc>
          <w:tcPr>
            <w:tcW w:w="4644" w:type="dxa"/>
            <w:shd w:val="clear" w:color="auto" w:fill="auto"/>
          </w:tcPr>
          <w:p w14:paraId="4288E72F" w14:textId="77777777" w:rsidR="00B674E1" w:rsidRPr="00E931A2" w:rsidRDefault="00B674E1" w:rsidP="00E60315">
            <w:pPr>
              <w:jc w:val="right"/>
              <w:rPr>
                <w:sz w:val="26"/>
                <w:szCs w:val="24"/>
                <w:lang w:eastAsia="ru-RU"/>
              </w:rPr>
            </w:pPr>
            <w:r>
              <w:rPr>
                <w:sz w:val="26"/>
                <w:szCs w:val="24"/>
                <w:lang w:eastAsia="ru-RU"/>
              </w:rPr>
              <w:t>A. </w:t>
            </w:r>
            <w:proofErr w:type="spellStart"/>
            <w:r>
              <w:rPr>
                <w:sz w:val="26"/>
                <w:szCs w:val="24"/>
                <w:lang w:eastAsia="ru-RU"/>
              </w:rPr>
              <w:t>Strupišs</w:t>
            </w:r>
            <w:proofErr w:type="spellEnd"/>
          </w:p>
        </w:tc>
      </w:tr>
    </w:tbl>
    <w:p w14:paraId="0D7B1EFF" w14:textId="77777777" w:rsidR="00B674E1" w:rsidRPr="006C6C94" w:rsidRDefault="00B674E1" w:rsidP="00B674E1">
      <w:pPr>
        <w:jc w:val="both"/>
        <w:rPr>
          <w:sz w:val="26"/>
          <w:szCs w:val="24"/>
          <w:lang w:eastAsia="ru-RU"/>
        </w:rPr>
      </w:pPr>
    </w:p>
    <w:p w14:paraId="4760C579" w14:textId="77777777" w:rsidR="00B674E1" w:rsidRDefault="00B674E1" w:rsidP="00B674E1">
      <w:pPr>
        <w:tabs>
          <w:tab w:val="left" w:pos="7200"/>
        </w:tabs>
        <w:rPr>
          <w:sz w:val="26"/>
          <w:szCs w:val="24"/>
          <w:lang w:eastAsia="ru-RU"/>
        </w:rPr>
      </w:pPr>
    </w:p>
    <w:p w14:paraId="66848C92" w14:textId="77777777" w:rsidR="00B674E1" w:rsidRDefault="00B674E1" w:rsidP="00B674E1">
      <w:pPr>
        <w:tabs>
          <w:tab w:val="left" w:pos="7200"/>
        </w:tabs>
        <w:rPr>
          <w:sz w:val="20"/>
          <w:szCs w:val="24"/>
          <w:lang w:eastAsia="ru-RU"/>
        </w:rPr>
      </w:pPr>
    </w:p>
    <w:p w14:paraId="0611A02C" w14:textId="77777777" w:rsidR="00B674E1" w:rsidRPr="006C6C94" w:rsidRDefault="00B674E1" w:rsidP="00B674E1">
      <w:pPr>
        <w:tabs>
          <w:tab w:val="left" w:pos="7200"/>
        </w:tabs>
        <w:rPr>
          <w:sz w:val="20"/>
          <w:szCs w:val="24"/>
          <w:lang w:eastAsia="ru-RU"/>
        </w:rPr>
      </w:pPr>
      <w:proofErr w:type="spellStart"/>
      <w:r>
        <w:rPr>
          <w:sz w:val="20"/>
          <w:szCs w:val="24"/>
          <w:lang w:eastAsia="ru-RU"/>
        </w:rPr>
        <w:t>Čuma</w:t>
      </w:r>
      <w:proofErr w:type="spellEnd"/>
      <w:r>
        <w:rPr>
          <w:sz w:val="20"/>
          <w:szCs w:val="24"/>
          <w:lang w:eastAsia="ru-RU"/>
        </w:rPr>
        <w:t>-Zvirbulis,</w:t>
      </w:r>
      <w:r w:rsidRPr="006C6C94">
        <w:rPr>
          <w:sz w:val="20"/>
          <w:szCs w:val="24"/>
          <w:lang w:eastAsia="ru-RU"/>
        </w:rPr>
        <w:t xml:space="preserve"> </w:t>
      </w:r>
      <w:r>
        <w:rPr>
          <w:sz w:val="20"/>
          <w:szCs w:val="24"/>
          <w:lang w:eastAsia="ru-RU"/>
        </w:rPr>
        <w:t>67020307</w:t>
      </w:r>
    </w:p>
    <w:p w14:paraId="6D3A775F" w14:textId="77777777" w:rsidR="00B674E1" w:rsidRPr="006C6C94" w:rsidRDefault="00B674E1" w:rsidP="00B674E1">
      <w:pPr>
        <w:tabs>
          <w:tab w:val="left" w:pos="7200"/>
        </w:tabs>
        <w:rPr>
          <w:szCs w:val="24"/>
          <w:lang w:eastAsia="ru-RU"/>
        </w:rPr>
      </w:pPr>
      <w:r>
        <w:rPr>
          <w:sz w:val="20"/>
          <w:szCs w:val="24"/>
          <w:lang w:eastAsia="ru-RU"/>
        </w:rPr>
        <w:t>Uldis.Zvirbulis@at.gov.lv</w:t>
      </w:r>
    </w:p>
    <w:p w14:paraId="77026AF9" w14:textId="77777777" w:rsidR="00B674E1" w:rsidRDefault="00B674E1" w:rsidP="00B674E1"/>
    <w:p w14:paraId="32CECF37" w14:textId="3866FD95" w:rsidR="00B674E1" w:rsidRPr="00174256" w:rsidRDefault="00B674E1" w:rsidP="00B674E1">
      <w:pPr>
        <w:tabs>
          <w:tab w:val="left" w:pos="7200"/>
        </w:tabs>
        <w:rPr>
          <w:sz w:val="20"/>
          <w:szCs w:val="18"/>
          <w:lang w:eastAsia="ru-RU"/>
        </w:rPr>
      </w:pPr>
      <w:proofErr w:type="spellStart"/>
      <w:r>
        <w:rPr>
          <w:sz w:val="20"/>
          <w:szCs w:val="18"/>
          <w:lang w:eastAsia="ru-RU"/>
        </w:rPr>
        <w:t>Harbaceviča</w:t>
      </w:r>
      <w:proofErr w:type="spellEnd"/>
      <w:r w:rsidRPr="00174256">
        <w:rPr>
          <w:sz w:val="20"/>
          <w:szCs w:val="18"/>
          <w:lang w:eastAsia="ru-RU"/>
        </w:rPr>
        <w:t>, 67020</w:t>
      </w:r>
      <w:r>
        <w:rPr>
          <w:sz w:val="20"/>
          <w:szCs w:val="18"/>
          <w:lang w:eastAsia="ru-RU"/>
        </w:rPr>
        <w:t>3</w:t>
      </w:r>
      <w:r w:rsidR="00EC1CD5">
        <w:rPr>
          <w:sz w:val="20"/>
          <w:szCs w:val="18"/>
          <w:lang w:eastAsia="ru-RU"/>
        </w:rPr>
        <w:t>7</w:t>
      </w:r>
      <w:r>
        <w:rPr>
          <w:sz w:val="20"/>
          <w:szCs w:val="18"/>
          <w:lang w:eastAsia="ru-RU"/>
        </w:rPr>
        <w:t>9</w:t>
      </w:r>
    </w:p>
    <w:p w14:paraId="42F03517" w14:textId="50274179" w:rsidR="00B674E1" w:rsidRPr="00174256" w:rsidRDefault="00B674E1" w:rsidP="00B674E1">
      <w:pPr>
        <w:tabs>
          <w:tab w:val="left" w:pos="7200"/>
        </w:tabs>
        <w:rPr>
          <w:sz w:val="20"/>
          <w:szCs w:val="18"/>
          <w:lang w:eastAsia="ru-RU"/>
        </w:rPr>
      </w:pPr>
      <w:r>
        <w:rPr>
          <w:sz w:val="20"/>
          <w:szCs w:val="18"/>
          <w:lang w:eastAsia="ru-RU"/>
        </w:rPr>
        <w:t>Solvita.Harbacevica</w:t>
      </w:r>
      <w:r w:rsidRPr="00174256">
        <w:rPr>
          <w:sz w:val="20"/>
          <w:szCs w:val="18"/>
          <w:lang w:eastAsia="ru-RU"/>
        </w:rPr>
        <w:t>@at.gov.lv</w:t>
      </w:r>
    </w:p>
    <w:p w14:paraId="14319178" w14:textId="77777777" w:rsidR="00B674E1" w:rsidRDefault="00B674E1" w:rsidP="00B674E1">
      <w:pPr>
        <w:tabs>
          <w:tab w:val="left" w:pos="3960"/>
        </w:tabs>
        <w:jc w:val="both"/>
      </w:pPr>
    </w:p>
    <w:p w14:paraId="4CA66177" w14:textId="77777777" w:rsidR="00B674E1" w:rsidRDefault="00B674E1" w:rsidP="00B674E1">
      <w:pPr>
        <w:tabs>
          <w:tab w:val="left" w:pos="3960"/>
        </w:tabs>
        <w:jc w:val="both"/>
      </w:pPr>
    </w:p>
    <w:p w14:paraId="25F5E6E7" w14:textId="77777777" w:rsidR="00B674E1" w:rsidRDefault="00B674E1" w:rsidP="00B674E1">
      <w:pPr>
        <w:tabs>
          <w:tab w:val="left" w:pos="3960"/>
        </w:tabs>
        <w:jc w:val="both"/>
      </w:pPr>
    </w:p>
    <w:p w14:paraId="2C588D07" w14:textId="77777777" w:rsidR="00D15CB9" w:rsidRDefault="00D15CB9"/>
    <w:sectPr w:rsidR="00D15CB9" w:rsidSect="00EC1CD5">
      <w:pgSz w:w="11906" w:h="16838" w:code="9"/>
      <w:pgMar w:top="1134"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E1"/>
    <w:rsid w:val="00025C8F"/>
    <w:rsid w:val="00054470"/>
    <w:rsid w:val="00175D07"/>
    <w:rsid w:val="00210BF1"/>
    <w:rsid w:val="00816AB3"/>
    <w:rsid w:val="00B674E1"/>
    <w:rsid w:val="00D15CB9"/>
    <w:rsid w:val="00EC1CD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60C8"/>
  <w15:chartTrackingRefBased/>
  <w15:docId w15:val="{FDC2A96B-2CED-4C73-98A0-3A93C8DB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4E1"/>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4E1"/>
    <w:rPr>
      <w:color w:val="0563C1" w:themeColor="hyperlink"/>
      <w:u w:val="single"/>
    </w:rPr>
  </w:style>
  <w:style w:type="character" w:customStyle="1" w:styleId="UnresolvedMention1">
    <w:name w:val="Unresolved Mention1"/>
    <w:basedOn w:val="DefaultParagraphFont"/>
    <w:uiPriority w:val="99"/>
    <w:semiHidden/>
    <w:unhideWhenUsed/>
    <w:rsid w:val="00B6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asts@fm.gov.lv"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1694</Words>
  <Characters>966</Characters>
  <Application>Microsoft Office Word</Application>
  <DocSecurity>4</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Kalniņa</dc:creator>
  <cp:keywords/>
  <dc:description/>
  <cp:lastModifiedBy>Ieva Klinsone</cp:lastModifiedBy>
  <cp:revision>2</cp:revision>
  <dcterms:created xsi:type="dcterms:W3CDTF">2021-09-15T06:18:00Z</dcterms:created>
  <dcterms:modified xsi:type="dcterms:W3CDTF">2021-09-15T06:18:00Z</dcterms:modified>
</cp:coreProperties>
</file>