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0F0EF" w14:textId="77777777" w:rsidR="005167DF" w:rsidRPr="005167DF" w:rsidRDefault="005167DF" w:rsidP="005167DF">
      <w:pPr>
        <w:rPr>
          <w:b/>
          <w:i/>
          <w:szCs w:val="24"/>
        </w:rPr>
      </w:pPr>
      <w:r w:rsidRPr="005167DF">
        <w:rPr>
          <w:sz w:val="26"/>
          <w:szCs w:val="26"/>
        </w:rPr>
        <w:t>Budžeta un finanšu (nodokļu) komisija</w:t>
      </w:r>
      <w:r w:rsidRPr="005167DF">
        <w:rPr>
          <w:sz w:val="26"/>
          <w:szCs w:val="26"/>
        </w:rPr>
        <w:tab/>
      </w:r>
    </w:p>
    <w:p w14:paraId="30B80992" w14:textId="78BABE06" w:rsidR="005167DF" w:rsidRPr="005167DF" w:rsidRDefault="005167DF" w:rsidP="005167DF">
      <w:pPr>
        <w:jc w:val="right"/>
        <w:rPr>
          <w:sz w:val="26"/>
          <w:szCs w:val="26"/>
        </w:rPr>
      </w:pPr>
      <w:r w:rsidRPr="005167DF">
        <w:rPr>
          <w:sz w:val="26"/>
          <w:szCs w:val="26"/>
        </w:rPr>
        <w:t>Likumprojekts (steidzams) otrajam lasījumam</w:t>
      </w:r>
    </w:p>
    <w:p w14:paraId="1F53EC8D" w14:textId="77777777" w:rsidR="005167DF" w:rsidRPr="005167DF" w:rsidRDefault="005167DF" w:rsidP="005167DF">
      <w:pPr>
        <w:pStyle w:val="naisvisr"/>
        <w:spacing w:before="0" w:beforeAutospacing="0" w:after="0" w:afterAutospacing="0"/>
        <w:jc w:val="center"/>
        <w:rPr>
          <w:b/>
          <w:sz w:val="26"/>
          <w:szCs w:val="26"/>
        </w:rPr>
      </w:pPr>
    </w:p>
    <w:p w14:paraId="71A68DC6" w14:textId="77777777" w:rsidR="005167DF" w:rsidRPr="005167DF" w:rsidRDefault="005167DF" w:rsidP="005167DF">
      <w:pPr>
        <w:pStyle w:val="paragraphheader"/>
        <w:spacing w:before="0" w:after="0"/>
        <w:contextualSpacing w:val="0"/>
        <w:jc w:val="center"/>
        <w:rPr>
          <w:b/>
          <w:color w:val="auto"/>
        </w:rPr>
      </w:pPr>
      <w:r w:rsidRPr="005167DF">
        <w:rPr>
          <w:b/>
          <w:color w:val="auto"/>
        </w:rPr>
        <w:t>Grozījumi likumā “Par valsts sociālo apdrošināšanu”</w:t>
      </w:r>
    </w:p>
    <w:p w14:paraId="1D99D9BF" w14:textId="77777777" w:rsidR="005167DF" w:rsidRPr="005167DF" w:rsidRDefault="005167DF" w:rsidP="005167DF">
      <w:pPr>
        <w:jc w:val="center"/>
        <w:rPr>
          <w:rStyle w:val="Izclums"/>
          <w:b/>
          <w:sz w:val="26"/>
          <w:szCs w:val="26"/>
        </w:rPr>
      </w:pPr>
      <w:r w:rsidRPr="005167DF">
        <w:rPr>
          <w:rFonts w:eastAsia="Times New Roman"/>
          <w:b/>
          <w:i/>
          <w:iCs/>
          <w:sz w:val="26"/>
          <w:szCs w:val="26"/>
          <w:lang w:eastAsia="lv-LV"/>
        </w:rPr>
        <w:t xml:space="preserve"> </w:t>
      </w:r>
      <w:r w:rsidRPr="005167DF">
        <w:rPr>
          <w:rStyle w:val="Izclums"/>
          <w:b/>
          <w:sz w:val="26"/>
          <w:szCs w:val="26"/>
        </w:rPr>
        <w:t>(Nr.754/Lp14)</w:t>
      </w:r>
    </w:p>
    <w:p w14:paraId="32432EC2" w14:textId="77777777" w:rsidR="005167DF" w:rsidRPr="005167DF" w:rsidRDefault="005167DF" w:rsidP="005167DF">
      <w:pPr>
        <w:jc w:val="center"/>
        <w:rPr>
          <w:rStyle w:val="Izclums"/>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8"/>
        <w:gridCol w:w="3742"/>
        <w:gridCol w:w="567"/>
        <w:gridCol w:w="3855"/>
        <w:gridCol w:w="1500"/>
        <w:gridCol w:w="1417"/>
      </w:tblGrid>
      <w:tr w:rsidR="005167DF" w:rsidRPr="005167DF" w14:paraId="2F357D93" w14:textId="2C9EFE8C" w:rsidTr="00D8340B">
        <w:tc>
          <w:tcPr>
            <w:tcW w:w="3798" w:type="dxa"/>
            <w:shd w:val="clear" w:color="auto" w:fill="auto"/>
            <w:vAlign w:val="center"/>
          </w:tcPr>
          <w:p w14:paraId="56658F0F" w14:textId="77777777" w:rsidR="005167DF" w:rsidRPr="005167DF" w:rsidRDefault="005167DF" w:rsidP="008E13D2">
            <w:pPr>
              <w:jc w:val="center"/>
              <w:rPr>
                <w:b/>
                <w:bCs/>
                <w:iCs/>
                <w:szCs w:val="24"/>
              </w:rPr>
            </w:pPr>
            <w:r w:rsidRPr="005167DF">
              <w:rPr>
                <w:b/>
                <w:bCs/>
                <w:iCs/>
                <w:szCs w:val="24"/>
              </w:rPr>
              <w:t>Spēkā esošā redakcija</w:t>
            </w:r>
          </w:p>
        </w:tc>
        <w:tc>
          <w:tcPr>
            <w:tcW w:w="3742" w:type="dxa"/>
            <w:shd w:val="clear" w:color="auto" w:fill="auto"/>
            <w:vAlign w:val="center"/>
          </w:tcPr>
          <w:p w14:paraId="112E1056" w14:textId="4E97EF4E" w:rsidR="005167DF" w:rsidRPr="005167DF" w:rsidRDefault="005167DF" w:rsidP="008E13D2">
            <w:pPr>
              <w:jc w:val="center"/>
              <w:rPr>
                <w:b/>
                <w:szCs w:val="24"/>
              </w:rPr>
            </w:pPr>
            <w:r w:rsidRPr="005167DF">
              <w:rPr>
                <w:b/>
                <w:szCs w:val="24"/>
              </w:rPr>
              <w:t>Pirmā lasījuma redakcija</w:t>
            </w:r>
          </w:p>
        </w:tc>
        <w:tc>
          <w:tcPr>
            <w:tcW w:w="567" w:type="dxa"/>
            <w:vAlign w:val="center"/>
          </w:tcPr>
          <w:p w14:paraId="254D7D90" w14:textId="3CAB8841" w:rsidR="005167DF" w:rsidRPr="006D0D6F" w:rsidRDefault="005167DF" w:rsidP="006D0D6F">
            <w:pPr>
              <w:jc w:val="center"/>
              <w:rPr>
                <w:b/>
                <w:szCs w:val="24"/>
              </w:rPr>
            </w:pPr>
            <w:r w:rsidRPr="006D0D6F">
              <w:rPr>
                <w:b/>
                <w:szCs w:val="24"/>
              </w:rPr>
              <w:t>Nr.</w:t>
            </w:r>
          </w:p>
        </w:tc>
        <w:tc>
          <w:tcPr>
            <w:tcW w:w="3855" w:type="dxa"/>
            <w:vAlign w:val="center"/>
          </w:tcPr>
          <w:p w14:paraId="2589EC7E" w14:textId="3CD0BCA2" w:rsidR="005167DF" w:rsidRDefault="005167DF" w:rsidP="005167DF">
            <w:pPr>
              <w:jc w:val="center"/>
              <w:rPr>
                <w:b/>
                <w:szCs w:val="24"/>
              </w:rPr>
            </w:pPr>
            <w:r>
              <w:rPr>
                <w:b/>
                <w:szCs w:val="24"/>
              </w:rPr>
              <w:t>Priekšlikumi</w:t>
            </w:r>
          </w:p>
          <w:p w14:paraId="442C222A" w14:textId="40C357F9" w:rsidR="005167DF" w:rsidRPr="005167DF" w:rsidRDefault="005167DF" w:rsidP="005167DF">
            <w:pPr>
              <w:jc w:val="center"/>
              <w:rPr>
                <w:b/>
                <w:szCs w:val="24"/>
              </w:rPr>
            </w:pPr>
            <w:r>
              <w:rPr>
                <w:b/>
                <w:szCs w:val="24"/>
              </w:rPr>
              <w:t>(</w:t>
            </w:r>
            <w:r w:rsidR="00922CE9">
              <w:rPr>
                <w:b/>
                <w:szCs w:val="24"/>
              </w:rPr>
              <w:t>2</w:t>
            </w:r>
            <w:r>
              <w:rPr>
                <w:b/>
                <w:szCs w:val="24"/>
              </w:rPr>
              <w:t>)</w:t>
            </w:r>
          </w:p>
        </w:tc>
        <w:tc>
          <w:tcPr>
            <w:tcW w:w="1500" w:type="dxa"/>
          </w:tcPr>
          <w:p w14:paraId="48C4AD6B" w14:textId="79B74A2F" w:rsidR="005167DF" w:rsidRPr="005167DF" w:rsidRDefault="005167DF" w:rsidP="008E13D2">
            <w:pPr>
              <w:jc w:val="center"/>
              <w:rPr>
                <w:b/>
                <w:szCs w:val="24"/>
              </w:rPr>
            </w:pPr>
            <w:r w:rsidRPr="00B42DF7">
              <w:rPr>
                <w:b/>
                <w:szCs w:val="24"/>
              </w:rPr>
              <w:t>Ministru kabineta atzinums</w:t>
            </w:r>
          </w:p>
        </w:tc>
        <w:tc>
          <w:tcPr>
            <w:tcW w:w="1417" w:type="dxa"/>
            <w:vAlign w:val="center"/>
          </w:tcPr>
          <w:p w14:paraId="6A981454" w14:textId="5DDE863D" w:rsidR="005167DF" w:rsidRPr="005167DF" w:rsidRDefault="005167DF" w:rsidP="005167DF">
            <w:pPr>
              <w:jc w:val="center"/>
              <w:rPr>
                <w:b/>
                <w:szCs w:val="24"/>
              </w:rPr>
            </w:pPr>
            <w:r w:rsidRPr="00B42DF7">
              <w:rPr>
                <w:b/>
                <w:szCs w:val="24"/>
              </w:rPr>
              <w:t>Komisijas atzinums</w:t>
            </w:r>
          </w:p>
        </w:tc>
      </w:tr>
      <w:tr w:rsidR="005167DF" w:rsidRPr="005167DF" w14:paraId="320B8B0A" w14:textId="6750C1B1" w:rsidTr="00D8340B">
        <w:tc>
          <w:tcPr>
            <w:tcW w:w="3798" w:type="dxa"/>
            <w:shd w:val="clear" w:color="auto" w:fill="auto"/>
          </w:tcPr>
          <w:p w14:paraId="321F2B13" w14:textId="77777777" w:rsidR="005167DF" w:rsidRPr="005167DF" w:rsidRDefault="005167DF" w:rsidP="008E13D2">
            <w:pPr>
              <w:ind w:firstLine="567"/>
              <w:jc w:val="both"/>
              <w:rPr>
                <w:bCs/>
                <w:iCs/>
                <w:sz w:val="22"/>
              </w:rPr>
            </w:pPr>
          </w:p>
        </w:tc>
        <w:tc>
          <w:tcPr>
            <w:tcW w:w="3742" w:type="dxa"/>
            <w:shd w:val="clear" w:color="auto" w:fill="auto"/>
          </w:tcPr>
          <w:p w14:paraId="70C433FE" w14:textId="77777777" w:rsidR="005167DF" w:rsidRPr="005167DF" w:rsidRDefault="005167DF" w:rsidP="008E13D2">
            <w:pPr>
              <w:pStyle w:val="paragraph"/>
              <w:contextualSpacing w:val="0"/>
              <w:rPr>
                <w:color w:val="auto"/>
                <w:sz w:val="22"/>
                <w:szCs w:val="22"/>
              </w:rPr>
            </w:pPr>
            <w:r w:rsidRPr="005167DF">
              <w:rPr>
                <w:color w:val="auto"/>
                <w:sz w:val="22"/>
                <w:szCs w:val="22"/>
              </w:rPr>
              <w:t>Izdarīt likumā "Par valsts sociālo apdrošināšanu" (Latvijas Republikas Saeimas un Ministru Kabineta Ziņotājs, 1997, 22. nr.; 1998, 15. nr.; 1999, 24. nr.; 2001, 15., 17. nr.; 2002, 14. nr.; 2003, 9. nr.; 2004, 5. nr.; 2005, 8., 24. nr.; 2006, 14. nr.; 2007, 3., 12., 24. nr.; 2008, 15. nr.; 2009, 3., 15. nr.; Latvijas Vēstnesis, 2009, 100., 199., 200. nr.; 2010, 94., 131., 205. nr.; 2011, 117., 202. nr.; 2013, 6., 232. nr.; 2014, 63., 257. nr.; 2015, 60., 248. nr.; 2016, 197., 241., 255. nr.; 2017, 156., 242. nr.; 2018, 225. nr.; 2019, 75., 240. nr.; 2020, 37., 240.A nr.; 2021, 121.B, 234.A, 246. nr.; 2022, 66.A, 238. nr.; 2023, 75., 221., 226., 247. nr.) šādus grozījumus:</w:t>
            </w:r>
          </w:p>
        </w:tc>
        <w:tc>
          <w:tcPr>
            <w:tcW w:w="567" w:type="dxa"/>
          </w:tcPr>
          <w:p w14:paraId="51E9A8CB" w14:textId="77777777" w:rsidR="005167DF" w:rsidRPr="00922CE9" w:rsidRDefault="005167DF" w:rsidP="00922CE9">
            <w:pPr>
              <w:pStyle w:val="paragraph"/>
              <w:ind w:firstLine="0"/>
              <w:contextualSpacing w:val="0"/>
              <w:jc w:val="center"/>
              <w:rPr>
                <w:b/>
                <w:color w:val="auto"/>
                <w:sz w:val="22"/>
                <w:szCs w:val="22"/>
              </w:rPr>
            </w:pPr>
          </w:p>
        </w:tc>
        <w:tc>
          <w:tcPr>
            <w:tcW w:w="3855" w:type="dxa"/>
          </w:tcPr>
          <w:p w14:paraId="44E7355D" w14:textId="77777777" w:rsidR="005167DF" w:rsidRPr="005167DF" w:rsidRDefault="005167DF" w:rsidP="008E13D2">
            <w:pPr>
              <w:pStyle w:val="paragraph"/>
              <w:contextualSpacing w:val="0"/>
              <w:rPr>
                <w:color w:val="auto"/>
                <w:sz w:val="22"/>
                <w:szCs w:val="22"/>
              </w:rPr>
            </w:pPr>
          </w:p>
        </w:tc>
        <w:tc>
          <w:tcPr>
            <w:tcW w:w="1500" w:type="dxa"/>
          </w:tcPr>
          <w:p w14:paraId="25855BBE" w14:textId="77777777" w:rsidR="005167DF" w:rsidRPr="005167DF" w:rsidRDefault="005167DF" w:rsidP="008E13D2">
            <w:pPr>
              <w:pStyle w:val="paragraph"/>
              <w:contextualSpacing w:val="0"/>
              <w:rPr>
                <w:color w:val="auto"/>
                <w:sz w:val="22"/>
                <w:szCs w:val="22"/>
              </w:rPr>
            </w:pPr>
          </w:p>
        </w:tc>
        <w:tc>
          <w:tcPr>
            <w:tcW w:w="1417" w:type="dxa"/>
          </w:tcPr>
          <w:p w14:paraId="202381B6" w14:textId="77777777" w:rsidR="005167DF" w:rsidRPr="005167DF" w:rsidRDefault="005167DF" w:rsidP="008E13D2">
            <w:pPr>
              <w:pStyle w:val="paragraph"/>
              <w:contextualSpacing w:val="0"/>
              <w:rPr>
                <w:color w:val="auto"/>
                <w:sz w:val="22"/>
                <w:szCs w:val="22"/>
              </w:rPr>
            </w:pPr>
          </w:p>
        </w:tc>
      </w:tr>
      <w:tr w:rsidR="005167DF" w:rsidRPr="005167DF" w14:paraId="38923DDA" w14:textId="0D33F7DD" w:rsidTr="00D8340B">
        <w:tc>
          <w:tcPr>
            <w:tcW w:w="3798" w:type="dxa"/>
            <w:shd w:val="clear" w:color="auto" w:fill="auto"/>
          </w:tcPr>
          <w:p w14:paraId="7FE1CA88" w14:textId="77777777" w:rsidR="005167DF" w:rsidRPr="005167DF" w:rsidRDefault="005167DF" w:rsidP="008E13D2">
            <w:pPr>
              <w:pStyle w:val="tv213"/>
              <w:spacing w:before="0" w:beforeAutospacing="0" w:after="0" w:afterAutospacing="0"/>
              <w:ind w:firstLine="567"/>
              <w:jc w:val="both"/>
              <w:rPr>
                <w:b/>
                <w:bCs/>
                <w:sz w:val="22"/>
                <w:szCs w:val="22"/>
              </w:rPr>
            </w:pPr>
            <w:r w:rsidRPr="005167DF">
              <w:rPr>
                <w:b/>
                <w:bCs/>
                <w:sz w:val="22"/>
                <w:szCs w:val="22"/>
              </w:rPr>
              <w:t>14.pants. Obligāto iemaksu objekts</w:t>
            </w:r>
          </w:p>
          <w:p w14:paraId="1423C3B0" w14:textId="77777777" w:rsidR="005167DF" w:rsidRPr="005167DF" w:rsidRDefault="005167DF" w:rsidP="008E13D2">
            <w:pPr>
              <w:pStyle w:val="tv213"/>
              <w:spacing w:before="0" w:beforeAutospacing="0" w:after="0" w:afterAutospacing="0"/>
              <w:ind w:firstLine="567"/>
              <w:jc w:val="both"/>
              <w:rPr>
                <w:b/>
                <w:bCs/>
                <w:sz w:val="22"/>
                <w:szCs w:val="22"/>
              </w:rPr>
            </w:pPr>
            <w:r w:rsidRPr="005167DF">
              <w:rPr>
                <w:sz w:val="22"/>
                <w:szCs w:val="22"/>
              </w:rPr>
              <w:t xml:space="preserve">(5) Obligāto iemaksu un brīvprātīgo apdrošināšanas iemaksu objekta maksimālais apmērs no 2019. gada 1. janvāra tiek aprēķināts un noteikts trim gadiem, ņemot vērā iepriekšējā perioda iemaksu objekta maksimālo apmēru, nākamajiem trim </w:t>
            </w:r>
            <w:r w:rsidRPr="005167DF">
              <w:rPr>
                <w:sz w:val="22"/>
                <w:szCs w:val="22"/>
              </w:rPr>
              <w:lastRenderedPageBreak/>
              <w:t xml:space="preserve">kalendāra gadiem Finanšu ministrijas prognozētās tautsaimniecībā nodarbināto mēneša vidējās bruto darba samaksas vidējo pieaugumu vai samazinājumu un iepriekšējā aprēķina perioda faktisko tautsaimniecībā nodarbināto mēneša vidējās bruto darba samaksas vidējo pieaugumu vai samazinājumu. Obligāto iemaksu un brīvprātīgo iemaksu objekta maksimālais apmērs gadā ir 78 100 </w:t>
            </w:r>
            <w:r w:rsidRPr="005167DF">
              <w:rPr>
                <w:i/>
                <w:iCs/>
                <w:sz w:val="22"/>
                <w:szCs w:val="22"/>
              </w:rPr>
              <w:t>euro</w:t>
            </w:r>
            <w:r w:rsidRPr="005167DF">
              <w:rPr>
                <w:sz w:val="22"/>
                <w:szCs w:val="22"/>
              </w:rPr>
              <w:t>. Obligāto iemaksu objekta maksimālā apmēra noteikšanas kārtību nosaka Ministru kabinets.</w:t>
            </w:r>
          </w:p>
        </w:tc>
        <w:tc>
          <w:tcPr>
            <w:tcW w:w="3742" w:type="dxa"/>
            <w:shd w:val="clear" w:color="auto" w:fill="auto"/>
          </w:tcPr>
          <w:p w14:paraId="3B16E937" w14:textId="77777777" w:rsidR="005167DF" w:rsidRPr="005167DF" w:rsidRDefault="005167DF" w:rsidP="008E13D2">
            <w:pPr>
              <w:pStyle w:val="paragraph"/>
              <w:ind w:firstLine="567"/>
              <w:contextualSpacing w:val="0"/>
              <w:rPr>
                <w:color w:val="auto"/>
                <w:sz w:val="22"/>
                <w:szCs w:val="22"/>
              </w:rPr>
            </w:pPr>
            <w:r w:rsidRPr="005167DF">
              <w:rPr>
                <w:color w:val="auto"/>
                <w:sz w:val="22"/>
                <w:szCs w:val="22"/>
              </w:rPr>
              <w:lastRenderedPageBreak/>
              <w:t>1. Izteikt 14. panta piektās daļas otro teikumu šādā redakcijā:</w:t>
            </w:r>
          </w:p>
          <w:p w14:paraId="78FDB83F" w14:textId="77777777" w:rsidR="005167DF" w:rsidRPr="005167DF" w:rsidRDefault="005167DF" w:rsidP="008E13D2">
            <w:pPr>
              <w:numPr>
                <w:ilvl w:val="0"/>
                <w:numId w:val="1"/>
              </w:numPr>
              <w:ind w:firstLine="0"/>
              <w:jc w:val="both"/>
              <w:rPr>
                <w:sz w:val="22"/>
              </w:rPr>
            </w:pPr>
            <w:r w:rsidRPr="005167DF">
              <w:rPr>
                <w:sz w:val="22"/>
              </w:rPr>
              <w:t xml:space="preserve">"Obligāto iemaksu un brīvprātīgo iemaksu objekta maksimālais apmērs </w:t>
            </w:r>
            <w:r w:rsidRPr="00B36C05">
              <w:rPr>
                <w:sz w:val="22"/>
                <w:u w:val="single"/>
              </w:rPr>
              <w:t>no 2025. gada 1. janvāra līdz 2027. gada 31. decembrim</w:t>
            </w:r>
            <w:r w:rsidRPr="005167DF">
              <w:rPr>
                <w:sz w:val="22"/>
              </w:rPr>
              <w:t xml:space="preserve"> ir 105 300 </w:t>
            </w:r>
            <w:r w:rsidRPr="005167DF">
              <w:rPr>
                <w:i/>
                <w:sz w:val="22"/>
              </w:rPr>
              <w:t>euro</w:t>
            </w:r>
            <w:r w:rsidRPr="005167DF">
              <w:rPr>
                <w:sz w:val="22"/>
              </w:rPr>
              <w:t>."</w:t>
            </w:r>
          </w:p>
        </w:tc>
        <w:tc>
          <w:tcPr>
            <w:tcW w:w="567" w:type="dxa"/>
          </w:tcPr>
          <w:p w14:paraId="0EBBCEFF" w14:textId="689F7CFB" w:rsidR="005167DF" w:rsidRPr="00922CE9" w:rsidRDefault="00922CE9" w:rsidP="00922CE9">
            <w:pPr>
              <w:pStyle w:val="paragraph"/>
              <w:ind w:firstLine="0"/>
              <w:contextualSpacing w:val="0"/>
              <w:jc w:val="center"/>
              <w:rPr>
                <w:b/>
                <w:color w:val="auto"/>
                <w:sz w:val="22"/>
                <w:szCs w:val="22"/>
              </w:rPr>
            </w:pPr>
            <w:r w:rsidRPr="00922CE9">
              <w:rPr>
                <w:b/>
                <w:color w:val="auto"/>
                <w:sz w:val="22"/>
                <w:szCs w:val="22"/>
              </w:rPr>
              <w:t>1</w:t>
            </w:r>
          </w:p>
        </w:tc>
        <w:tc>
          <w:tcPr>
            <w:tcW w:w="3855" w:type="dxa"/>
          </w:tcPr>
          <w:p w14:paraId="1424EAE4" w14:textId="77777777" w:rsidR="005167DF" w:rsidRDefault="00B36C05" w:rsidP="008E13D2">
            <w:pPr>
              <w:pStyle w:val="paragraph"/>
              <w:ind w:firstLine="567"/>
              <w:contextualSpacing w:val="0"/>
              <w:rPr>
                <w:b/>
                <w:bCs/>
                <w:color w:val="auto"/>
                <w:sz w:val="22"/>
                <w:szCs w:val="22"/>
                <w:u w:val="single"/>
              </w:rPr>
            </w:pPr>
            <w:r w:rsidRPr="00B36C05">
              <w:rPr>
                <w:b/>
                <w:bCs/>
                <w:color w:val="auto"/>
                <w:sz w:val="22"/>
                <w:szCs w:val="22"/>
                <w:u w:val="single"/>
              </w:rPr>
              <w:t>Juridiskais birojs</w:t>
            </w:r>
          </w:p>
          <w:p w14:paraId="6753EA31" w14:textId="73E4749D" w:rsidR="00B36C05" w:rsidRPr="00B36C05" w:rsidRDefault="00B36C05" w:rsidP="00B36C05">
            <w:pPr>
              <w:ind w:firstLine="567"/>
              <w:jc w:val="both"/>
              <w:rPr>
                <w:sz w:val="22"/>
              </w:rPr>
            </w:pPr>
            <w:r>
              <w:rPr>
                <w:sz w:val="22"/>
              </w:rPr>
              <w:t>A</w:t>
            </w:r>
            <w:r w:rsidRPr="00B36C05">
              <w:rPr>
                <w:sz w:val="22"/>
              </w:rPr>
              <w:t>izstāt likumprojekta 1. pantā vārdus “no 2025. gada 1. janvāra līdz 2027. gada 31. decembrim” ar vārdu “</w:t>
            </w:r>
            <w:r w:rsidRPr="00B36C05">
              <w:rPr>
                <w:sz w:val="22"/>
                <w:u w:val="single"/>
              </w:rPr>
              <w:t>gadā</w:t>
            </w:r>
            <w:r w:rsidRPr="00B36C05">
              <w:rPr>
                <w:sz w:val="22"/>
              </w:rPr>
              <w:t>”.</w:t>
            </w:r>
          </w:p>
          <w:p w14:paraId="42E9BE9C" w14:textId="24C77D76" w:rsidR="00B36C05" w:rsidRPr="00B36C05" w:rsidRDefault="00B36C05" w:rsidP="00B36C05">
            <w:pPr>
              <w:rPr>
                <w:lang w:eastAsia="lv-LV"/>
              </w:rPr>
            </w:pPr>
          </w:p>
        </w:tc>
        <w:tc>
          <w:tcPr>
            <w:tcW w:w="1500" w:type="dxa"/>
          </w:tcPr>
          <w:p w14:paraId="66BF554E" w14:textId="64D0A360" w:rsidR="005167DF" w:rsidRPr="00D8340B" w:rsidRDefault="00D8340B" w:rsidP="00D8340B">
            <w:pPr>
              <w:pStyle w:val="paragraph"/>
              <w:ind w:hanging="25"/>
              <w:contextualSpacing w:val="0"/>
              <w:jc w:val="center"/>
              <w:rPr>
                <w:b/>
                <w:bCs/>
                <w:color w:val="auto"/>
                <w:sz w:val="22"/>
                <w:szCs w:val="22"/>
              </w:rPr>
            </w:pPr>
            <w:r w:rsidRPr="00D8340B">
              <w:rPr>
                <w:b/>
                <w:bCs/>
                <w:color w:val="auto"/>
                <w:sz w:val="22"/>
                <w:szCs w:val="22"/>
              </w:rPr>
              <w:t>Atbalstīt</w:t>
            </w:r>
          </w:p>
        </w:tc>
        <w:tc>
          <w:tcPr>
            <w:tcW w:w="1417" w:type="dxa"/>
          </w:tcPr>
          <w:p w14:paraId="1DB89D79" w14:textId="77777777" w:rsidR="005167DF" w:rsidRPr="005167DF" w:rsidRDefault="005167DF" w:rsidP="008E13D2">
            <w:pPr>
              <w:pStyle w:val="paragraph"/>
              <w:ind w:firstLine="567"/>
              <w:contextualSpacing w:val="0"/>
              <w:rPr>
                <w:color w:val="auto"/>
                <w:sz w:val="22"/>
                <w:szCs w:val="22"/>
              </w:rPr>
            </w:pPr>
          </w:p>
        </w:tc>
      </w:tr>
      <w:tr w:rsidR="00490D6D" w:rsidRPr="005167DF" w14:paraId="5AE0CAEF" w14:textId="77777777" w:rsidTr="00D8340B">
        <w:tc>
          <w:tcPr>
            <w:tcW w:w="3798" w:type="dxa"/>
            <w:shd w:val="clear" w:color="auto" w:fill="auto"/>
          </w:tcPr>
          <w:p w14:paraId="4B6DAD31" w14:textId="77777777" w:rsidR="00490D6D" w:rsidRPr="00490D6D" w:rsidRDefault="00490D6D" w:rsidP="00490D6D">
            <w:pPr>
              <w:pStyle w:val="tv213"/>
              <w:spacing w:before="0" w:beforeAutospacing="0" w:after="0" w:afterAutospacing="0"/>
              <w:ind w:firstLine="567"/>
              <w:jc w:val="both"/>
              <w:rPr>
                <w:b/>
                <w:bCs/>
                <w:sz w:val="22"/>
                <w:szCs w:val="22"/>
              </w:rPr>
            </w:pPr>
            <w:r w:rsidRPr="00490D6D">
              <w:rPr>
                <w:b/>
                <w:bCs/>
                <w:sz w:val="22"/>
                <w:szCs w:val="22"/>
              </w:rPr>
              <w:t>20.</w:t>
            </w:r>
            <w:r w:rsidRPr="00490D6D">
              <w:rPr>
                <w:b/>
                <w:bCs/>
                <w:sz w:val="22"/>
                <w:szCs w:val="22"/>
                <w:vertAlign w:val="superscript"/>
              </w:rPr>
              <w:t>4</w:t>
            </w:r>
            <w:r w:rsidRPr="00490D6D">
              <w:rPr>
                <w:b/>
                <w:bCs/>
                <w:sz w:val="22"/>
                <w:szCs w:val="22"/>
              </w:rPr>
              <w:t> pants. Minimālais obligāto iemaksu objekts, tā noteikšana un obligāto iemaksu veikšana</w:t>
            </w:r>
          </w:p>
          <w:p w14:paraId="33E9A975" w14:textId="77777777" w:rsidR="00490D6D" w:rsidRPr="00490D6D" w:rsidRDefault="00490D6D" w:rsidP="00490D6D">
            <w:pPr>
              <w:pStyle w:val="tv213"/>
              <w:spacing w:before="0" w:beforeAutospacing="0" w:after="0" w:afterAutospacing="0"/>
              <w:ind w:firstLine="567"/>
              <w:jc w:val="both"/>
              <w:rPr>
                <w:sz w:val="22"/>
                <w:szCs w:val="22"/>
              </w:rPr>
            </w:pPr>
            <w:r w:rsidRPr="00490D6D">
              <w:rPr>
                <w:sz w:val="22"/>
                <w:szCs w:val="22"/>
              </w:rPr>
              <w:t>(4) Šā panta pirmajā daļā noteiktās minimālās obligātās iemaksas neveic par:</w:t>
            </w:r>
          </w:p>
          <w:p w14:paraId="4066D6A3" w14:textId="3E4D06A3" w:rsidR="00490D6D" w:rsidRPr="005167DF" w:rsidRDefault="00490D6D" w:rsidP="00490D6D">
            <w:pPr>
              <w:pStyle w:val="tv213"/>
              <w:spacing w:before="0" w:beforeAutospacing="0" w:after="0" w:afterAutospacing="0"/>
              <w:ind w:firstLine="567"/>
              <w:jc w:val="both"/>
              <w:rPr>
                <w:b/>
                <w:bCs/>
                <w:sz w:val="22"/>
                <w:szCs w:val="22"/>
              </w:rPr>
            </w:pPr>
            <w:r w:rsidRPr="00490D6D">
              <w:rPr>
                <w:sz w:val="22"/>
                <w:szCs w:val="22"/>
              </w:rPr>
              <w:t>13) personu ar invaliditāti līdz 18 gadu vecumam.</w:t>
            </w:r>
          </w:p>
        </w:tc>
        <w:tc>
          <w:tcPr>
            <w:tcW w:w="3742" w:type="dxa"/>
            <w:shd w:val="clear" w:color="auto" w:fill="auto"/>
          </w:tcPr>
          <w:p w14:paraId="444505E1" w14:textId="77777777" w:rsidR="00490D6D" w:rsidRPr="005167DF" w:rsidRDefault="00490D6D" w:rsidP="008E13D2">
            <w:pPr>
              <w:pStyle w:val="paragraph"/>
              <w:ind w:firstLine="567"/>
              <w:contextualSpacing w:val="0"/>
              <w:rPr>
                <w:color w:val="auto"/>
                <w:sz w:val="22"/>
                <w:szCs w:val="22"/>
              </w:rPr>
            </w:pPr>
          </w:p>
        </w:tc>
        <w:tc>
          <w:tcPr>
            <w:tcW w:w="567" w:type="dxa"/>
          </w:tcPr>
          <w:p w14:paraId="26FF5A56" w14:textId="4A9489B1" w:rsidR="00490D6D" w:rsidRPr="00922CE9" w:rsidRDefault="00922CE9" w:rsidP="00922CE9">
            <w:pPr>
              <w:pStyle w:val="paragraph"/>
              <w:ind w:firstLine="0"/>
              <w:contextualSpacing w:val="0"/>
              <w:jc w:val="center"/>
              <w:rPr>
                <w:b/>
                <w:color w:val="auto"/>
                <w:sz w:val="22"/>
                <w:szCs w:val="22"/>
              </w:rPr>
            </w:pPr>
            <w:r>
              <w:rPr>
                <w:b/>
                <w:color w:val="auto"/>
                <w:sz w:val="22"/>
                <w:szCs w:val="22"/>
              </w:rPr>
              <w:t>2</w:t>
            </w:r>
          </w:p>
        </w:tc>
        <w:tc>
          <w:tcPr>
            <w:tcW w:w="3855" w:type="dxa"/>
          </w:tcPr>
          <w:p w14:paraId="65252C2F" w14:textId="157A1C58" w:rsidR="00490D6D" w:rsidRDefault="00490D6D" w:rsidP="00490D6D">
            <w:pPr>
              <w:pStyle w:val="paragraph"/>
              <w:ind w:firstLine="567"/>
              <w:contextualSpacing w:val="0"/>
              <w:rPr>
                <w:b/>
                <w:bCs/>
                <w:color w:val="auto"/>
                <w:sz w:val="22"/>
                <w:szCs w:val="22"/>
                <w:u w:val="single"/>
              </w:rPr>
            </w:pPr>
            <w:r>
              <w:rPr>
                <w:b/>
                <w:bCs/>
                <w:color w:val="auto"/>
                <w:sz w:val="22"/>
                <w:szCs w:val="22"/>
                <w:u w:val="single"/>
              </w:rPr>
              <w:t>Deputāte V.Pleškāne</w:t>
            </w:r>
          </w:p>
          <w:p w14:paraId="7D2E088C" w14:textId="77777777" w:rsidR="00490D6D" w:rsidRPr="00490D6D" w:rsidRDefault="00490D6D" w:rsidP="00490D6D">
            <w:pPr>
              <w:ind w:firstLine="567"/>
              <w:jc w:val="both"/>
              <w:rPr>
                <w:sz w:val="22"/>
              </w:rPr>
            </w:pPr>
            <w:r w:rsidRPr="00490D6D">
              <w:rPr>
                <w:rStyle w:val="lmpnum"/>
                <w:color w:val="000000" w:themeColor="text1"/>
                <w:sz w:val="22"/>
              </w:rPr>
              <w:t xml:space="preserve">Papildināt likuma </w:t>
            </w:r>
            <w:r w:rsidRPr="00490D6D">
              <w:rPr>
                <w:sz w:val="22"/>
              </w:rPr>
              <w:t>20.</w:t>
            </w:r>
            <w:r w:rsidRPr="00490D6D">
              <w:rPr>
                <w:sz w:val="22"/>
                <w:vertAlign w:val="superscript"/>
              </w:rPr>
              <w:t>4</w:t>
            </w:r>
            <w:r w:rsidRPr="00490D6D">
              <w:rPr>
                <w:sz w:val="22"/>
              </w:rPr>
              <w:t> panta ceturto daļu ar 14. punktu šādā redakcijā:</w:t>
            </w:r>
          </w:p>
          <w:p w14:paraId="2D3967AA" w14:textId="7D1FA63E" w:rsidR="00490D6D" w:rsidRPr="00490D6D" w:rsidRDefault="00490D6D" w:rsidP="00490D6D">
            <w:pPr>
              <w:pStyle w:val="Sarakstarindkopa"/>
              <w:spacing w:after="0" w:line="240" w:lineRule="auto"/>
              <w:ind w:left="0" w:firstLine="567"/>
              <w:jc w:val="both"/>
              <w:rPr>
                <w:rFonts w:ascii="Times New Roman" w:hAnsi="Times New Roman"/>
              </w:rPr>
            </w:pPr>
            <w:r w:rsidRPr="00490D6D">
              <w:rPr>
                <w:rStyle w:val="lmpnum"/>
                <w:rFonts w:ascii="Times New Roman" w:hAnsi="Times New Roman"/>
              </w:rPr>
              <w:t>“14) personu, kura nodarbināta reliģiskā organizācijā.”</w:t>
            </w:r>
          </w:p>
        </w:tc>
        <w:tc>
          <w:tcPr>
            <w:tcW w:w="1500" w:type="dxa"/>
          </w:tcPr>
          <w:p w14:paraId="0E4AB71B" w14:textId="79992E48" w:rsidR="00490D6D" w:rsidRPr="008B7C30" w:rsidRDefault="008B7C30" w:rsidP="008B7C30">
            <w:pPr>
              <w:pStyle w:val="paragraph"/>
              <w:ind w:firstLine="0"/>
              <w:contextualSpacing w:val="0"/>
              <w:jc w:val="center"/>
              <w:rPr>
                <w:b/>
                <w:bCs/>
                <w:color w:val="auto"/>
                <w:sz w:val="22"/>
                <w:szCs w:val="22"/>
              </w:rPr>
            </w:pPr>
            <w:r w:rsidRPr="008B7C30">
              <w:rPr>
                <w:b/>
                <w:bCs/>
                <w:color w:val="auto"/>
                <w:sz w:val="22"/>
                <w:szCs w:val="22"/>
              </w:rPr>
              <w:t>Neatbalstīt</w:t>
            </w:r>
          </w:p>
        </w:tc>
        <w:tc>
          <w:tcPr>
            <w:tcW w:w="1417" w:type="dxa"/>
          </w:tcPr>
          <w:p w14:paraId="635F522F" w14:textId="77777777" w:rsidR="00490D6D" w:rsidRPr="005167DF" w:rsidRDefault="00490D6D" w:rsidP="008E13D2">
            <w:pPr>
              <w:pStyle w:val="paragraph"/>
              <w:ind w:firstLine="567"/>
              <w:contextualSpacing w:val="0"/>
              <w:rPr>
                <w:color w:val="auto"/>
                <w:sz w:val="22"/>
                <w:szCs w:val="22"/>
              </w:rPr>
            </w:pPr>
          </w:p>
        </w:tc>
      </w:tr>
      <w:tr w:rsidR="005167DF" w:rsidRPr="005167DF" w14:paraId="49CE26B3" w14:textId="4E7DE9AC" w:rsidTr="00D8340B">
        <w:tc>
          <w:tcPr>
            <w:tcW w:w="3798" w:type="dxa"/>
            <w:shd w:val="clear" w:color="auto" w:fill="auto"/>
          </w:tcPr>
          <w:p w14:paraId="5D5B9C80" w14:textId="77777777" w:rsidR="005167DF" w:rsidRPr="005167DF" w:rsidRDefault="005167DF" w:rsidP="008E13D2">
            <w:pPr>
              <w:pStyle w:val="tv213"/>
              <w:spacing w:before="0" w:beforeAutospacing="0" w:after="0" w:afterAutospacing="0"/>
              <w:ind w:firstLine="567"/>
              <w:jc w:val="both"/>
              <w:rPr>
                <w:b/>
                <w:bCs/>
                <w:sz w:val="22"/>
                <w:szCs w:val="22"/>
              </w:rPr>
            </w:pPr>
            <w:r w:rsidRPr="005167DF">
              <w:rPr>
                <w:b/>
                <w:bCs/>
                <w:sz w:val="22"/>
                <w:szCs w:val="22"/>
              </w:rPr>
              <w:t>Pārejas noteikumi</w:t>
            </w:r>
          </w:p>
          <w:p w14:paraId="1E8FBF35" w14:textId="77777777" w:rsidR="005167DF" w:rsidRPr="005167DF" w:rsidRDefault="005167DF" w:rsidP="008E13D2">
            <w:pPr>
              <w:pStyle w:val="tv213"/>
              <w:spacing w:before="0" w:beforeAutospacing="0" w:after="0" w:afterAutospacing="0"/>
              <w:ind w:firstLine="567"/>
              <w:jc w:val="both"/>
              <w:rPr>
                <w:sz w:val="22"/>
                <w:szCs w:val="22"/>
              </w:rPr>
            </w:pPr>
            <w:r w:rsidRPr="005167DF">
              <w:rPr>
                <w:sz w:val="22"/>
                <w:szCs w:val="22"/>
              </w:rPr>
              <w:t>95. Par periodu no 2022. gada 1. janvāra līdz 2024. gada 31. decembrim Aģentūra atbilstoši ienākuma no intelektuālā īpašuma izmaksātāja faktiski veiktajām obligātajām iemaksām no ienākuma no intelektuālā īpašuma, piemērojot pašnodarbinātajam šā likuma 18. panta otrajā daļā noteikto obligāto iemaksu likmi, reģistrē personas obligāto iemaksu objektu sociālajai apdrošināšanai un pensijas kapitālu.</w:t>
            </w:r>
          </w:p>
          <w:p w14:paraId="0BA70C87" w14:textId="77777777" w:rsidR="005167DF" w:rsidRPr="005167DF" w:rsidRDefault="005167DF" w:rsidP="008E13D2">
            <w:pPr>
              <w:pStyle w:val="tv213"/>
              <w:spacing w:before="0" w:beforeAutospacing="0" w:after="0" w:afterAutospacing="0"/>
              <w:ind w:firstLine="567"/>
              <w:jc w:val="both"/>
              <w:rPr>
                <w:sz w:val="22"/>
                <w:szCs w:val="22"/>
              </w:rPr>
            </w:pPr>
            <w:bookmarkStart w:id="0" w:name="pn96"/>
            <w:bookmarkStart w:id="1" w:name="p-1265934"/>
            <w:bookmarkEnd w:id="0"/>
            <w:bookmarkEnd w:id="1"/>
            <w:r w:rsidRPr="005167DF">
              <w:rPr>
                <w:sz w:val="22"/>
                <w:szCs w:val="22"/>
              </w:rPr>
              <w:t xml:space="preserve">96. Persona, kura saņem ienākumu no intelektuālā īpašuma, veic minimālās obligātās iemaksas valsts </w:t>
            </w:r>
            <w:r w:rsidRPr="005167DF">
              <w:rPr>
                <w:sz w:val="22"/>
                <w:szCs w:val="22"/>
              </w:rPr>
              <w:lastRenderedPageBreak/>
              <w:t>pensiju apdrošināšanai 10 procentu apmērā no starpības līdz obligāto iemaksu objekta minimālajam apmēram par periodu no 2022. gada 1. janvāra līdz 2024. gada 31. decembrim.</w:t>
            </w:r>
          </w:p>
        </w:tc>
        <w:tc>
          <w:tcPr>
            <w:tcW w:w="3742" w:type="dxa"/>
            <w:shd w:val="clear" w:color="auto" w:fill="auto"/>
          </w:tcPr>
          <w:p w14:paraId="22985A55" w14:textId="77777777" w:rsidR="005167DF" w:rsidRPr="005167DF" w:rsidRDefault="005167DF" w:rsidP="008E13D2">
            <w:pPr>
              <w:pStyle w:val="paragraph"/>
              <w:ind w:firstLine="567"/>
              <w:contextualSpacing w:val="0"/>
              <w:rPr>
                <w:color w:val="auto"/>
                <w:sz w:val="22"/>
                <w:szCs w:val="22"/>
              </w:rPr>
            </w:pPr>
            <w:r w:rsidRPr="005167DF">
              <w:rPr>
                <w:color w:val="auto"/>
                <w:sz w:val="22"/>
                <w:szCs w:val="22"/>
              </w:rPr>
              <w:lastRenderedPageBreak/>
              <w:t>2. Aizstāt pārejas noteikumu 95. un 96. punktā vārdus un skaitļus "līdz 2024. gada 31. decembrim" ar vārdiem un skaitļiem "līdz 2027. gada 31. decembrim".</w:t>
            </w:r>
          </w:p>
        </w:tc>
        <w:tc>
          <w:tcPr>
            <w:tcW w:w="567" w:type="dxa"/>
          </w:tcPr>
          <w:p w14:paraId="76B7201E" w14:textId="77777777" w:rsidR="005167DF" w:rsidRPr="00922CE9" w:rsidRDefault="005167DF" w:rsidP="00922CE9">
            <w:pPr>
              <w:pStyle w:val="paragraph"/>
              <w:ind w:firstLine="0"/>
              <w:contextualSpacing w:val="0"/>
              <w:jc w:val="center"/>
              <w:rPr>
                <w:b/>
                <w:color w:val="auto"/>
                <w:sz w:val="22"/>
                <w:szCs w:val="22"/>
              </w:rPr>
            </w:pPr>
          </w:p>
        </w:tc>
        <w:tc>
          <w:tcPr>
            <w:tcW w:w="3855" w:type="dxa"/>
          </w:tcPr>
          <w:p w14:paraId="346CB65E" w14:textId="77777777" w:rsidR="005167DF" w:rsidRPr="005167DF" w:rsidRDefault="005167DF" w:rsidP="008E13D2">
            <w:pPr>
              <w:pStyle w:val="paragraph"/>
              <w:ind w:firstLine="567"/>
              <w:contextualSpacing w:val="0"/>
              <w:rPr>
                <w:color w:val="auto"/>
                <w:sz w:val="22"/>
                <w:szCs w:val="22"/>
              </w:rPr>
            </w:pPr>
          </w:p>
        </w:tc>
        <w:tc>
          <w:tcPr>
            <w:tcW w:w="1500" w:type="dxa"/>
          </w:tcPr>
          <w:p w14:paraId="735A0DA7" w14:textId="77777777" w:rsidR="005167DF" w:rsidRPr="005167DF" w:rsidRDefault="005167DF" w:rsidP="008E13D2">
            <w:pPr>
              <w:pStyle w:val="paragraph"/>
              <w:ind w:firstLine="567"/>
              <w:contextualSpacing w:val="0"/>
              <w:rPr>
                <w:color w:val="auto"/>
                <w:sz w:val="22"/>
                <w:szCs w:val="22"/>
              </w:rPr>
            </w:pPr>
          </w:p>
        </w:tc>
        <w:tc>
          <w:tcPr>
            <w:tcW w:w="1417" w:type="dxa"/>
          </w:tcPr>
          <w:p w14:paraId="4F7A4699" w14:textId="77777777" w:rsidR="005167DF" w:rsidRPr="005167DF" w:rsidRDefault="005167DF" w:rsidP="008E13D2">
            <w:pPr>
              <w:pStyle w:val="paragraph"/>
              <w:ind w:firstLine="567"/>
              <w:contextualSpacing w:val="0"/>
              <w:rPr>
                <w:color w:val="auto"/>
                <w:sz w:val="22"/>
                <w:szCs w:val="22"/>
              </w:rPr>
            </w:pPr>
          </w:p>
        </w:tc>
      </w:tr>
      <w:tr w:rsidR="005167DF" w:rsidRPr="005167DF" w14:paraId="26562B24" w14:textId="20F330A1" w:rsidTr="00D8340B">
        <w:tc>
          <w:tcPr>
            <w:tcW w:w="3798" w:type="dxa"/>
            <w:shd w:val="clear" w:color="auto" w:fill="auto"/>
          </w:tcPr>
          <w:p w14:paraId="04AF873C" w14:textId="77777777" w:rsidR="005167DF" w:rsidRPr="005167DF" w:rsidRDefault="005167DF" w:rsidP="008E13D2">
            <w:pPr>
              <w:pStyle w:val="tv213"/>
              <w:spacing w:before="0" w:beforeAutospacing="0" w:after="0" w:afterAutospacing="0"/>
              <w:ind w:firstLine="567"/>
              <w:jc w:val="both"/>
              <w:rPr>
                <w:sz w:val="22"/>
                <w:szCs w:val="22"/>
              </w:rPr>
            </w:pPr>
          </w:p>
        </w:tc>
        <w:tc>
          <w:tcPr>
            <w:tcW w:w="3742" w:type="dxa"/>
            <w:shd w:val="clear" w:color="auto" w:fill="auto"/>
          </w:tcPr>
          <w:p w14:paraId="5CE3B2FB" w14:textId="77777777" w:rsidR="005167DF" w:rsidRPr="005167DF" w:rsidRDefault="005167DF" w:rsidP="008E13D2">
            <w:pPr>
              <w:pStyle w:val="paragraph"/>
              <w:ind w:firstLine="567"/>
              <w:contextualSpacing w:val="0"/>
              <w:rPr>
                <w:color w:val="auto"/>
                <w:sz w:val="22"/>
                <w:szCs w:val="22"/>
              </w:rPr>
            </w:pPr>
            <w:r w:rsidRPr="005167DF">
              <w:rPr>
                <w:color w:val="auto"/>
                <w:sz w:val="22"/>
                <w:szCs w:val="22"/>
              </w:rPr>
              <w:t>Likums stājas spēkā 2025. gada 1. janvārī.</w:t>
            </w:r>
          </w:p>
        </w:tc>
        <w:tc>
          <w:tcPr>
            <w:tcW w:w="567" w:type="dxa"/>
          </w:tcPr>
          <w:p w14:paraId="4F6F140E" w14:textId="77777777" w:rsidR="005167DF" w:rsidRPr="00922CE9" w:rsidRDefault="005167DF" w:rsidP="00922CE9">
            <w:pPr>
              <w:pStyle w:val="paragraph"/>
              <w:ind w:firstLine="0"/>
              <w:contextualSpacing w:val="0"/>
              <w:jc w:val="center"/>
              <w:rPr>
                <w:b/>
                <w:color w:val="auto"/>
                <w:sz w:val="22"/>
                <w:szCs w:val="22"/>
              </w:rPr>
            </w:pPr>
          </w:p>
        </w:tc>
        <w:tc>
          <w:tcPr>
            <w:tcW w:w="3855" w:type="dxa"/>
          </w:tcPr>
          <w:p w14:paraId="26B0514B" w14:textId="77777777" w:rsidR="005167DF" w:rsidRPr="005167DF" w:rsidRDefault="005167DF" w:rsidP="008E13D2">
            <w:pPr>
              <w:pStyle w:val="paragraph"/>
              <w:ind w:firstLine="567"/>
              <w:contextualSpacing w:val="0"/>
              <w:rPr>
                <w:color w:val="auto"/>
                <w:sz w:val="22"/>
                <w:szCs w:val="22"/>
              </w:rPr>
            </w:pPr>
          </w:p>
        </w:tc>
        <w:tc>
          <w:tcPr>
            <w:tcW w:w="1500" w:type="dxa"/>
          </w:tcPr>
          <w:p w14:paraId="59024FDE" w14:textId="77777777" w:rsidR="005167DF" w:rsidRPr="005167DF" w:rsidRDefault="005167DF" w:rsidP="008E13D2">
            <w:pPr>
              <w:pStyle w:val="paragraph"/>
              <w:ind w:firstLine="567"/>
              <w:contextualSpacing w:val="0"/>
              <w:rPr>
                <w:color w:val="auto"/>
                <w:sz w:val="22"/>
                <w:szCs w:val="22"/>
              </w:rPr>
            </w:pPr>
          </w:p>
        </w:tc>
        <w:tc>
          <w:tcPr>
            <w:tcW w:w="1417" w:type="dxa"/>
          </w:tcPr>
          <w:p w14:paraId="2C9D4A2F" w14:textId="77777777" w:rsidR="005167DF" w:rsidRPr="005167DF" w:rsidRDefault="005167DF" w:rsidP="008E13D2">
            <w:pPr>
              <w:pStyle w:val="paragraph"/>
              <w:ind w:firstLine="567"/>
              <w:contextualSpacing w:val="0"/>
              <w:rPr>
                <w:color w:val="auto"/>
                <w:sz w:val="22"/>
                <w:szCs w:val="22"/>
              </w:rPr>
            </w:pPr>
          </w:p>
        </w:tc>
      </w:tr>
    </w:tbl>
    <w:p w14:paraId="52C1C364" w14:textId="77777777" w:rsidR="005167DF" w:rsidRPr="005167DF" w:rsidRDefault="005167DF" w:rsidP="005167DF">
      <w:pPr>
        <w:ind w:firstLine="567"/>
      </w:pPr>
    </w:p>
    <w:sectPr w:rsidR="005167DF" w:rsidRPr="005167DF" w:rsidSect="005167DF">
      <w:footerReference w:type="even" r:id="rId7"/>
      <w:footerReference w:type="default" r:id="rId8"/>
      <w:pgSz w:w="16838" w:h="11906" w:orient="landscape"/>
      <w:pgMar w:top="164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2561C" w14:textId="77777777" w:rsidR="002970AE" w:rsidRDefault="00B36C05">
      <w:r>
        <w:separator/>
      </w:r>
    </w:p>
  </w:endnote>
  <w:endnote w:type="continuationSeparator" w:id="0">
    <w:p w14:paraId="2BFD50EF" w14:textId="77777777" w:rsidR="002970AE" w:rsidRDefault="00B36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E093" w14:textId="77777777" w:rsidR="00190D37" w:rsidRDefault="005167DF" w:rsidP="00511D34">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4C23DB9" w14:textId="77777777" w:rsidR="00190D37" w:rsidRDefault="008B7C30" w:rsidP="00511D3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91BB1" w14:textId="77777777" w:rsidR="00190D37" w:rsidRDefault="005167DF" w:rsidP="00511D34">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64083847" w14:textId="77777777" w:rsidR="00190D37" w:rsidRDefault="008B7C30" w:rsidP="00511D3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0F84F" w14:textId="77777777" w:rsidR="002970AE" w:rsidRDefault="00B36C05">
      <w:r>
        <w:separator/>
      </w:r>
    </w:p>
  </w:footnote>
  <w:footnote w:type="continuationSeparator" w:id="0">
    <w:p w14:paraId="3A963B1B" w14:textId="77777777" w:rsidR="002970AE" w:rsidRDefault="00B36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40CE0"/>
    <w:multiLevelType w:val="hybridMultilevel"/>
    <w:tmpl w:val="308CE2DC"/>
    <w:lvl w:ilvl="0" w:tplc="9E022DA4">
      <w:start w:val="1"/>
      <w:numFmt w:val="decimal"/>
      <w:lvlText w:val="%1."/>
      <w:lvlJc w:val="left"/>
      <w:pPr>
        <w:ind w:left="720" w:hanging="360"/>
      </w:pPr>
      <w:rPr>
        <w:rFonts w:ascii="Times New Roman" w:hAnsi="Times New Roman" w:cs="Times New Roman" w:hint="default"/>
        <w:color w:val="000000" w:themeColor="text1"/>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5FB730EC"/>
    <w:multiLevelType w:val="hybridMultilevel"/>
    <w:tmpl w:val="08089868"/>
    <w:lvl w:ilvl="0" w:tplc="44944A98">
      <w:start w:val="1"/>
      <w:numFmt w:val="bullet"/>
      <w:lvlRestart w:val="0"/>
      <w:lvlText w:val=""/>
      <w:lvlJc w:val="left"/>
      <w:pPr>
        <w:ind w:left="0" w:firstLine="705"/>
      </w:pPr>
      <w:rPr>
        <w:u w:val="none"/>
      </w:rPr>
    </w:lvl>
    <w:lvl w:ilvl="1" w:tplc="2C60EAA6">
      <w:numFmt w:val="decimal"/>
      <w:lvlText w:val=""/>
      <w:lvlJc w:val="left"/>
    </w:lvl>
    <w:lvl w:ilvl="2" w:tplc="872AC47C">
      <w:numFmt w:val="decimal"/>
      <w:lvlText w:val=""/>
      <w:lvlJc w:val="left"/>
    </w:lvl>
    <w:lvl w:ilvl="3" w:tplc="455675CC">
      <w:numFmt w:val="decimal"/>
      <w:lvlText w:val=""/>
      <w:lvlJc w:val="left"/>
    </w:lvl>
    <w:lvl w:ilvl="4" w:tplc="7ECCDA82">
      <w:numFmt w:val="decimal"/>
      <w:lvlText w:val=""/>
      <w:lvlJc w:val="left"/>
    </w:lvl>
    <w:lvl w:ilvl="5" w:tplc="3D0EA064">
      <w:numFmt w:val="decimal"/>
      <w:lvlText w:val=""/>
      <w:lvlJc w:val="left"/>
    </w:lvl>
    <w:lvl w:ilvl="6" w:tplc="B4744408">
      <w:numFmt w:val="decimal"/>
      <w:lvlText w:val=""/>
      <w:lvlJc w:val="left"/>
    </w:lvl>
    <w:lvl w:ilvl="7" w:tplc="6E4CD1EE">
      <w:numFmt w:val="decimal"/>
      <w:lvlText w:val=""/>
      <w:lvlJc w:val="left"/>
    </w:lvl>
    <w:lvl w:ilvl="8" w:tplc="1B944B88">
      <w:numFmt w:val="decimal"/>
      <w:lvlText w:val=""/>
      <w:lvlJc w:val="left"/>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7DF"/>
    <w:rsid w:val="002970AE"/>
    <w:rsid w:val="00490D6D"/>
    <w:rsid w:val="005167DF"/>
    <w:rsid w:val="006250ED"/>
    <w:rsid w:val="006D0D6F"/>
    <w:rsid w:val="008B7C30"/>
    <w:rsid w:val="00922CE9"/>
    <w:rsid w:val="00B36C05"/>
    <w:rsid w:val="00D83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ECA96"/>
  <w15:chartTrackingRefBased/>
  <w15:docId w15:val="{D8E85BE0-2D4D-4EF4-99E4-7087B392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67DF"/>
    <w:rPr>
      <w:rFonts w:eastAsia="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clums">
    <w:name w:val="Emphasis"/>
    <w:qFormat/>
    <w:rsid w:val="005167DF"/>
    <w:rPr>
      <w:i/>
      <w:iCs/>
    </w:rPr>
  </w:style>
  <w:style w:type="paragraph" w:styleId="Kjene">
    <w:name w:val="footer"/>
    <w:basedOn w:val="Parasts"/>
    <w:link w:val="KjeneRakstz"/>
    <w:rsid w:val="005167DF"/>
    <w:pPr>
      <w:tabs>
        <w:tab w:val="center" w:pos="4153"/>
        <w:tab w:val="right" w:pos="8306"/>
      </w:tabs>
    </w:pPr>
    <w:rPr>
      <w:rFonts w:eastAsia="Times New Roman"/>
      <w:szCs w:val="24"/>
      <w:lang w:val="en-GB"/>
    </w:rPr>
  </w:style>
  <w:style w:type="character" w:customStyle="1" w:styleId="KjeneRakstz">
    <w:name w:val="Kājene Rakstz."/>
    <w:basedOn w:val="Noklusjumarindkopasfonts"/>
    <w:link w:val="Kjene"/>
    <w:rsid w:val="005167DF"/>
    <w:rPr>
      <w:rFonts w:eastAsia="Times New Roman" w:cs="Times New Roman"/>
      <w:szCs w:val="24"/>
      <w:lang w:val="en-GB"/>
    </w:rPr>
  </w:style>
  <w:style w:type="character" w:styleId="Lappusesnumurs">
    <w:name w:val="page number"/>
    <w:rsid w:val="005167DF"/>
  </w:style>
  <w:style w:type="paragraph" w:customStyle="1" w:styleId="naisvisr">
    <w:name w:val="naisvisr"/>
    <w:basedOn w:val="Parasts"/>
    <w:rsid w:val="005167DF"/>
    <w:pPr>
      <w:spacing w:before="100" w:beforeAutospacing="1" w:after="100" w:afterAutospacing="1"/>
    </w:pPr>
    <w:rPr>
      <w:rFonts w:eastAsia="Times New Roman"/>
      <w:szCs w:val="24"/>
      <w:lang w:eastAsia="lv-LV"/>
    </w:rPr>
  </w:style>
  <w:style w:type="paragraph" w:customStyle="1" w:styleId="paragraphheader">
    <w:name w:val="paragraph_header"/>
    <w:basedOn w:val="Parasts"/>
    <w:next w:val="Parasts"/>
    <w:rsid w:val="005167DF"/>
    <w:pPr>
      <w:spacing w:before="280" w:after="280"/>
      <w:contextualSpacing/>
      <w:jc w:val="both"/>
    </w:pPr>
    <w:rPr>
      <w:rFonts w:eastAsia="Times New Roman"/>
      <w:color w:val="333333"/>
      <w:sz w:val="28"/>
      <w:szCs w:val="20"/>
      <w:lang w:eastAsia="lv-LV"/>
    </w:rPr>
  </w:style>
  <w:style w:type="paragraph" w:customStyle="1" w:styleId="paragraph">
    <w:name w:val="paragraph"/>
    <w:basedOn w:val="Parasts"/>
    <w:next w:val="Parasts"/>
    <w:rsid w:val="005167DF"/>
    <w:pPr>
      <w:ind w:firstLine="705"/>
      <w:contextualSpacing/>
      <w:jc w:val="both"/>
    </w:pPr>
    <w:rPr>
      <w:rFonts w:eastAsia="Times New Roman"/>
      <w:color w:val="333333"/>
      <w:sz w:val="28"/>
      <w:szCs w:val="20"/>
      <w:lang w:eastAsia="lv-LV"/>
    </w:rPr>
  </w:style>
  <w:style w:type="paragraph" w:customStyle="1" w:styleId="tv213">
    <w:name w:val="tv213"/>
    <w:basedOn w:val="Parasts"/>
    <w:rsid w:val="005167DF"/>
    <w:pPr>
      <w:spacing w:before="100" w:beforeAutospacing="1" w:after="100" w:afterAutospacing="1"/>
    </w:pPr>
    <w:rPr>
      <w:rFonts w:eastAsia="Times New Roman"/>
      <w:szCs w:val="24"/>
      <w:lang w:eastAsia="lv-LV"/>
    </w:rPr>
  </w:style>
  <w:style w:type="paragraph" w:styleId="Sarakstarindkopa">
    <w:name w:val="List Paragraph"/>
    <w:basedOn w:val="Parasts"/>
    <w:uiPriority w:val="34"/>
    <w:qFormat/>
    <w:rsid w:val="00490D6D"/>
    <w:pPr>
      <w:spacing w:after="160" w:line="252" w:lineRule="auto"/>
      <w:ind w:left="720"/>
      <w:contextualSpacing/>
    </w:pPr>
    <w:rPr>
      <w:rFonts w:asciiTheme="minorHAnsi" w:eastAsiaTheme="minorHAnsi" w:hAnsiTheme="minorHAnsi" w:cstheme="minorBidi"/>
      <w:sz w:val="22"/>
    </w:rPr>
  </w:style>
  <w:style w:type="character" w:customStyle="1" w:styleId="lmpnum">
    <w:name w:val="lmpnum"/>
    <w:basedOn w:val="Noklusjumarindkopasfonts"/>
    <w:rsid w:val="00490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2113</Words>
  <Characters>1205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Vizma Casno</dc:creator>
  <cp:keywords/>
  <dc:description/>
  <cp:lastModifiedBy>Agrita Ozoliņa</cp:lastModifiedBy>
  <cp:revision>3</cp:revision>
  <dcterms:created xsi:type="dcterms:W3CDTF">2024-11-04T07:47:00Z</dcterms:created>
  <dcterms:modified xsi:type="dcterms:W3CDTF">2024-11-05T10:14:00Z</dcterms:modified>
</cp:coreProperties>
</file>