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25-TA-1339: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19. oktobra noteikumos Nr. 704 "Prasības darbībām ar ozona slāni noārdošām vielām un fluorētām siltumnīcefekta gāzēm"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(01.11.2021.)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05.06.2026. 13:29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Saskaņā ar regulas 2024/590 15. panta 4. punktu un regulas 2024/573 4. panta 6. punktu importētāji atbilstības deklarāciju iesniedz Valsts ieņēmumu dienestam, pievienojot to muitas deklarācijai, savukārt ražotāji atbilstības deklarāciju iesniedz Valsts vides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punktā attiecībā uz importēja pienākumu nav skaidri noteikts, kurā muitas procedūrā atbilstības deklarācija ir pievienojama muitas deklarācijai. Muitas jomā importa procedūrā ir vairāki procedūru veidi. Tāpat Regulas 2024/590 un regulas 2024/573 definīcijas nošķir “importu” no “laišanas tirgū”, tostarp piemērojamās muitas procedūras katrā no tām ir atšķirīgas. Regulas 2024/590 15. panta 4. punkts un regulas 2024/573 4. panta 6. punkts paredz aizliegumu “laist tirgū”, ja nav iesniegta atbilstības deklarācija. Abās regulās “laišana tirgū” (Regulas 2024/590 3.panta 5. apakšpunkts; regulas 2024/573 3.panta 6. apakšpunkts) ir pašu lietojumam saražotu vielu, produktu vai aprīkojuma laišana brīvā apgrozībā Savienībā ar muitas atļauju vai pirmreizēja piegāde vai pieejamības nodrošināšana citai personai Savienībā par maksu vai par brīvu, vai šādu vielu, produktu vai aprīkojuma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norma būtu skaidri izprotama, lūdzam papildināt 13.</w:t>
            </w:r>
            <w:r w:rsidR="00000000" w:rsidRPr="00000000" w:rsidDel="00000000">
              <w:rPr>
                <w:vertAlign w:val="superscript"/>
                <w:rtl w:val="0"/>
              </w:rPr>
              <w:t xml:space="preserve">1</w:t>
            </w:r>
            <w:r w:rsidR="00000000" w:rsidRPr="00000000" w:rsidDel="00000000">
              <w:rPr>
                <w:rtl w:val="0"/>
              </w:rPr>
              <w:t xml:space="preserve"> punktu aiz vārda "importētāji" ar vārdiem ”vielas, produktus vai aprīkojumu laižot brīvā apgrozībā”, jo tas sniegs skaidru priekšstatu par importētāja pienākumu un izpildes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Saskaņā ar regulas 2024/590 15. panta 4. punktu un regulas 2024/573 4. panta 6. punktu importētāji, vielas, produktus vai aprīkojumu laižot brīvā apgrozījumā, atbilstības deklarāciju iesniedz Valsts ieņēmumu dienestam, pievienojot to muitas deklarācijai, savukārt ražotāji atbilstības deklarāciju iesniedz Valsts vides dienestam.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Saskaņā ar regulas 2024/590 15. panta 4. punktu un regulas 2024/573 4. panta 6. punktu importētāji, vielas, produktus vai aprīkojumu laižot brīvā apgrozījumā, atbilstības deklarāciju iesniedz Valsts ieņēmumu dienestam, pievienojot to muitas deklarācijai, savukārt ražotāji atbilstības deklarāciju iesniedz Valsts vides dienestam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noteikumu projektā paredzēto normu īstenošana tiks nodrošināta to izpildē iesaistīto institūciju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29.04.2026. 18:01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uz nepieciešamību precizēt anotācijas 5. sadaļu. Vēršam uzmanību, ka no projektā ietvertajām atsaucēm uz regulu normām saprotama to prasību ieviešana, kas atbilstoši norādāms anotācijas 5.4. apakšsadaļas 1.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arī, kā izmantotas regulā paredzētās rīcības brīvības dalībvalstij ieviest noteiktas tiesību normas? Kādēļ? Piemēram, </w:t>
            </w:r>
            <w:r w:rsidR="00000000" w:rsidRPr="00000000" w:rsidDel="00000000">
              <w:rPr>
                <w:i w:val="1"/>
                <w:rtl w:val="0"/>
              </w:rPr>
              <w:t xml:space="preserve">Komisijas 2024. gada 6. septembra Īstenošanas regulas (ES) 2024/2215, ar ko atbilstīgi Eiropas Parlamenta un Padomes Regulai (ES) 2024/573 nosaka minimālās prasības sertifikātu izdošanai fiziskām un juridiskām personām un nosacījumus šādu sertifikātu savstarpējai atzīšanai attiecībā uz stacionāru dzesēšanas, gaisa kondicionēšanas un siltumsūkņu aprīkojumu, organiskajiem Renkina cikliem un kravas refrižeratorautomobiļu, refrižeratorpiekabju, vieglo refrižeratorautomobiļu, intermodālo pārvadājumu konteineru un vilcienu vagonu dzesēšanas blokiem, kas satur fluorētas siltumnīcefekta gāzes vai to alternatīvas, un atceļ Komisijas Īstenošanas regulu (ES) 2015/2067</w:t>
            </w:r>
            <w:r w:rsidR="00000000" w:rsidRPr="00000000" w:rsidDel="00000000">
              <w:rPr>
                <w:rtl w:val="0"/>
              </w:rPr>
              <w:t xml:space="preserve">, 3. panta 1. punkts un 4. panta 3. punkts paredz dalībvalsts rīcības brīvību.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pārskatīt arī jau sniegto skaidrojumu korektumu. Piemēram, kā tieši projekta 20. punkts</w:t>
            </w:r>
            <w:r w:rsidR="00000000" w:rsidRPr="00000000" w:rsidDel="00000000">
              <w:rPr>
                <w:i w:val="1"/>
                <w:rtl w:val="0"/>
              </w:rPr>
              <w:t xml:space="preserve"> </w:t>
            </w:r>
            <w:r w:rsidR="00000000" w:rsidRPr="00000000" w:rsidDel="00000000">
              <w:rPr>
                <w:rtl w:val="0"/>
              </w:rPr>
              <w:t xml:space="preserve">izpilda dalībvalsts pienākumu </w:t>
            </w:r>
            <w:r w:rsidR="00000000" w:rsidRPr="00000000" w:rsidDel="00000000">
              <w:rPr>
                <w:u w:val="single"/>
                <w:rtl w:val="0"/>
              </w:rPr>
              <w:t xml:space="preserve">noteikt obligātās kvalifikācijas prasības</w:t>
            </w:r>
            <w:r w:rsidR="00000000" w:rsidRPr="00000000" w:rsidDel="00000000">
              <w:rPr>
                <w:rtl w:val="0"/>
              </w:rPr>
              <w:t xml:space="preserve"> personālam (</w:t>
            </w:r>
            <w:r w:rsidR="00000000" w:rsidRPr="00000000" w:rsidDel="00000000">
              <w:rPr>
                <w:i w:val="1"/>
                <w:rtl w:val="0"/>
              </w:rPr>
              <w:t xml:space="preserve">Eiropas Parlamenta un Padomes 2024. gada 7. februāra Regulas (ES) 2024/590 par ozona slāni noārdošām vielām un ar ko atceļ Regulu (EK) Nr. 1005/2009</w:t>
            </w:r>
            <w:r w:rsidR="00000000" w:rsidRPr="00000000" w:rsidDel="00000000">
              <w:rPr>
                <w:rtl w:val="0"/>
              </w:rPr>
              <w:t xml:space="preserve"> 21. panta 6. punkts)? Vai tikai projekta 35. un 36. punkts ievieš </w:t>
            </w:r>
            <w:r w:rsidR="00000000" w:rsidRPr="00000000" w:rsidDel="00000000">
              <w:rPr>
                <w:i w:val="1"/>
                <w:rtl w:val="0"/>
              </w:rPr>
              <w:t xml:space="preserve">Eiropas Parlamenta un Padomes 2024. gada 7. februāra Regulas (ES) 2024/573 par fluorētajām siltumnīcefekta gāzēm, ar kuru groza Direktīvu (ES) 2019/1937 un atceļ Regulu (ES) Nr. 517/2014</w:t>
            </w:r>
            <w:r w:rsidR="00000000" w:rsidRPr="00000000" w:rsidDel="00000000">
              <w:rPr>
                <w:rtl w:val="0"/>
              </w:rPr>
              <w:t xml:space="preserve"> (turpmāk - regula 2024/573) 10. panta 9. punktu, jo izskatās, ka tas saistīts arī ar projekta 23.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darbībām ar ozona slāni noārdošām vielām un fluorētām siltumnīcefekta gāzēm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w:t>
            </w:r>
            <w:r w:rsidR="00000000" w:rsidRPr="00000000" w:rsidDel="00000000">
              <w:rPr>
                <w:u w:val="single"/>
                <w:rtl w:val="0"/>
              </w:rPr>
              <w:t xml:space="preserve">šis gadījums attaisnots vienīgi ar indivīdu interesēm saņemt tiem adresētu saskaņotu un labi uztveramu tiesību aktu, un regulu tiešā piemērojamība nepieļauj citus izņēmumus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16. punktu, kur daļēji dublēts vai pat nedaudz interpretēts Regulas 2024/573 4. panta 6. punkts. Piemēram, regula nosaka, ka "</w:t>
            </w:r>
            <w:r w:rsidR="00000000" w:rsidRPr="00000000" w:rsidDel="00000000">
              <w:rPr>
                <w:i w:val="1"/>
                <w:rtl w:val="0"/>
              </w:rPr>
              <w:t xml:space="preserve">[..] fluorētas siltumnīcefekta gāzes tirgū laist ir aizliegts,</w:t>
            </w:r>
            <w:r w:rsidR="00000000" w:rsidRPr="00000000" w:rsidDel="00000000">
              <w:rPr>
                <w:i w:val="1"/>
                <w:u w:val="single"/>
                <w:rtl w:val="0"/>
              </w:rPr>
              <w:t xml:space="preserve"> ja vien ražotāji vai importētāji tirgū laišanas brīdī neiesniedz dalībvalsts kompetentajai iestādei pierādījumus</w:t>
            </w:r>
            <w:r w:rsidR="00000000" w:rsidRPr="00000000" w:rsidDel="00000000">
              <w:rPr>
                <w:i w:val="1"/>
                <w:rtl w:val="0"/>
              </w:rPr>
              <w:t xml:space="preserve">[..]</w:t>
            </w:r>
            <w:r w:rsidR="00000000" w:rsidRPr="00000000" w:rsidDel="00000000">
              <w:rPr>
                <w:rtl w:val="0"/>
              </w:rPr>
              <w:t xml:space="preserve">", bet projekts paredz, ka ražotāji iesniedz atbilstības deklarāciju tikai pēc Valsts vides dienesta pieprasījuma, kas, pirmšķietami, nav tas pats kas izriet no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kur, atbilstoši izziņā skaidrotajam, tomēr nepieciešams pārrakstīt regulas normas, lūdzam tās pārrakstīt identiski un papildus pamatot šādu nepieciešamību. Vēršam uzmanību, ka, ja Regulas normas netiek precīzi pārrakstītas, pastāv atšķirīgas interpretācijas risks,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 "</w:t>
            </w:r>
            <w:r w:rsidR="00000000" w:rsidRPr="00000000" w:rsidDel="00000000">
              <w:rPr>
                <w:i w:val="1"/>
                <w:rtl w:val="0"/>
              </w:rPr>
              <w:t xml:space="preserve">13.</w:t>
            </w:r>
            <w:r w:rsidR="00000000" w:rsidRPr="00000000" w:rsidDel="00000000">
              <w:rPr>
                <w:i w:val="1"/>
                <w:vertAlign w:val="superscript"/>
                <w:rtl w:val="0"/>
              </w:rPr>
              <w:t xml:space="preserve">1</w:t>
            </w:r>
            <w:r w:rsidR="00000000" w:rsidRPr="00000000" w:rsidDel="00000000">
              <w:rPr>
                <w:i w:val="1"/>
                <w:rtl w:val="0"/>
              </w:rPr>
              <w:t xml:space="preserve"> Saskaņā ar regulas 2024/590 15. panta 4. punktu un regulas 2024/573 4. panta 6. punktu importētāji atbilstības deklarāciju iesniedz Valsts ieņēmumu dienestam, pievienojot to muitas deklarācijai, savukārt ražotāji atbilstības deklarāciju iesniedz Valsts vides dienestam.</w:t>
            </w:r>
            <w:r w:rsidR="00000000" w:rsidRPr="00000000" w:rsidDel="00000000">
              <w:rPr>
                <w:rtl w:val="0"/>
              </w:rPr>
              <w:t xml:space="preserve">". Skaidrojam, ka regulas 2024/573 4. panta 6. punkta prasību izpildes kontrole attiecībā uz importētājiem ir noteikta Valsts ieņēmumu dienesta kompetencē, importētāji atbilstības deklarāciju iesniedz muitas procedūras ietvaros, pievienojot to muitas deklarācijai. Savukārt ražotāji atbilstības deklarāciju iesniedz Valsts vides dienestam. Lai gan regulas 2024/573 4. panta 6. punkts paredz pienākumu ražotājiem un importētājiem iesniegt kompetentajai iestādei atbilstības deklarāciju un tai pievienojamo pamatojošo dokumentāciju, F- gāzu imports ES muitas teritorijā vienlaikus ir pakļauts arī muitas formalitāšu izpildei. Muitas kodeksa 158. panta 1. punkts nosaka, ka visas preces, kurām paredzēts piemērot muitas procedūru, ir jāaptver ar attiecīgajai procedūrai atbilstošu muitas deklarāciju. Tādējādi gadījumos, kad F-gāzes tiek ievestas ES muitas teritorijā, importētājam neatkarīgi no regulas 2024/573 prasībām ir pienākums iesniegt muitas deklarāciju saskaņā ar muitas jomu regulējošajiem normatīvajiem aktiem. Atbilstības deklarācija šādos gadījumos var tikt pievienota muitas deklarācijai kā dokuments, kas apliecina regulas 2024/573 noteikto prasību izpildi un ļauj kompetentajām iestādēm pārliecināties par preču atbilstību piemērojamajam regulējumam. Prasība pievienot atbilstības deklarāciju muitas deklarācijai nerada jaunu pienākumu iesniegt atbilstības deklarāciju, bet gan nosaka veidu, kādā jau saskaņā ar regulu 2024/573 sagatavotā deklarācija tiek iesniegta importa procedūras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darbībām ar ozona slāni noārdošām vielām un fluorētām siltumnīcefekta gāzēm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Pamatojoties uz fiziskas personas iesniegumu, atbilstības novērtēšanas institūcija piecu darbdienu laikā no iesnieguma saņemšanas dienas pieņem lēmumu par atļauju personai kārtot eksāmenu. Pieņemot lēmumu, atbilstības novērtēšanas institūcija nosaka eksāmena kārtošanas vietu un laiku turpmāko desmit darbdienu laikā. Eksāmenu atļauj kārtot, ja iesnieguma iesniedzējs pēdējo piecu gadu laikā ir apguvis vismaz vienu no šādām apmācībām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Administratīvā procesa likuma 64. panta pirmā daļa noteic,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Savukārt no projektā paredzētā noteikumu 19. un 20. punktā ietvertā regulējuma viennozīmīgi neizriet, ka attiecīgais lēmums tiek pieņemts Administratīvā procesa likuma 64. panta pirmajā daļā noteiktajā termiņā. Konkrētā procesa ietvaros administratīvais akts, kas ir izdodams viena mēneša laikā no iesnieguma saņemšanas dienas, ir lēmums par sertifikāta piešķiršanu vai par atteikumu piešķirt sertifikātu. Savukārt lēmums par atļauju kārtot eksāmenu ir starplēmums. No projektā paredzētā noteikumu 19. un 20. punktā var secināt, ka lēmums par sertifikāta piešķiršanu vai par atteikumu piešķirt sertifikātu varētu tikt pieņemts 20 darbdienu laikā pēc iesnieguma saņemšanas. Vēršam uzmanību uz to, ka atsevišķos gadījumos 20 darbdienu termiņš var būt garāks nekā Administratīvā procesa likuma 64. panta pirmajā daļā noteiktais viena mēneša termiņš. Ievērojot minēto, atkārtoti lūdzam izvērtēt projektā paredzētajā noteikumu 19. un 20. punktā ietverto regulējumu un precizēt to, kā arī papildināt anotācijas 1.3. apakšsadaļu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piedāvāta jauna redakcija. Lai nodrošinātu administratīvā procesa norises efektivitāti un tuvinātu regulējumā noteiktos termiņus Administratīvā procesa likuma 64. panta pirmajā daļā noteiktajam viena mēneša termiņam administratīvā akta izdošanai, precizēts Noteikumu Nr. 704 19. un 20. punkts, samazinot maksimālo termiņu no desmit līdz septiņām darbdienām pēc lēmuma par atļauju kārtot eksāmenu pieņemšanas. Vienlaikus noteikumu 20. punkts papildināts ar nosacījumu, ka lēmums par sertifikāta piešķiršanu vai atteikumu piešķirt sertifikātu tiek pieņemts piecu darbdienu laikā pēc eksāmena kārtošanas dienas, bet ne vēlāk kā viena mēneša laikā no iesnieguma saņemšanas dienas.Tādējādi regulējumā ir nepārprotami noteikts, ka galīgais administratīvais akts tiek izdots Administratīvā procesa likuma 64. panta pirmajā daļā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Pamatojoties uz fiziskas personas iesniegumu, atbilstības novērtēšanas institūcija piecu darbdienu laikā no iesnieguma saņemšanas dienas pieņem lēmumu par atļauju personai kārtot eksāmenu. Pieņemot lēmumu, atbilstības novērtēšanas institūcija nosaka eksāmena kārtošanas vietu un laiku turpmāko septiņu darbdienu laikā. Eksāmenu atļauj kārtot, ja iesnieguma iesniedzējs pēdējo piecu gadu laikā ir apguvis vismaz vienu no šādām apmācībām programmām: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iesniegumā norādītā informācija ir nepilnīga vai tam nav pievienota visa šo noteikumu 29. punktā noteiktā informācija, dienests 15 darbdienu laikā pēc iesnieguma saņemšanas informē operatoru par konstatētajiem trūkumiem un nosaka termiņu to novēršanai, kas nav īsāks par 14 dienām. Ja operators noteiktajā termiņā trūkumus nenovērš un nelūdz pagarināt informācijas iesniegšanas termiņu, dienests pieņem lēmumu par atteikumu izsniegt licenci. Iesnieguma izskatīšanas termiņu skaita no dienas, kad dienests ir saņēmis visu iesnieguma izskatīšanai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projektā paredzēto noteikumu 34. punkta pirmo un otro teikumu, ņemot vērā to, ka tajos tiek noteikta kārtība, kādā iestāde atbilstoši Administratīvā procesa likuma 59. pantā noteiktajam iegūst lēmuma pieņemšanai nepieciešamo informāciju, nevis trūkumu novēršana iesniegumā saskaņā ar Administratīvā procesa likuma 56. panta 1.</w:t>
            </w:r>
            <w:r w:rsidR="00000000" w:rsidRPr="00000000" w:rsidDel="00000000">
              <w:rPr>
                <w:vertAlign w:val="superscript"/>
                <w:rtl w:val="0"/>
              </w:rPr>
              <w:t xml:space="preserve">1</w:t>
            </w:r>
            <w:r w:rsidR="00000000" w:rsidRPr="00000000" w:rsidDel="00000000">
              <w:rPr>
                <w:rtl w:val="0"/>
              </w:rPr>
              <w:t xml:space="preserve"> daļā noteikto. Vienlaikus lūdzam svītrot projektā paredzēto noteikumu 34. punkta pēdējo teikumu, ņemot vērā to, ka tas ir pretrunā Administratīvā procesa likuma 64. panta pirmajā daļā noteiktajam, ka lēmuma pieņemšanas termiņu skaita no iesnieguma saņemšanas dienas. Ievērojot minēto, lūdzam arī attiecīgi precizēt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piedāvāta jauna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iesniegumā norādītā informācija ir nepilnīga vai tam nav pievienota visa šo noteikumu 29. punktā noteiktā informācija, dienests 15 darbdienu laikā pēc iesnieguma saņemšanas informē operatoru par nepieciešamību iesniegt papildu informāciju un nosaka termiņu tās iesniegšanai, kas nav īsāks par 14 dienām. Ja operators noteiktajā termiņā pieprasīto papildu informāciju neiesniedz un nelūdz pagarināt informācijas iesniegšanas termiņu, dienests pieņem lēmumu par atteikumu izsniegt licenci.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skaidrojumus anotācijas 1.3. apakšsadaļā un tiesību normu adresātiem un piemērotājiem nodrošināt pilnīgu, nepārprotamu projekta izpratni.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skaidrots: “</w:t>
            </w:r>
            <w:r w:rsidR="00000000" w:rsidRPr="00000000" w:rsidDel="00000000">
              <w:rPr>
                <w:i w:val="1"/>
                <w:rtl w:val="0"/>
              </w:rPr>
              <w:t xml:space="preserve">Tādējādi gadījumos, kad saskaņā ar regulas 2024/573 un Īstenošanas regulas 2025/1893 prasībām pietiktu ar apmācības apliecību, nacionālajā regulējumā personai tiks izsniegts attiecīgās jomas sertifikāts ar šaurāku kompetences apjomu</w:t>
            </w:r>
            <w:r w:rsidR="00000000" w:rsidRPr="00000000" w:rsidDel="00000000">
              <w:rPr>
                <w:rtl w:val="0"/>
              </w:rPr>
              <w:t xml:space="preserve">”, bet ne tas, kā tieši saprotams “</w:t>
            </w:r>
            <w:r w:rsidR="00000000" w:rsidRPr="00000000" w:rsidDel="00000000">
              <w:rPr>
                <w:i w:val="1"/>
                <w:rtl w:val="0"/>
              </w:rPr>
              <w:t xml:space="preserve">sertifikāts ar šaurāku kompetences apjomu</w:t>
            </w:r>
            <w:r w:rsidR="00000000" w:rsidRPr="00000000" w:rsidDel="00000000">
              <w:rPr>
                <w:rtl w:val="0"/>
              </w:rPr>
              <w:t xml:space="preserve">” un vai šajā gadījumā paralēli pastāvēs arī cits, plašākas kompetences sertifikāts un kā tie darbojas paralēli viens otram?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skaidrojuma par Ķīmisko vielu likuma 16. pantā paredzētā pilnvarojuma Ministru kabinetam izpildi saprotams, ka projekts ne pilnībā izpilda no pilnvarojuma izrietošo, piemēram, Ķīmisko vielu likuma 16. panta pirmā daļa pilnvaro Ministru kabinetu noteikt ierobežojumus darbībām ar ķīmiskajām vielām, bet projekts regulē konkrētu ķīmisko vielu grupu. Attiecīgi, ja pilnvarojums izpildīts arī citos Ministru kabineta noteikumos, aicinām to anotācijā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Ozona slāni noārdošās vielas un fluorētas siltumnīcefekta gāzes ir atļauts laist tirgū tikai tad, ja ražotāji vai importētāji ir sagatavojuši atbilstības deklarāciju par trifluormetānu saskaņā ar regulas 2024/590 15. panta 4. punktu un regulas 2024/573 4. panta 6. punktu. Importētāji, preces laižot brīvam apgrozījumam, atbilstības deklarāciju pievieno muitas deklarācijai. Ražotāji iesniedz atbilstības deklarāciju Valsts vides dienestam pēc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noteikumu projekta punktā  ietvertais, ka tikai “ražotājam” ir pienākums iesniegt atbilstības deklarāciju pēc Valsts vides dienesta pieprasījuma, nav korekta un sašaurina regulās noteikto pienākumu un praksē var ierobežot kompetento iestāžu tiesības pieprasīt uzrādīt par precēm ražotāja vai importētāja sagatavoto atbilstības deklarāciju. Faktiski tā ir jāsniedz jebkuram uzņēmumam, kas pēc laišanas brīvā apgrozībā vai pašam saražojot, vai citā dalībvalstī iegādājoties, šīs preces piegādā, pārdod vai lieto.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 vārda "ražotāji" papildināt ar vārdiem "un uzņēmumi, kas preces laiž tirgū Savienībā", jo saskaņā ar regulās lietoto definīciju “uzņēmums” ir fiziska vai juridiska persona, kas veic kādu no šajā regulā minētajām darbībām, “laišana tirgū” ir pašu lietojumam saražotu vielu, produktu vai aprīkojuma laišana brīvā apgrozībā Savienībā ar muitas atļauju vai pirmreizēja piegāde vai pieejamības nodrošināšana citai personai Savienībā par maksu vai par brīvu, vai šādu vielu, produktu vai aprīkojuma izmantošana. Attiecīgi ir precizējama anotācija (9./10.lpp.).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Ražotāji un uzņēmumi, kas preces laiž tirgū Savienībā, iesniedz atbilstības deklarāciju Valsts vides dienestam pēc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2024/590 15. panta 4. punkts un regulas 2024/573 4. panta 6. punkts skaidri nosaka pienākumu atbilstības deklarāciju sagatavot un iesniegt ražotājiem un importētājiem. Līdz ar to noteikumu projektā nav pamata paplašināt subjektu loku, papildinot to ar vispārīgu formulējumu “uzņēmumi, kas preces laiž tirgū Savienībā”, jo tas radītu plašāku pienākumu apjomu nekā paredzēts tieši piemērojamās ES regulās. Precizēts atbilstoši Tieslietu ministrijas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Saskaņā ar regulas 2024/590 15. panta 4. punktu un regulas 2024/573 4. panta 6. punktu importētāji, vielas, produktus vai aprīkojumu laižot brīvā apgrozījumā, atbilstības deklarāciju iesniedz Valsts ieņēmumu dienestam, pievienojot to muitas deklarācijai, savukārt ražotāji atbilstības deklarāciju iesniedz Valsts vides dienestam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28.01.2026. 19:15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norādīts, ka VID kompetence paredzēta attiecībā uz prasību izpildi saistībā ar OSNV, produktu un aprīkojumu, kuri satur OSNV vai kuru darbība ir atkarīga no šādām vielām, piegādes vai pieejamības nodrošināšanas citām personām ES par maksu vai par brīvu aizliegumiem vai to atbrīvojumiem un atkāpēm, kā arī F-gāzu tostarp produktu un aprīkojuma, un to daļu, kuri satur F-gāzes vai kuru darbība ir atkarīga no šādām gāzēm, piegādes vai to pieejamības nodrošina citai personai ES, tirdzniecības kontroles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VID muitas iestāžu kompetence ir noteikta ES un nacionālajā likumdošanā un saistīta ar muitas uzraudzībā esošu preču kontroli un tās neveic tirdzniecības kontroles pasākumus iekšzemē.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svītrojami vārdi “piegādes vai pieejamības nodrošināšanas citām personām ES par maksu vai par brīvu”, un vārdi “piegādes vai to pieejamības nodrošina citai personai 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aktualizēt arī Valsts ieņēmumu dienestam (turpmāk - VID) piešķirtās kompetences, kas izriet no regulas 2024/590 tvēruma, tostarp kas attiecas uz prasību izpildi saistībā ar OSNV, produktu un aprīkojumu, kuri satur OSNV vai kuru darbība ir atkarīga no šādām vielām, eksporta un importa, aizliegumiem vai to atbrīvojumiem un atkāpēm, importa un eksporta tirdzniecības kontroles pasākumiem. Aktualizēta VID kompetence, kas izriet no regulas 2024/573 prasībām (F-gāzu tostarp produktu un aprīkojuma, un to daļu, kuri satur F-gāzes vai kuru darbība ir atkarīga no šādām gāzēm, imports, eksports, tirdzniecības kontroles pasākumi, kas attiecas uz aizliegumiem un citiem ierobežojumiem attiecībā uz importu un eksportu).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tabulu un to precizēt un papildināt. Piemēram, Eiropas Parlamenta un Padomes 2024. gada 7. februāra Regulas (ES) 2024/573 par fluorētajām siltumnīcefekta gāzēm, ar kuru groza Direktīvu (ES) 2019/1937 un atceļ Regulu (ES) Nr. 517/2014, (turpmāk - regula 2024/573) 10. panta 9. punkta trešais teikums ir ieviests projekta 38. punktā, tomēr tabulā vispār nav informācijas par minētās regulas vienības ieviešanu. Vienlaikus lūdzam arī papildināt tabulu, sniedzot skaidrojumus par regulās paredzēto dalībvalsts pienākumu (piemēram, bet ne tikai, jau minētais regulas 2024/573 10. panta 9. punkts) izpildi un rīcības brīvības (piemēram, Komisijas 2024. gada 6. septembra Īstenošanas regulas (ES) 2024/2215, ar ko atbilstīgi Eiropas Parlamenta un Padomes Regulai (ES) 2024/573 nosaka minimālās prasības sertifikātu izdošanai fiziskām un juridiskām personām un nosacījumus šādu sertifikātu savstarpējai atzīšanai attiecībā uz stacionāru dzesēšanas, gaisa kondicionēšanas un siltumsūkņu aprīkojumu, organiskajiem Renkina cikliem un kravas refrižeratorautomobiļu, refrižeratorpiekabju, vieglo refrižeratorautomobiļu, intermodālo pārvadājumu konteineru un vilcienu vagonu dzesēšanas blokiem, kas satur fluorētas siltumnīcefekta gāzes vai to alternatīvas, un atceļ Komisijas Īstenošanas regulu (ES) 2015/2067, 3. panta 1. punkts, 4. panta 3. punkts) izmantošanu un izmantošanas vai neizmantošanas apsvērumiem. Tāpat arī lūdzam pēc iespējas konkretizēt, kuras regulu normas ir ieviestas konkrētās projekta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darbībām ar ozona slāni noārdošām vielām un fluorētām siltumnīcefekta gāzēm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projektu kopumā, nodrošinot, ka tajā netiek dublētas Eiropas Savienības regulu prasības, un to atbilstoši precizēt vai sniegt pamatotu skaidrojumu par projektā ietverto normu atbilstību Eiropas Savienības tiesiskajam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projekta 11. punkts (noteikumu 11. punkts) pirmšķietami vismaz daļēji dublē Eiropas Parlamenta un Padomes 2024. gada 7. februāra Regulas (ES) 2024/590 par ozona slāni noārdošām vielām un ar ko atceļ Regulu (EK) Nr. 1005/2009 (turpmāk - regula 2024/590) 21. panta 2. punktu, projekta 15. punkts (noteikumu 13.</w:t>
            </w:r>
            <w:r w:rsidR="00000000" w:rsidRPr="00000000" w:rsidDel="00000000">
              <w:rPr>
                <w:vertAlign w:val="superscript"/>
                <w:rtl w:val="0"/>
              </w:rPr>
              <w:t xml:space="preserve">1</w:t>
            </w:r>
            <w:r w:rsidR="00000000" w:rsidRPr="00000000" w:rsidDel="00000000">
              <w:rPr>
                <w:rtl w:val="0"/>
              </w:rPr>
              <w:t xml:space="preserve"> punkts) vismaz daļēji dublē vai pat interpretē regulu prasības (sk. regulas 2024/573 4. panta 6. punktu un 11. pantu, regulas 2024/590 15. panta 4. punktu), projekta 17. punkts (noteikumu 13.</w:t>
            </w:r>
            <w:r w:rsidR="00000000" w:rsidRPr="00000000" w:rsidDel="00000000">
              <w:rPr>
                <w:vertAlign w:val="superscript"/>
                <w:rtl w:val="0"/>
              </w:rPr>
              <w:t xml:space="preserve">3</w:t>
            </w:r>
            <w:r w:rsidR="00000000" w:rsidRPr="00000000" w:rsidDel="00000000">
              <w:rPr>
                <w:rtl w:val="0"/>
              </w:rPr>
              <w:t xml:space="preserve"> punkts) vismaz daļēji dublē regulas 2024/573 7. panta 1. punktu, projekta 39. punkts (noteikumu 37.</w:t>
            </w:r>
            <w:r w:rsidR="00000000" w:rsidRPr="00000000" w:rsidDel="00000000">
              <w:rPr>
                <w:vertAlign w:val="superscript"/>
                <w:rtl w:val="0"/>
              </w:rPr>
              <w:t xml:space="preserve">1</w:t>
            </w:r>
            <w:r w:rsidR="00000000" w:rsidRPr="00000000" w:rsidDel="00000000">
              <w:rPr>
                <w:rtl w:val="0"/>
              </w:rPr>
              <w:t xml:space="preserve"> punkts) dublē regulas 2024/573 5. panta 5. punktu. Turklāt vairākos gadījumos konstatējams, ka dublēšana nav precīza, tādējādi arī nav pilnībā skaidrs, vai netiek paredzētas kādas papildu prasības, ko neparedz Eiropas Savienības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w:t>
            </w:r>
            <w:r w:rsidR="00000000" w:rsidRPr="00000000" w:rsidDel="00000000">
              <w:rPr>
                <w:u w:val="single"/>
                <w:rtl w:val="0"/>
              </w:rPr>
              <w:t xml:space="preserve">Tātad, dalībvalsts izstrādā tiesību aktus regulas piemērošanai tikai gadījumos, ja regulā ir tieši paredzēts dalībvalstij kāds konkrēts pienākums</w:t>
            </w:r>
            <w:r w:rsidR="00000000" w:rsidRPr="00000000" w:rsidDel="00000000">
              <w:rPr>
                <w:rtl w:val="0"/>
              </w:rPr>
              <w:t xml:space="preserve">, piemēram, jānosaka kompetentā vai atbildīgā iestāde, jāparedz sankcijas vai sods par regulas normu pārkāpumu vai nepildīšanu, jānosaka administratīvā procedūra regulā noteikto pasākumu īstenošanai u.tml. Vienlaikus norādām, ka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 Ja nu gadījumā projektā tiek inkorporētas regulu teksta daļas minētā iemesla dēļ, lūdzam sniegt pamatotu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pārskatīts kopumā, izvērtējot tajā ietverto normu atbilstību Eiropas Savienības tiesiskajam regulējumam. Pārskatīšanas rezultātā no projekta ir svītrotas vai precizētas normas, kuras dublēja vai interpretēja regulas 2024/590 un regulas 2024/573 prasības, lai novērstu iespējamu regulējuma neskaidrības vai risku radīt papildu prasības, kas neizriet no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izvērtēts katrs gadījums, kur projektā saglabātas atsauces vai daļēja regulu normu atspoguļošana. Šādos gadījumos normu iekļaušana ir pamatota ar nepieciešamību nodrošināt regulas efektīvu piemērošanu nacionālajā līmenī, tai skaitā nosakot kompetentās institūcijas, to funkcijas, sadarbības mehānismus un administratīvās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 ir precizēta, sniedzot skaidrojumu par projektā ietverto normu attiecību ar Eiropas Savienības regulām. Tādējādi ir nodrošināts, ka projekts nerada šķēršļus regulu tiešai piemērošanai, vienlaikus izveidojot nepieciešamo nacionālo tiesisko ietvaru to efektīvai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Prasības darbībām ar ozona slāni noārdošām vielām un fluorētām siltumnīcefekta gāzēm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atbildīgās institūcijas un to kompetenci;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Ķīmisko vielu likuma 16. panta trešajā daļā paredzēts pilnvarojums Ministru kabinetam</w:t>
            </w:r>
            <w:r w:rsidR="00000000" w:rsidRPr="00000000" w:rsidDel="00000000">
              <w:rPr>
                <w:u w:val="single"/>
                <w:rtl w:val="0"/>
              </w:rPr>
              <w:t xml:space="preserve"> ozona slāni noārdošo vielu un fluorēto siltumnīcefekta gāzu jomā</w:t>
            </w:r>
            <w:r w:rsidR="00000000" w:rsidRPr="00000000" w:rsidDel="00000000">
              <w:rPr>
                <w:rtl w:val="0"/>
              </w:rPr>
              <w:t xml:space="preserve"> noteikt: 1) atbildīgās institūcijas un to kompetenci; 2) kārtību un prasības pārskatu sniegšanai; 3) kārtību un prasības sertifikātu un licenču izsniegšanai, apturēšanai un atcelšanai; 4) sertificēto un licencēto darbību veicēju sarakstā iekļaujamo ziņu apjomu un publicēšanas kārtību; 5) sertifikātu un licenču derīguma termiņu. Attiecīgi lūdzam precizēt projekta 1. punktu un projektu kopumā, nodrošinot tā atbilstību likumā paredzētajam pilnvarojumam. Alternatīvi lūdzam anotācijā sniegt pamatotu skaidrojumu par projektā paredzēto izmaiņu, kas saistītas ar izmaiņām noteikumu 1.1. apakšpunktā un vienlaikus saistītas ar minētā pilnvarojuma izpildi, atbilstību likumā paredzētajam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Ķīmisko vielu likuma 16. panta pirmā daļa pilnvaro Ministru kabinetu noteikt īpašus ierobežojumus vai aizliegumus attiecībā uz darbībām ar atsevišķām ķīmiskajām vielām vai maisījumiem, vai citiem materiāliem, kuri satur šīs ķīmiskās vielas vai maisījumus vai ir apstrādāti ar šīm ķīmiskajām vielām vai maisījumiem. Noteikumu projekts nosaka īpašus ierobežojumus attiecībā uz darbībām ar OSNV un F-gāzēm. Vienlaikus, ņemot vērā regulas 2024/590 un regula 2024/573 stāšanos spēkā, Noteikumu Nr. 704 1.1. apakšpunkts tiek detalizēts, nosakot, ka īpašie ierobežojumi attiecas arī uz alternatīvām vielām (tostarp dabiskiem aukstumaģentiem), kā arī uz produktiem, aprīkojumu un to daļām, kas satur šīs vielas vai kuru darbība ir atkarīga no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ar alternatīvajām vielām saprot vielas, kas tiek izmantotas OSNV vai F-gāzu aizstāšanai, tostarp dabiskos aukstumaģentus (piemēram, oglekļa dioksīdu (CO₂), amonjaku (NH₃) un ogļūdeņražus). Tādējādi projekts konkretizē regulējuma tvērumu atbilstoši ES prasībām, nemainot deleģējuma būtību.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atbildīgās institūcijas un to kompetenci;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augu aizsardzības dienests kontrolē regulas 2024/590 10. pantā un regulas 2024/573 4. panta 2. punktā noteikto prasību izpildi. Ja saskaņā ar regulas 2024/590 10. pantu metilbromīds tiek laists tirgū, Valsts augu aizsardzības dienests triju mēnešu laikā pēc darbībām ar metilbromīdu iesniedz Klimata un enerģētikas ministrijā pārskatu par veiktajiem kontroles pasākumiem un to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- 12.02.2026.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Valsts augu aizsardzības dienests ir kompetentā iestāde un kontrolē punktā noteikto regulu izpildi tikai attiecībā uz augu aizsardzības līdzekļiem saskaņā ar Eiropas Parlamenta un Padomes Regulu (EK) Nr. 1107/2009 par augu aizsardzības līdzekļu laišanu tirgū. Dienests neveic metilbromīda un sulfurilfluorīda laišanas tirgū un lietošanas uzraudzību, ja atļauja izsniegta saskaņā ar Eiropas Parlamenta un Padomes Regulu (ES) Nr. 528/2012 par biocīdu piedāvāšanu tirgū un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augu aizsardzības dienests kontrolē regulas 2024/590 10. pantā un regulas 2024/573 4. panta 2. punktā noteikto prasību izpildi attiecībā uz augu aizsardzības līdzekļiem saskaņā ar Eiropas Parlamenta un Padomes Regulu (EK) Nr. 1107/2009 par augu aizsardzības līdzekļu laišanu tirgū. Ja saskaņā ar regulas 2024/590 10. pantu metilbromīds tiek laists tirgū kā augu aizsardzības līdzeklis, Valsts augu aizsardzības dienests triju mēnešu laikā pēc darbībām ar metilbromīdu iesniedz Klimata un enerģētikas ministrijā pārskatu par veiktajiem kontroles pasākumiem un to rezultātiem.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ieņēmumu dienests atbilstoši kompetencei kontrolē regulas 2024/590 4. panta 1. un 2. punktā, 5. panta 1. un 2. punktā, 6. panta 1. punktā, 7. panta 1. punktā, 8. panta 1. punktā, 9. panta 1. punktā, 11. panta 1. punktā, 13. pantā, 14. panta 1. un 3. punktā, 15. panta 1., 2., 3., 4. un 6. punktā, 16. panta 4. punktā un 7. punktā, 17. pantā, 19. panta 1. un 4. punktā un regulas 2024/573 4. panta 6. punktā, 11. panta 1., 3., 4. un 8. punktā, 16. panta 1., 2., un 6. punktā, 19. panta 1. punktā, 22. panta 1., 3., un 5. punkts, 23. pantā, 25. panta 1. un 4. punktā, un šo noteikumu </w:t>
            </w:r>
            <w:r w:rsidR="00000000" w:rsidRPr="00000000" w:rsidDel="00000000">
              <w:rPr>
                <w:rtl w:val="0"/>
              </w:rPr>
              <w:t xml:space="preserve">2.12.</w:t>
            </w:r>
            <w:r w:rsidR="00000000" w:rsidRPr="00000000" w:rsidDel="00000000">
              <w:rPr>
                <w:rtl w:val="0"/>
              </w:rPr>
              <w:t xml:space="preserve"> apakšpunktā minētās regulas 1. pantā noteikto prasību izpildi, bet Eiropas Parlamenta un Padomes 2019. gada 20. jūnija Regulas (ES) 2019/1020 par tirgus uzraudzību un produktu atbilstību, un ar ko groza Direktīvu </w:t>
            </w:r>
            <w:r w:rsidR="00000000" w:rsidRPr="00000000" w:rsidDel="00000000">
              <w:rPr>
                <w:rtl w:val="0"/>
              </w:rPr>
              <w:t xml:space="preserve">2004/42/EK</w:t>
            </w:r>
            <w:r w:rsidR="00000000" w:rsidRPr="00000000" w:rsidDel="00000000">
              <w:rPr>
                <w:rtl w:val="0"/>
              </w:rPr>
              <w:t xml:space="preserve"> un Regulas (EK) Nr. 765/2008 un (ES) Nr. 305/2011, 26. panta 1. punktā minētajos gadījumos nosaka turpmāko rīcību ar precēm atbilstoši atzinumam, ko sniedz atbildīgā iestāde, kura veic tirgus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2024/590 3.pantā ir ietvertas regulā lietoto jēdzienu definīcijas, proti, 3. un 4. punktā ir noteikts, kas saprotams ar importu un eksportu, savukārt 5.punkts noteic, ka “laišana tirgū” ir pašu lietojumam saražotu vielu, produktu vai aprīkojuma laišana brīvā apgrozībā Savienībā ar muitas atļauju vai pirmreizēja piegāde vai pieejamības nodrošināšana citai personai Savienībā par maksu vai par brīvu, vai šādu vielu, produktu vai aprīkojuma izmantošana. Tādas pat definīcijas satur Regulas 2024/573 3.panta 6., 7. un 8.punkts.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Abās regulās lietoto jēdzienu definīcijas skaidro, ka laišana tirgū nav tikai laišana brīvā apgrozībā, bet arī pirmreizēja piegāde vai pieejamības nodrošināšana citai personai Savienībā par maksu vai par brīvu, vai šādu vielu, produktu vai aprīkojuma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(turpmāk - VID) kompetencē neietilpst preču, kas ir laistas brīvā apgrozībā, uzraudzība. Ņemot vērā, ka regulas 2024/590 3.panta 3) un 5) punkta un regulas 2024/573 3. panta 6) un 7) punkta definīcijas “laišana tirgū” ietver laišanu brīvā apgrozībā, bet ir plašāka par muitas procedūru izpildi, jo ietver arī pieejamības nodrošināšanu citai personai Savienībā par maksu vai par brīvu, vai šādu vielu, produktu vai aprīkojuma izmantošanu, konstatējams, ka šādu darbību uzraudzība nav muitas iestādes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Vairākos pantos minētajās regulās, kas noteikumu projektā “Grozījumi Ministru kabineta 2021.gada 19.oktobra noteikumos Nr. 704 "Prasības darbībām ar ozona slāni noārdošām vielām un fluorētām siltumnīcefekta gāzēm” (turpmāk – noteikumu projekts) noteiktas tikai VID kompetencē, ir paredzēti kompetentās tirgus uzraudzības iestādes pienākumi, tostarp importēšanas un eksportēšanas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Ministru kabineta noteikumos Nr.704 "Prasības darbībām ar ozona slāni noārdošām vielām un fluorētām siltumnīcefekta gāzēm”, ne noteikumu projektā attiecībā uz regulas 2024/590 17.pantu un 2024/573 25.pantu nav noteikta atbildīgā tirgus uzraudzības iestāde, no kuras muitas iestādēm iegūt atzinumu par preču atbilstību minēto regulu nosacījumiem kā no tirgus uzraudzības iestādes regulas 2019/1020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3., 6., un 7. punktā nevienai no atbildīgajām iestādēm nav noteikta funkcija pildīt kompetentās tirgus uzraudzības iestādes funkcijas regulas 2019/1020 izpratnē, VID ieskatā projekts ir papildināms, jo bez kompetentās tirgus uzraudzības iestādes noteikšanas, tirgus uzraudzības mehānisms nestrādās pilnvērtīgi.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atsevišķi noteikumu projekta 5.punktā minētie regulu panti satur atsauces uz izņēmumu piemērošanu, taču šādu izņēmuma piemērošanai būtu jānotiek tikai saziņā ar kompetento iestādi/ atbildīgo institūciju, jo izņēmumu piemērošanas iespējamības izvērtēšana nav muitas amatpersonu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lūdzam noteikumu projekta 5. punktā svītrot  atsauci uz regulas 2024/590  4.panta 1.punktu (ražošanas, laišanas tirgū, piegādes vai pieejamības aizlieguma kontrole neietilpst VID kompetencē), 5.panta 1.punktu (laišanas tirgū, piegādes vai pieejamības aizlieguma kontrole neietilpst VID kompetencē), 6.panta 1.punktu (ražošana, laišana tirgū un piegāde vai pieejamības atļauja neietilpst VID kompetencē), 7.panta 1.punktu,  8.panta 1.punktu, 9.panta 1.punktu, 11.panta 1.punktu (nepieciešams tirgus uzraudzības iestādes pienākums, jo ietver pasākumu “laist tirgū”, kas neietilpst VID kompetencē), 15.panta 6.punktu (par precēm, kas nav muitas uzraudzībā, VID muitas iestādei nav kompetences veikt uzraudzību). Tāpat lūdzam svītrot atsauci uz regulas 2024/573 11.panta 8.punktu (laišana tirgū neietilpt VID kompetencē), 22.panta 5.punktu (atbildīgās iestādes kompetencē (tirgus uzraudzības iestādei regulas 2019/1020 izpratnē), t.sk. uzraugot importētājus pēc laišanas brīvā apgrozībā. Muitas amatpersonām nav tik specifisku zināšanu šajā jomā). Savukārt attiecībā uz VID kompetenci regulas 2024/590 19.panta 1.un 4.punkta, regulas 2024/573 25.panta 1. un 4.punkta piemērošanā nepieciešams papildināt ar vārdiem “ja saņemta atbildīgās institūcijas informācija par aizlieguma būtību un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VID kompetenci ar regulas 2024/573 19.panta 2.punktu, papildinot VID kompetenci attiecībā uz atbilstības deklarācijas nepieciešamību, laižot preces brīvā apgrozībā (līdzīgi kā 4.panta 6.punktā).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 Papildināta anotācija, paredzot, ka noteikumu projekts nodrošina sadarbību ar tirgus uzraudzības iestādēm OSNV un F-gāzu kontroles 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tirgus uzraudzības iestādēm projekta izpratnē saprotamas iestādes, kas noteiktas regulas 2019/1020 3. panta 4. punktā. Atbilstoši kompetencei atzinumus VID par produktiem (izstrādājumiem) un aprīkojumu sniedz PTAC, savukārt par produktiem (vielām un maisījumiem) tirdzniecībā – VI. Minētās tirgus uzraudzības iestādes atzinumus sniedz regulas 2019/1020 26. panta 1. punktā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Valsts ieņēmumu dienests atbilstoši kompetencei kontrolē regulas 2024/590 4. panta 2. punktā, 5. panta 2. punktā, 13. pantā, 14. panta 1. un 3. punktā, 15. panta 1., 2., 3. un 4. punktā, 16. panta 4. punktā un 7. punktā, 17. pantā, 19. panta 1. un 4. punktā un regulas 2024/573 4. panta 6. punktā, 11. panta 1., 3. un 4. punktā, 16. panta 1., 2., un 6. punktā, 19. panta 1. un 2. punktā, 22. panta 1. un 3. punktā, 23. pantā, 25. panta 1. un 4. punktā, un šo noteikumu </w:t>
            </w:r>
            <w:r w:rsidR="00000000" w:rsidRPr="00000000" w:rsidDel="00000000">
              <w:rPr>
                <w:rtl w:val="0"/>
              </w:rPr>
              <w:t xml:space="preserve">2.12.</w:t>
            </w:r>
            <w:r w:rsidR="00000000" w:rsidRPr="00000000" w:rsidDel="00000000">
              <w:rPr>
                <w:rtl w:val="0"/>
              </w:rPr>
              <w:t xml:space="preserve"> apakšpunktā minētās regulas 1. pantā noteikto prasību izpildi, bet Eiropas Parlamenta un Padomes 2019. gada 20. jūnija Regulas (ES) 2019/1020 par tirgus uzraudzību un produktu atbilstību, un ar ko groza Direktīvu </w:t>
            </w:r>
            <w:r w:rsidR="00000000" w:rsidRPr="00000000" w:rsidDel="00000000">
              <w:rPr>
                <w:rtl w:val="0"/>
              </w:rPr>
              <w:t xml:space="preserve">2004/42/EK</w:t>
            </w:r>
            <w:r w:rsidR="00000000" w:rsidRPr="00000000" w:rsidDel="00000000">
              <w:rPr>
                <w:rtl w:val="0"/>
              </w:rPr>
              <w:t xml:space="preserve"> un Regulas (EK) Nr. 765/2008 un (ES) Nr. 305/2011, 26. panta 1. punktā minētajos gadījumos nosaka turpmāko rīcību ar precēm atbilstoši atzinumam, ko sniedz atbildīgā institūcija, kura veic tirgus uzraudzību. Regulas 2024/590 19. panta 1. un 4. punkts un regulas 2024/573 25. panta 1. un 4. punkts piemērojami, ja no atbildīgajām institūcijām ir saņemta informācija par aizlieguma būtību un izmaiņām.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Juridiska vai fiziska persona, kas veic ozona slāni noārdošo vielu, fluorētu siltumnīcefekta gāzu vai attiecīgo alternatīvu vielu, tostarp attiecīgā gadījumā dabiskos aukstumaģentus, saturoša aprīkojuma uzstādīšanu, apkopi un apkalpi, remontu vai demontāžu, saskaņā ar regulas 2024/590 21. panta 3. un 6. punktu un regulas 2024/573 4. panta 7. punktu saņem speciālu atļauju (licenci) darbībām ar ozona slāni noārdošām vielām vai fluorētām siltumnīcefekta gāzēm (turpmāk – licence) atbilstoši šo noteikumu 4. pielikumam. Dienests elektroniskā dokumenta formā izsniedz licenci darbībām ar ozona slāni noārdošām vielām, fluorētām siltumnīcefekta gāzēm vai attiecīgām fluorēto siltumnīcefekta gāzu alternatīvām, tostarp dabiskiem aukstumaģentiem, kā arī produktiem, aprīkojumu un to daļām, kas satur šīs vielas vai gāzes vai kuru darbība ir atkarīga no tām, saskaņā ar šo noteikumu 2.5. un 2.10. apakšpunktā minētajām regulām.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2024/590 un Regulas 2024/573 definīcijas paredz, ka laišana tirgū nav tikai laišana brīvā apgrozībā, bet arī pirmreizēja piegāde vai pieejamības nodrošināšana citai personai Savienībā par maksu vai par brīvu, vai šādu vielu, produktu vai aprīkojuma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13.pants paredz atsauci uz vairākiem Regulas 2024/590 un Regulas 2024/573 pantiem, kas  iekļauj visu laišanu tirgū un tāpēc VID nav vienīgā iestāde, kam iesniedzama atbilstības deklarācija. Kontroles ietvaros tā var būt jebkura cita “atbildīgā iestāde”, kas veic pārbaudi, piemēram attiecībā uz ES tirgū esošiem produktiem, kas vairs nav muitas iestāžu uzraudzībā. Projekts papildināms ar “vai citai atbildīgajai iestādei, kas īsteno kontroles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attiecas uz Noteikumu Nr. 704 13.</w:t>
            </w:r>
            <w:r w:rsidR="00000000" w:rsidRPr="00000000" w:rsidDel="00000000">
              <w:rPr>
                <w:vertAlign w:val="superscript"/>
                <w:rtl w:val="0"/>
              </w:rPr>
              <w:t xml:space="preserve">1</w:t>
            </w:r>
            <w:r w:rsidR="00000000" w:rsidRPr="00000000" w:rsidDel="00000000">
              <w:rPr>
                <w:rtl w:val="0"/>
              </w:rPr>
              <w:t xml:space="preserve"> punktu. Piedāvāta jauna redakcija "</w:t>
            </w:r>
            <w:r w:rsidR="00000000" w:rsidRPr="00000000" w:rsidDel="00000000">
              <w:rPr>
                <w:i w:val="1"/>
                <w:rtl w:val="0"/>
              </w:rPr>
              <w:t xml:space="preserve">Ozona slāni noārdošās vielas un fluorētas siltumnīcefekta gāzes ir atļauts laist tirgū tikai tad, ja ražotāji vai importētāji ir sagatavojuši atbilstības deklarāciju par trifluormetānu saskaņā ar regulas 2024/590 15. panta 4. punktu un regulas 2024/573 4. panta 6. punktu. Importētāji, preces laižot brīvam apgrozījumam, atbilstības deklarāciju pievieno muitas deklarācijai. Ražotāji iesniedz atbilstības deklarāciju Valsts vides dienestam pēc pieprasījuma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Juridiska vai fiziska persona, kas veic darbības ar ozona slāni noārdošām vielām, fluorētām siltumnīcefekta gāzēm vai attiecīgām alternatīvām vielām, tostarp attiecīgā gadījumā dabiskajiem aukstumaģentiem, kā arī produktiem, aprīkojumu un to daļām, kas satur šīs vielas vai gāzes vai kuru darbība ir atkarīga no tām, saskaņā ar regulas 2024/590 21. panta 3. un 6. punktu un regulas 2024/573 4. panta 7. punktu saņem speciālu atļauju (turpmāk – licence) atbilstoši šo noteikumu 4. pielikumam. Licenci saskaņā ar šo noteikumu 2.5. un 2.10. apakšpunktā minētajām regulām elektroniska dokumenta formā izsniedz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Atbilstības novērtēšanas institūcija publicē un uztur sertificēto personu sarakstu savā tīmekļvietnē, norādot fiziskas personas vārdu, uzvārdu, sertifikāta veidu un numuru, kā arī derīguma termiņu, ievērojot Eiropas Parlamenta un Padomes 2016. gada 27. aprīļa Regulas (ES) 2016/679 par fizisku personu aizsardzību attiecībā uz personas datu apstrādi un šādu datu brīvu apriti un ar ko atceļ Direktīvu </w:t>
            </w:r>
            <w:r w:rsidR="00000000" w:rsidRPr="00000000" w:rsidDel="00000000">
              <w:rPr>
                <w:rtl w:val="0"/>
              </w:rPr>
              <w:t xml:space="preserve">95/46/EK</w:t>
            </w:r>
            <w:r w:rsidR="00000000" w:rsidRPr="00000000" w:rsidDel="00000000">
              <w:rPr>
                <w:rtl w:val="0"/>
              </w:rPr>
              <w:t xml:space="preserve"> prasības. Atbilstības novērtēšanas institūcija atjauno sertificēto personu sarakstu divu darbdienu laikā no sertifikāta piešķiršanas, apturēšanas, atjaunošanas vai atcelšanas brīža un informē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detalizētāk aprakstīt, kādam mērķim nepieciešams apstrādāt attiecīgos personas datu veidus - vārdu, uzvārdu, sertifikāta veidu un numuru, kā arī derīguma termiņu. Netiek apšaubīts, ka projektā minētā informācija ir nepieciešama attiecīgu funkciju veikšanai, taču, lai būtu izprotams attiecīgās informācijas (tostarp personas datu) apstrādes tiesiskais pamats, tas būtu attiecīgi paskaidrojams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precizēt projektu kopumā, nosakot, cik ilgi tiek publicēta informācija par sertificēto personu, kādā termiņā šie dati tiek dzēsti, anotācijā sniedzot pamatojumu izvēlētajam informācijas glabāšanas termiņam. Atbilstoši Datu regulas 5. panta 1. punkta "e" apakšpunktā ietvertajam glabāšanas ierobežojuma principam, personas datus glabā tikai tik ilgi, kamēr tie ir nepieciešami nolūkiem, kuros to apstrādā. Papildus norādāms, ka Datu regulā nav noteikti konkrēti termiņi datu glabāšanai, tomēr šie termiņi ir saistīti ar pārziņa datu apstrādes nolūkiem un to sasniegšanai nepieciešamo datu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novērstu tādu tiesību normu ietveršanu projektā, kas jau ir noteiktas Datu regulā, lūdzam pārskatīt projekta saturu, aktualitāti un atbilstību spēkā esošajiem tiesību aktiem un atbilstoši precizēt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projekts satur tiesību normas, kas dublē Datu regulas nosacījumus, proti, pārzinim Datu regulas prasības ir jāievēro neatkarīgi no tā, vai tas papildu tiek noteikts speciālajā normatīvajā aktā, jo to jau paredz Datu regula.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 svītrojot atsauci uz Vispārīgo datu aizsardzības regulu, lai novērstu regulējuma dublēšanos, kā arī nosakot skaidru kārtību attiecībā uz sertificēto personu saraksta publicēšanas termiņu un personas datu glabāšanas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anotācijā, kur sniegts detalizēts skaidrojums par personas datu apstrādes nolūkiem un nepieciešamību apstrādāt konkrētus personas datus (vārdu, uzvārdu, sertifikāta veidu, numuru un derīguma termiņu), pamatojot to ar sabiedrības informēšanas nodrošināšanu, sertificēto personu identificējamību, pārbaudāmību un uzraudzības funkciju izpildi. Tāpat anotācijā precizēts personas datu glabāšanas termiņš un tā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Atbilstības novērtēšanas institūcija publicē un uztur sertificēto personu sarakstu savā tīmekļvietnē, norādot fiziskas personas vārdu, uzvārdu, sertifikāta veidu un numuru, kā arī derīguma termiņu. Atbilstības novērtēšanas institūcija atjauno sertificēto personu sarakstu ne retāk kā reizi mēnesī. Informāciju par sertificēto personu publicē sertifikāta derīguma termiņa laikā. Pēc sertifikāta derīguma termiņa beigām informāciju glabā piecus gadus, pēc tam to dzēš.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Atbilstības novērtēšanas institūcija nosaka sertifikācijas un apmācības programmu pārbaudes saturu, kārtību, praktiskās pieredzes, apmācības un prasmju pilnveides pasākumu tēmas un apjomu atbilstoši regulas 2024/590 21. panta 6. punkta un regulas 2024/573 10. panta 5. punkta prasībām, kā arī nepieciešamās to atzīšanas procedūras saskaņā ar regulas 2024/573 10. panta 10.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2024/573 10. panta 10. punkts paredz, ka: "</w:t>
            </w:r>
            <w:r w:rsidR="00000000" w:rsidRPr="00000000" w:rsidDel="00000000">
              <w:rPr>
                <w:i w:val="1"/>
                <w:rtl w:val="0"/>
              </w:rPr>
              <w:t xml:space="preserve">Dalībvalstis 1 gada laikā pēc 8. punktā minētā īstenošanas akta stāšanās spēkā paziņo Komisijai savas sertifikācijas un apmācības programmas. </w:t>
            </w:r>
            <w:r w:rsidR="00000000" w:rsidRPr="00000000" w:rsidDel="00000000">
              <w:rPr>
                <w:i w:val="1"/>
                <w:u w:val="single"/>
                <w:rtl w:val="0"/>
              </w:rPr>
              <w:t xml:space="preserve">Dalībvalstis atzīst sertifikātus un apmācības apliecības, kas saskaņā ar šo pantu ir izsniegtas citā dalībvalstī. Tās neierobežo pakalpojumu sniegšanas brīvību vai iedibināšanas brīvību, ja sertifikāts ticis izdots citā dalībvalstī</w:t>
            </w:r>
            <w:r w:rsidR="00000000" w:rsidRPr="00000000" w:rsidDel="00000000">
              <w:rPr>
                <w:rtl w:val="0"/>
              </w:rPr>
              <w:t xml:space="preserve">." Lūdzam konkretizēt, kā (kādu dokumentu) atzīšanas procedūras atbilstības novērtēšanas institūcija nosaka. Lūdzam arī izvērstāk skaidrot anotācijā, par kādām atzīšanas procedūrām ir runa, kādēļ tās nosaka tieši atbilstības novērtēšanas institūcija, kā arī kādas nacionālās normas saistībā ar sertifikātu un apmācību apliecību atzīšanu paredzētas projektā un kādēļ tās ir nepieciešamas regulas normas pilnīgai ieviešanai. Vēršam uzmanību, ka anotācijā ir nepieciešams skaidrot, kādas nacionālās normas un kādēļ ir paredzētas regulas ieviešanai. Vienlaikus lūdzam skaidrot, kuru pilnvarojuma daļu norma izpilda kontekstā ar dokumentu atzīšanu.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Pamatojoties uz fiziskas personas iesniegumu, atbilstības novērtēšanas institūcija piecu darbdienu laikā no iesnieguma saņemšanas dienas pieņem lēmumu par atļauju personai kārtot eksāmenu. Pieņemot lēmumu, atbilstības novērtēšanas institūcija nosaka eksāmena kārtošanas vietu un laiku turpmāko desmit darbdienu laikā. Eksāmenu atļauj kārtot, ja iesnieguma iesniedzējs pēdējo piecu gadu laikā ir apguvis vismaz vienu no šādām apmācībām programmām: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64. panta pirmā daļa noteic, ka, ja administratīvā lieta ierosināta uz iesnieguma pamata, iestāde </w:t>
            </w:r>
            <w:r w:rsidR="00000000" w:rsidRPr="00000000" w:rsidDel="00000000">
              <w:rPr>
                <w:u w:val="single"/>
                <w:rtl w:val="0"/>
              </w:rPr>
              <w:t xml:space="preserve">pieņem lēmumu par administratīvā akta izdošanu viena mēneša laikā no iesnieguma saņemšanas dienas</w:t>
            </w:r>
            <w:r w:rsidR="00000000" w:rsidRPr="00000000" w:rsidDel="00000000">
              <w:rPr>
                <w:rtl w:val="0"/>
              </w:rPr>
              <w:t xml:space="preserve">, ja likumā nav noteikts cits termiņš vai citā normatīvajā aktā — īsāks termiņš administratīvā akta izdošanai.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 projektā paredzētā noteikumu 19. un 20. punktā ietvertā regulējuma viennozīmīgi neizriet, ka attiecīgais lēmums tiek pieņemts Administratīvā procesa likuma 64. panta pirmajā daļā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19. un 20. punktā ietverto regulējumu un nepieciešamības gadījumā precizēt to, kā arī papildināt anotācijas 1.3. apakšsadaļu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Papildus skaidrojam, ka Noteikumu Nr. 704 19. un 20. punktā ir noteikti konkrēti termiņi, kādos atbilstības novērtēšanas institūcija pieņem attiecīgos lēmumus, proti, piecu darbdienu laikā no iesnieguma saņemšanas dienas tiek pieņemts lēmums par atļauju personai kārtot eksāmenu, savukārt piecu darbdienu laikā no eksāmena kārtošanas dienas tiek pieņemts lēmums par sertifikāta piešķiršanu vai atteikumu piešķirt sertifikātu. Atbilstoši Administratīvā procesa likuma 64. panta pirmajai daļai iestāde pieņem lēmumu par administratīvā akta izdošanu viena mēneša laikā no iesnieguma saņemšanas dienas, ja likumā nav noteikts cits termiņš vai citā normatīvajā aktā nav noteikts īsāks termiņš administratīvā akta izdošanai. Līdz ar to minētā tiesību norma pieļauj speciālajā normatīvajā regulējumā noteikt atšķirīgu, tostarp īsāku, termiņu lēmuma pieņemšanai. Ņemot vērā minēto, Noteikumu projektā paredzētie termiņi ir uzskatāmi par speciālo regulējumu attiecībā pret Administratīvā procesa likuma vispārējo regulējumu un nodrošina skaidru un nepārprotamu lēmumu pieņemšanas kārtību, vienlaikus veicinot operatīvu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Pamatojoties uz fiziskas personas iesniegumu, atbilstības novērtēšanas institūcija piecu darbdienu laikā no iesnieguma saņemšanas dienas pieņem lēmumu par atļauju personai kārtot eksāmenu. Pieņemot lēmumu, atbilstības novērtēšanas institūcija nosaka eksāmena kārtošanas vietu un laiku turpmāko septiņu darbdienu laikā. Eksāmenu atļauj kārtot, ja iesnieguma iesniedzējs pēdējo piecu gadu laikā ir apguvis vismaz vienu no šādām apmācībām programmām: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paredzētajām darbībām nepieciešamā profesionālā izglītības programma aukstumapgādes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kādēļ svītroti vārdi "vai akadēmiskā", jo pašreiz skaidrojums nav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jaunā redakcijā, atjaunojot vārdus “vai akadēmiskā” un precizējot prasības attiecībā uz nepieciešamo zināšanu un prasmju apguvi.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paredzētajai darbībai nepieciešamo profesionālās vai akadēmiskās izglītības programmu aukstumapgādes jomā, kas nodrošina attiecīgo darbību veikšanai nepieciešamo zināšanu un prasmju apguvi darbībām, kuras veicamas saskaņā ar regulu 2024/573 un regulu 2024/590;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Fiziska persona, lai pagarinātu sertifikāta derīguma termiņu, kārto šo noteikumu 19. punktā minēto eksāmenu vai saņem sertifikātu, kārtojot atestācijas pārbaudi, ja ir izpildīti šādi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pamatot, ne tikai citēt paredzēto regulējumu anotācijā, skaidrojot pēc būtības, kādēļ noteiktas tieši šādas prasības sertifikāta derīguma termiņa pagarināšanai, tostarp skaidrojot, kas ir atestācijas pārbaude un kā tā atšķiras no eksāmena kārtošanas, kā arī vai abos gadījumos ir nepieciešams izpildīt 22. punkta apakšpunktos paredzētos nosacījumus (piemēram, jākārto gan eksāmens vai atestācijas pārbaude un jāsniedz apliecinājums par apgūtiem prasmju pilnveides kursiem).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skaidrojot, ka eksāmens ir pilna apjoma zināšanu pārbaude, bet novērtēšanas process ir vienkāršots risinājums pieredzējušām personām, kuras apliecina profesionālo pieredzi un prasmju pilnveidi. Šāda pieeja nodrošina kompetences uzturēšanu un samērīgumu.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Fiziska persona, lai pagarinātu sertifikāta derīguma termiņu, kārto šo noteikumu 19. punktā minēto eksāmenu vai iziet novērtēšanas procesu. Novērtēšanas procesu piemēro sertifikāta derīguma termiņa pagarināšanai, ja ir izpildīti šādi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sertifikāta atcelšanu, ja ir saņemts šo noteikumu 24. punktā minētais priekšlikums.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paredzētajā noteikumu 24. punktā nav minēts priekšlikums, lūdzam precizēt projektā paredzēto noteikumu 25.6.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sertifikāta atcelšanu, ja ir saņemta šo noteikumu 24. punktā minētā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Iesniegumu licences saņemšanai darbībām ar ozona slāni noārdošām vielām, fluorētām siltumnīcefekta gāzēm vai attiecīgām fluorēto siltumnīcefekta gāzu alternatīvām, tostarp dabiskiem aukstumaģentiem, kā arī produktiem, aprīkojumu un to daļām, kas satur šīs vielas vai gāzes vai kuru darbība ir atkarīga no tām, fiziska vai juridiska persona iesniedz dienesta informācijas sistēmā,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Ķīmisko vielu likuma 16. panta ceturtā daļa noteic, ka darbību veicējs </w:t>
            </w:r>
            <w:r w:rsidR="00000000" w:rsidRPr="00000000" w:rsidDel="00000000">
              <w:rPr>
                <w:u w:val="single"/>
                <w:rtl w:val="0"/>
              </w:rPr>
              <w:t xml:space="preserve">iesniegumu licences saņemšanai darbībām ar ozona slāni noārdošām vielām un fluorētām siltumnīcefekta gāzēm iesniedz elektroniski Valsts vides dienesta informācijas sistēmā, izmantojot speciālu tiešsaistes formu, ja ir elektroniski identificējies ar Valsts reģionālās attīstības aģentūras pārziņā esošu personas identifikācijas koplietošanas moduli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atbilstoši Ministru kabineta 2009. gada 3. februāra noteikumu Nr. 108 "Normatīvo aktu projektu sagatavošanas noteikumi" 3.2. apakšpunktā noteiktajam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 lūdzam precizēt projektā paredzētajā noteikumu 29. punkta ievaddaļā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 Ievērojot Ķīmisko vielu likums 16. panta ceturto daļu svītrota detalizēta iesniegšanas kārtība, saglabājot tikai atsauci uz iesniegšanu dienestā.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Iesniegumu licences saņemšanai darbībām ar ozona slāni noārdošām vielām, fluorētām siltumnīcefekta gāzēm vai attiecīgām fluorēto siltumnīcefekta gāzu alternatīvām, tostarp dabiskiem aukstumaģentiem, kā arī produktiem, aprīkojumu un to daļām, kas satur šīs vielas vai gāzes vai kuru darbība ir atkarīga no tām, fiziska vai juridiska persona iesniedz dienestā, norādot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w:t>
            </w:r>
            <w:r w:rsidR="00000000" w:rsidRPr="00000000" w:rsidDel="00000000">
              <w:rPr>
                <w:vertAlign w:val="superscript"/>
                <w:rtl w:val="0"/>
              </w:rPr>
              <w:t xml:space="preserve">1</w:t>
            </w:r>
            <w:r w:rsidR="00000000" w:rsidRPr="00000000" w:rsidDel="00000000">
              <w:rPr>
                <w:rtl w:val="0"/>
              </w:rPr>
              <w:t xml:space="preserve"> iesnieguma licences saņemšanai noraidīšanu;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paredzētajā noteikumu 33.2.</w:t>
            </w:r>
            <w:r w:rsidR="00000000" w:rsidRPr="00000000" w:rsidDel="00000000">
              <w:rPr>
                <w:vertAlign w:val="superscript"/>
                <w:rtl w:val="0"/>
              </w:rPr>
              <w:t xml:space="preserve">1</w:t>
            </w:r>
            <w:r w:rsidR="00000000" w:rsidRPr="00000000" w:rsidDel="00000000">
              <w:rPr>
                <w:rtl w:val="0"/>
              </w:rPr>
              <w:t xml:space="preserve"> apakšpunktā minēts l</w:t>
            </w:r>
            <w:r w:rsidR="00000000" w:rsidRPr="00000000" w:rsidDel="00000000">
              <w:rPr>
                <w:u w:val="single"/>
                <w:rtl w:val="0"/>
              </w:rPr>
              <w:t xml:space="preserve">ēmums par iesnieguma licences saņemšanai noraidīšanu</w:t>
            </w:r>
            <w:r w:rsidR="00000000" w:rsidRPr="00000000" w:rsidDel="00000000">
              <w:rPr>
                <w:rtl w:val="0"/>
              </w:rPr>
              <w:t xml:space="preserve"> un noteikumu 33.2.</w:t>
            </w:r>
            <w:r w:rsidR="00000000" w:rsidRPr="00000000" w:rsidDel="00000000">
              <w:rPr>
                <w:vertAlign w:val="superscript"/>
                <w:rtl w:val="0"/>
              </w:rPr>
              <w:t xml:space="preserve">2</w:t>
            </w:r>
            <w:r w:rsidR="00000000" w:rsidRPr="00000000" w:rsidDel="00000000">
              <w:rPr>
                <w:rtl w:val="0"/>
              </w:rPr>
              <w:t xml:space="preserve"> apakšpunktā minēts </w:t>
            </w:r>
            <w:r w:rsidR="00000000" w:rsidRPr="00000000" w:rsidDel="00000000">
              <w:rPr>
                <w:u w:val="single"/>
                <w:rtl w:val="0"/>
              </w:rPr>
              <w:t xml:space="preserve">lēmums par iesnieguma licences grozījumiem noraidīšanu</w:t>
            </w:r>
            <w:r w:rsidR="00000000" w:rsidRPr="00000000" w:rsidDel="00000000">
              <w:rPr>
                <w:rtl w:val="0"/>
              </w:rPr>
              <w:t xml:space="preserve">, kā arī noteikumu 34. punktā minēts, ka </w:t>
            </w:r>
            <w:r w:rsidR="00000000" w:rsidRPr="00000000" w:rsidDel="00000000">
              <w:rPr>
                <w:u w:val="single"/>
                <w:rtl w:val="0"/>
              </w:rPr>
              <w:t xml:space="preserve">iesniegumu noraida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w:t>
            </w:r>
            <w:r w:rsidR="00000000" w:rsidRPr="00000000" w:rsidDel="00000000">
              <w:rPr>
                <w:u w:val="single"/>
                <w:rtl w:val="0"/>
              </w:rPr>
              <w:t xml:space="preserve">projekts paredz iespēju iesnieguma licences saņemšanai noraidīšanai un iesnieguma licences grozījumiem noraidīšanai. Iesnieguma noraidīšana piemērojama gadījumos, kad iesniegums nav noformēts atbilstoši normatīvo aktu prasībām vai nav iesniegta visa nepieciešamā informācija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56. panta 1.</w:t>
            </w:r>
            <w:r w:rsidR="00000000" w:rsidRPr="00000000" w:rsidDel="00000000">
              <w:rPr>
                <w:vertAlign w:val="superscript"/>
                <w:rtl w:val="0"/>
              </w:rPr>
              <w:t xml:space="preserve">1</w:t>
            </w:r>
            <w:r w:rsidR="00000000" w:rsidRPr="00000000" w:rsidDel="00000000">
              <w:rPr>
                <w:rtl w:val="0"/>
              </w:rPr>
              <w:t xml:space="preserve"> daļa noteic, ka, </w:t>
            </w:r>
            <w:r w:rsidR="00000000" w:rsidRPr="00000000" w:rsidDel="00000000">
              <w:rPr>
                <w:u w:val="single"/>
                <w:rtl w:val="0"/>
              </w:rPr>
              <w:t xml:space="preserve">ja iesniegums nav parakstīts, ir iesniegts, neievērojot Valsts valodas likuma prasības, vai tam nav pievienoti pilnvarojumu apliecinoši dokumenti, iestāde iesniegumu atstāj bez virzības un nosaka iesniedzējam saprātīgu termiņu tās norādīto trūkumu novēršanai. Ja iestādes norādītie trūkumi noteiktajā termiņā netiek novērsti, iestāde iesniegumu atzīst par neiesniegtu un var atdot to atpakaļ iesniedzējam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likums neparedz, ka, ja administratīvā lieta iestādē ir ierosināta uz iesnieguma pamata, iesniegumu varētu noraidīt, neizskatot to. Tā, piemēram, gadījumā, ja persona nav iesniegusi informāciju, kuru iestāde lūgusi iesniegt noteiktā termiņā, lai pieņemtu attiecīgu lēmumu, iestādei ir jāpieņem lēmums par attiecīgo atteikumu, nevis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33.2.</w:t>
            </w:r>
            <w:r w:rsidR="00000000" w:rsidRPr="00000000" w:rsidDel="00000000">
              <w:rPr>
                <w:vertAlign w:val="superscript"/>
                <w:rtl w:val="0"/>
              </w:rPr>
              <w:t xml:space="preserve">1 </w:t>
            </w:r>
            <w:r w:rsidR="00000000" w:rsidRPr="00000000" w:rsidDel="00000000">
              <w:rPr>
                <w:rtl w:val="0"/>
              </w:rPr>
              <w:t xml:space="preserve">un 33.2.</w:t>
            </w:r>
            <w:r w:rsidR="00000000" w:rsidRPr="00000000" w:rsidDel="00000000">
              <w:rPr>
                <w:vertAlign w:val="superscript"/>
                <w:rtl w:val="0"/>
              </w:rPr>
              <w:t xml:space="preserve">2</w:t>
            </w:r>
            <w:r w:rsidR="00000000" w:rsidRPr="00000000" w:rsidDel="00000000">
              <w:rPr>
                <w:rtl w:val="0"/>
              </w:rPr>
              <w:t xml:space="preserve"> apakšpunktā un 34. punktā ietverto regulējumu, kā arī anotācijas 1.3. apakšsadaļā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svītrots regulējums par iesnieguma noraidīšanu. Projekts precizēts atbilstoši Administratīvā procesa likuma regulējumam.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Fizisku personu sertifikāti, kas izsniegti līdz šo noteikumu spēkā stāšanās dienai, ir spēkā līdz to derīguma termiņa beigām. Fiziskas personas, kuras ir saņēmušas sertifikātu vai apmācības apliecību saskaņā ar Eiropas Parlamenta un Padomes 2014. gada 16. aprīļa regulu (ES) Nr. 517/2014 par fluorētām siltumnīcefekta gāzēm un ar ko atceļ Regulu (EK) Nr. 842/2006, šo noteikumu 22.3. apakšpunktā minētajos sertificēto personu prasmju pilnveidošanas kursos pirmo reizi piedalās vai novērtēšanas procesu pirmo reizi iztur ne vēlāk kā 2029. gada 12. martā.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37. punkta otro teikumu, kas ir saturiski jauns noslēguma jautājums (pārejas noteikums), ietvert jaunā noteikumu punktā. Vienlaikus lūdzam izvērtēt iespēju precizēt pārejas noteikumu. Vēršam uzmanību, ka tā piemērošana kontekstā ar projektā paredzēto regulējumu varētu būt neskaidra. Proti, regula paredz: "</w:t>
            </w:r>
            <w:r w:rsidR="00000000" w:rsidRPr="00000000" w:rsidDel="00000000">
              <w:rPr>
                <w:i w:val="1"/>
                <w:rtl w:val="0"/>
              </w:rPr>
              <w:t xml:space="preserve">Spēkā esošie sertifikāti un apmācības apliecības, kas izsniegti saskaņā ar Regulu (ES) Nr. 517/2014, paliek spēkā ar tādiem nosacījumiem, ar kādiem tie sākotnēji ir izsniegti. </w:t>
            </w:r>
            <w:r w:rsidR="00000000" w:rsidRPr="00000000" w:rsidDel="00000000">
              <w:rPr>
                <w:i w:val="1"/>
                <w:u w:val="single"/>
                <w:rtl w:val="0"/>
              </w:rPr>
              <w:t xml:space="preserve">Līdz 2027. gada 12. martam dalībvalstis nodrošina, ka sertificētām fiziskām personām vismaz reizi 7 gados ir jāpiedalās prasmju pilnveides kursos vai jāiztur 3. punktā minētais novērtēšanas process.</w:t>
            </w:r>
            <w:r w:rsidR="00000000" w:rsidRPr="00000000" w:rsidDel="00000000">
              <w:rPr>
                <w:i w:val="1"/>
                <w:rtl w:val="0"/>
              </w:rPr>
              <w:t xml:space="preserve"> </w:t>
            </w:r>
            <w:r w:rsidR="00000000" w:rsidRPr="00000000" w:rsidDel="00000000">
              <w:rPr>
                <w:i w:val="1"/>
                <w:u w:val="single"/>
                <w:rtl w:val="0"/>
              </w:rPr>
              <w:t xml:space="preserve">Dalībvalstis nodrošina, ka fiziskas personas, kuras ir saņēmušas sertifikātu vai apmācības apliecību saskaņā ar Regulu (ES) Nr. 517/2014, šādos prasmju pilnveides kursos pirmo reizi piedalās vai šādu novērtēšanas procesu pirmo reizi iztur ne vēlāk kā 2029. gada 12. martā</w:t>
            </w:r>
            <w:r w:rsidR="00000000" w:rsidRPr="00000000" w:rsidDel="00000000">
              <w:rPr>
                <w:rtl w:val="0"/>
              </w:rPr>
              <w:t xml:space="preserve">." Projektā tiek pārrakstīts regulas 2024/573 10. panta 9. punkta trešais teikums, tomēr projektā ietvertā terminoloģija atšķiras no regulā izmantotās terminoloģijas, lūdzam izvērtēt iespēju precizēt pārejas noteikumu. Piemēram, nav skaidrs, kas ir novērtēšanas process (kam tas atbilst noteikumu projektā), kas domāts ar tā pirmreizēju izturēšanu vai pirmreizēju piedalīšanos prasmju pilnveides kursos, ņemot vērā projektā ietverto regulējumu par sertifikāta derīguma termiņa pagarināšanu. Attiecīgi lūdzam precizēt projektu vai sniegt izvērstākus skaidrojumus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5.4. apakšsadaļas 1. tabulā skaidrot minētajā regulas vienībā paredzēto dalībvalsts pienākumu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 Noteikumi Nr. 704 papildināti ar jaunu pārejas nosacījumu 37.</w:t>
            </w:r>
            <w:r w:rsidR="00000000" w:rsidRPr="00000000" w:rsidDel="00000000">
              <w:rPr>
                <w:vertAlign w:val="superscript"/>
                <w:rtl w:val="0"/>
              </w:rPr>
              <w:t xml:space="preserve">1</w:t>
            </w:r>
            <w:r w:rsidR="00000000" w:rsidRPr="00000000" w:rsidDel="00000000">
              <w:rPr>
                <w:rtl w:val="0"/>
              </w:rPr>
              <w:t xml:space="preserve"> punktu "F</w:t>
            </w:r>
            <w:r w:rsidR="00000000" w:rsidRPr="00000000" w:rsidDel="00000000">
              <w:rPr>
                <w:i w:val="1"/>
                <w:rtl w:val="0"/>
              </w:rPr>
              <w:t xml:space="preserve">iziskas personas, kuras ir saņēmušas sertifikātu saskaņā ar Eiropas Parlamenta un Padomes 2014. gada 16. aprīļa regulu (ES) Nr. 517/2014 par fluorētām siltumnīcefekta gāzēm un ar ko atceļ Regulu (EK) Nr. 842/2006, ne vēlāk kā līdz 2029. gada 12. martam pirmo reizi piedalās šo noteikumu 22.3. apakšpunktā minētajos prasmju pilnveidošanas kursos vai iztur novērtēšanas procesu, kas apliecina šo personu profesionālo prasmju atbilstību šo noteikumu prasībām.</w:t>
            </w:r>
            <w:r w:rsidR="00000000" w:rsidRPr="00000000" w:rsidDel="00000000">
              <w:rPr>
                <w:rtl w:val="0"/>
              </w:rPr>
              <w:t xml:space="preserve">", to precizējot atbilstoši regulas 2024/573 prasībām. Vienlaikus papildināta anotācija, skaidrojot pārejas regulējuma piemērošanu un dalībvalsts pienākumu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Fizisku personu sertifikāti, kas izsniegti līdz šo noteikumu spēkā stāšanās dienai, ir spēkā līdz to derīguma termiņa beigām.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izvērstāk pamatot projektā paredzēto regulējumu par sertifikāciju un licenču izsniegšanu, skaidrojot, kā regulējums ievieš un mijiedarbojas ar Eiropas Savienības regulās paredzētajām prasībām. Piemēram, bet ne tikai, lūdzam pamatot projektā paredzēto ierobežoto sertifikātu un licenču derīguma termiņu, skaidrojot tā samērīgumu. Apzināmies, ka noteikumu 21. un 31. punkts ir ietverts jau pašreiz noteikumos, tomēr vēršam uzmanību uz to, ka saskaņā ar Eiropas Savienības Tiesas praksi licences izsniegšana uz noteiktu laiku var būt uzskatāma par ierobežojumu pakalpojumu sniegšanas brīvībai un komercdarbības brīvībai, kas ir pieļaujama tikai izņēmuma gadījumos būtiskās sabiedrības interesēs, pārējos gadījumos nosakot beztermiņa licences (skatīt Eiropas Savienības Tiesas spriedumu Nr. C‑76/90 Säger v. Dennemeyer). Lūdzam skaidrot regulējuma saderību ar Eiropas Savienības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projektā izmantoto terminoloģiju kontekstā ar Eiropas Savienības regulās izmantoto terminoloģiju (piemēram, regulas 2024/573 1. punktā minēta sertifikācija, 2. punktā - apmācības apliecība).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ir papildināta ar izvērstu skaidrojumu par noteikumu projektā paredzēto sertifikācijas un licencēšanas regulējumu, tā sasaisti ar regulas  2024/573, regulas 2024/590 un attiecīgo Komisijas īstenošanas regulu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papildus skaidrots, ka fizisko personu sertifikācija un juridisko personu licencēšana ir nepieciešama, lai nodrošinātu profesionālās kompetences, praktisko iemaņu, tehnisko resursu un procedūru periodisku pārbaudi darbībām ar OSNV, F-gāzēm un attiecīgajām alternatīvajām vielām, tostarp dabiskajiem aukstumaģentiem. Tāpat anotācijā pamatots piecu gadu sertifikāta un licences derīguma termiņš, norādot, ka tas ir samērīgs ar sasniedzamo mērķi — vides aizsardzības un drošas aprīkojuma ekspluatācijas nodrošināšanu. Anotācijā arī precizēta projektā lietotā terminoloģija kontekstā ar Eiropas Savienības tiesību aktos lietotajiem terminiem, tostarp skaidrojot sertifikāta, licences un apmācības apliecības jēdzienu piemērošanu nacionālajā regulējumā.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1.3. apakšsadaļu kopumā, nodrošinot, ka tiek sniegti pamatojumi pēc būtības projektā paredzētajām izmaiņām noteikumos, ne tikai norādīts, ka tiek paredzētas papildu prasības vai aktualizētas prasības. Piemēram, aicinām skaidrot, kādas papildu prasības vai aktualizētas prasības projektā ir paredzētas un kādēļ (it īpaši noteikumu IV. un V. nodaļā), vienlaikus skaidrojot, kas tieši Eiropas Savienības tiesiskajā regulējumā ir mainījies un ir par pamatojumu konkrētajām izmaiņām nacionālajā tiesiskajā regulējumā. Aicinām arī skaidrot, kādas tieši izmaiņas un kādēļ paredzētas noteikumu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pārskatīt un precizēt anotācijas 2. sadaļu, skaidrojot ietekmi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apakšsadaļa ir pārskatīta un papildināta, sniedzot detalizētākus skaidrojumus par projektā paredzētajām izmaiņām, tostarp precizējot noteikumu IV. un V. nodaļā ietvertās papildu un aktualizētās prasības, kā arī to pamatojumu saistībā ar izmaiņām Eiropas Savienības tiesiskajā regulējumā. Tāpat ir precizēts skaidrojums par noteikumu 1. pielikumā paredzētajām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pārskatīta un precizēta arī anotācijas 2. sadaļa, nodrošinot izvērstāku ietekmes skaidrojumu pēc būtības.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"[l]ai arī regulā 2024/590 un regulā 2024/573 tiek izmantots termins "dezekspluatācija", kas ir OSNV un F-gāzes saturoša produkta vai aprīkojuma neatgriezeniska izņemšana no ekspluatācijas vai lietošanas, tostarp objekta galīgā slēgšana, tomēr noteikumu projektā tiks izmantots termins demontāža". Aicinām izvērtēt iespēju to paredzēt arī projektā (piemēram, norādot, ka ar terminu "demontāža" saprotams termins "dezekspluatācija" regulu vai regulas Nr. [..]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papildināts, kur Noteikumu Nr. 704 12. punktā iekļauts skaidrojums, ka demontāža ir aprīkojuma dezekspluatācija regulas 2024/590 un regulas 2024/573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anotācijā ietverto teikumu: "</w:t>
            </w:r>
            <w:r w:rsidR="00000000" w:rsidRPr="00000000" w:rsidDel="00000000">
              <w:rPr>
                <w:i w:val="1"/>
                <w:rtl w:val="0"/>
              </w:rPr>
              <w:t xml:space="preserve">Neprecizitātes un novecojušas atsauces rada tiesisko nenoteiktību, kas apgrūtina efektīvu izpildi un uzraudzību</w:t>
            </w:r>
            <w:r w:rsidR="00000000" w:rsidRPr="00000000" w:rsidDel="00000000">
              <w:rPr>
                <w:rtl w:val="0"/>
              </w:rPr>
              <w:t xml:space="preserve">." Noslēguma jautājumos netiek precizēts neviens noslēguma jautājums, tiek veikti tikai papildinājumi. Turklāt tur nav ietvertas kādas atsauces, kas būtu aktualizētas. Attiecīgi aicinām svītrot vai precizēt teikumu, radot pareizu priekšstatu par noteikumu VI. nodaļā veiktajiem papildinājumiem.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svītrojot teikumu: "</w:t>
            </w:r>
            <w:r w:rsidR="00000000" w:rsidRPr="00000000" w:rsidDel="00000000">
              <w:rPr>
                <w:i w:val="1"/>
                <w:rtl w:val="0"/>
              </w:rPr>
              <w:t xml:space="preserve">Neprecizitātes un novecojušas atsauces rada tiesisko nenoteiktību, kas apgrūtina efektīvu izpildi un uzraudzību.</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anotācijas 7. sadaļā ietvertā informācija ir korekta, ņemot vērā izmaiņas noteikumu II. nodaļā attiecībā uz atbildīgo institūciju kompetenci, kā arī anotācijas 1.3. apakšsadaļā sniegto informāciju. Ja nepieciešams, lūdzam precizēt sadaļu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taču netiek ņemts vērā, jo ar projektā paredzētajām izmaiņām netiek mainītas atbildīgo institūciju funkcijas. Līdz ar to anotācijas 7.4. sadaļā sniegtā informācija par projekta ietekmi uz pārvaldes funkcijām un institucionālo struktūru saglabājama bez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2021.gada vadlīnijās sākotnējās ietekmes novērtēšanai un novērtējuma ziņojuma sagatavošanai vienotajā tiesību aktu izstrādes un saskaņošanas portālā noteiktajam, aicinām precizēt anotācijas 8.1.13. apakšpunktu, ietverot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un precizēts anotācijas 8.1.13. apakšpunkts, nodrošinot skaidru un strukturētu informāciju par projektā paredzēto personas datu apstrādi. Tajā ietverts personas datu apstrādes tiesiskais pamatojums atbilstoši Vispārīgā datu aizsardzības regulas 6. panta 1. punkta c) un e) apakšpunktam, kā arī norādītas piemērojamās Ķīmisko vielu likums normas un noteikumu projekta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precizēti datu subjekti, apstrādājamo personas datu kategorijas, datu apstrādes nolūki, glabāšanas termiņš un tā pamatojums, kā arī informācija par personas datu nodošanu citām institūcijām uzraudzības un kontroles funkciju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Ķīmisko vielu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panta pirmo, trešo un ceturto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Ķīmisko vielu likuma 16. panta ceturtajā daļā nav noteikts pilnvarojums Ministru kabinetam, lūdzam precizēt projektā ietverto tiesību akta izdošanas pamatojuma norādi, kā arī papildināt projektu ar attiecīgu grozījumu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tiesību akta izdošanas pamatojuma norāde, svītrojot atsauci uz Ķīmisko vielu likums 16. panta ceturto daļu, jo tajā nav noteikts pilnvarojums Ministru kabinetam izdot attiecīgos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Ķīmisko vielu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panta pirmo un trešo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prasības darbībām ar ozona slāni noārdošām vielām, fluorētām siltumnīcefekta gāzēm un alternatīvām vielām, tostarp dabiskiem aukstumaģentiem, kā arī produktiem, aprīkojumu un to daļām, kas satur šīs vielas vai gāzes vai kuru darbība ir atkarīga no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1.1. apakšpunkts (projekta 1. punkts) formulēts šaurāk nekā Ķīmisko vielu likuma 16. panta pirmajā daļā paredzētais pilnvarojums, kā arī formulējuma atšķirības ("Ministru kabinets nosaka īpašus ierobežojumus vai aizliegumus attiecībā uz darbībām ar atsevišķām ķīmiskajām vielām vai maisījumiem, vai citiem </w:t>
            </w:r>
            <w:r w:rsidR="00000000" w:rsidRPr="00000000" w:rsidDel="00000000">
              <w:rPr>
                <w:u w:val="single"/>
                <w:rtl w:val="0"/>
              </w:rPr>
              <w:t xml:space="preserve">materiāliem</w:t>
            </w:r>
            <w:r w:rsidR="00000000" w:rsidRPr="00000000" w:rsidDel="00000000">
              <w:rPr>
                <w:rtl w:val="0"/>
              </w:rPr>
              <w:t xml:space="preserve">, kuri satur šīs ķīmiskās vielas vai maisījumus </w:t>
            </w:r>
            <w:r w:rsidR="00000000" w:rsidRPr="00000000" w:rsidDel="00000000">
              <w:rPr>
                <w:u w:val="single"/>
                <w:rtl w:val="0"/>
              </w:rPr>
              <w:t xml:space="preserve">vai ir apstrādāti</w:t>
            </w:r>
            <w:r w:rsidR="00000000" w:rsidRPr="00000000" w:rsidDel="00000000">
              <w:rPr>
                <w:rtl w:val="0"/>
              </w:rPr>
              <w:t xml:space="preserve"> ar šīm ķīmiskajām vielām vai maisījumiem"), lūdzam izvērtēt un skaidrot projekta 1. punkta atbilstību likumā noteiktajam pilnvarojumam. Ja pilnvarojums izpildīts vēl kādos Ministru kabineta noteikumos, aicinām to arī norādīt. Aicinām arī izvērtēt iespēju precizēt noteikumu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arī izvērtēt un skaidrot, vai ar projektu kaut daļēji netiek izpildīts arī Ķīmisko vielu likuma 16. panta otrajā daļā paredzētais pilnvarojums, ņemot vērā, ka noteikumu 1.1. apakšpunkta minēti produkti, aprīkojums un to daļas ("Ministru kabinets nosaka ierobežojumus atsevišķu bīstamu ķīmisko vielu izmantošanai elektriskajās un elektroniskajās iekārtās, kā arī tādu personu pienākumus, kuras izgatavo, importē vai izplata elektriskās un elektroniskās iekārtas"). Attiecīgi aicinām izvērtēt un sniegt skaidrojumu. Ja nepieciešams, aicinām precizēt pilnvarojuma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privātpersonām būtu nepārprotami skaidrs noteikumu tvērums, aicinām anotācijā skaidrot, kas ir, piemēram, alternatīvās vielas, tostarp norādot, vai tas tiek skaidrots kādā Eiropas Savienības regulā. Ja nepieciešams, aicinām papildināt projektu ar termina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Noteikumu Nr. 704 1.1. apakšpunkta redakcija paredz, ka noteikumi nosaka īpašus ierobežojumus attiecībā uz darbībām ar ozona slāni noārdošām vielām, fluorētām siltumnīcefekta gāzēm un alternatīvām vielām, tostarp dabiskiem aukstumaģentiem, kā arī produktiem, aprīkojumu un to daļām, kas satur šīs vielas vai gāzes vai kuru darbība ir atkarīga no tām. Šāda redakcija atbilst Ķīmisko vielu likuma 16. panta pirmajā daļā noteiktajam pilnvarojumam, kas paredz, ka Ministru kabinets nosaka īpašus ierobežojumus vai aizliegumus attiecībā uz darbībām ar atsevišķām ķīmiskajām vielām vai maisījumiem, kā arī materiāliem, kuri satur šīs vielas vai ir ar tām apstrādāti. Noteikumu projekts konkretizē šo pilnvarojumu attiecībā uz konkrētām ķīmisko vielu grupām – ozona slāni noārdošām vielām, fluorētām siltumnīcefekta gāzēm un to alternatīvām, ievērojot regulu  2024/590 un regulu 2024/573. Attiecīgi projekta regulējums ir uzskatāms par deleģējuma ietvaros pieļaujamu konkretizāciju, nevis tā paplašinājumu.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noteikumu projekts neīsteno Ķīmisko vielu likuma 16. panta otrajā daļā paredzēto pilnvarojumu.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skaidrojams, ka ar alternatīvajām vielām noteikumu projekta izpratnē saprot vielas, kas tiek izmantotas ozona slāni noārdošo vielu vai fluorēto siltumnīcefekta gāzu aizstāšanai, tostarp dabiskos aukstumaģentus, piemēram, oglekļa dioksīdu (CO₂), amonjaku (NH₃) un ogļūdeņražus. Šādas alternatīvās vielas ir atzītas un regulētas arī Eiropas Savienības īstenošanas aktos, tostarp Komisijas Īstenošanas regulā  2025/625, Komisijas Īstenošanas regulā  2025/1893 un Komisijas Īstenošanas regulā 2024/2215, kas izdoti saskaņā ar regulu 2024/573.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īpašus ierobežojumus attiecībā uz darbībām ar ozona slāni noārdošām vielām, fluorētām siltumnīcefekta gāzēm un alternatīvām vielām, tostarp dabiskiem aukstumaģentiem, kā arī produktiem, aprīkojumu un to daļām, kas satur šīs vielas vai gāzes vai kuru darbība ir atkarīga no tām;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darbības ar ozona slāni noārdošām vielām, fluorētām siltumnīcefekta gāzēm un alternatīvām vielām, tostarp dabiskiem aukstumaģentiem, kā arī produktiem, aprīkojumu un to daļām, kas satur šīs vielas vai gāzes vai kuru darbība ir atkarīga no tām, ievēro šādu regulu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šāda norma ir jau šobrīd ietverta noteikumos, tomēr aicinām izvērtēt tās nepieciešamību un lietderību, jo tā ir informatīva satura norma. Vēršam uzmanību, ka Eiropas Savienības regulās paredzētās prasības ir jāievēro neatkarīgi no tā, vai uz to ir norādīts nacionālajā normatīvajā aktā.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Noteikuma projekta 2. punkts tiek saglabāts, lai nodrošinātu tiesību normu skaidrību un adresātu informētību par ES tiesisko regulējumu ozona slāni noārdošo vielu un fluorēto siltumnīcefekta gāzu jomā. Lai arī ES regulas ir tieši piemērojamas un to prasības ir jāievēro neatkarīgi no atsauces nacionālajā normatīvajā aktā, regulējuma uzskaitījums noteikumos palīdz adresātiem vienkopus identificēt būtiskākos piemērojamos tiesību aktus, tādējādi veicinot tiesību normu saprotamību un vienveidīgu piemērošanu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darbības ar ozona slāni noārdošām vielām, fluorētām siltumnīcefekta gāzēm un alternatīvām vielām, tostarp dabiskiem aukstumaģentiem, kā arī produktiem, aprīkojumu un to daļām, kas satur šīs vielas vai gāzes vai kuru darbība ir atkarīga no tām, ievēro šādu regulu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katru gadu līdz 31. martam sagatavo un Centra tīmekļvietnē tiešsaistes režīmā iesniedz Pārskatu atbilstoši šo noteikumu 1. pielikumam, norādot aprīkojuma lietojuma veidu un izmantošanas apakšsektoru atbilstoši šo noteikumu 2.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9.2. apakšpunktu, nosakot informācijas iesniegšanas termiņu. Pašreiz normā paredzēts tikai informācijas sagatavošanas termiņš.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katru gadu līdz 31. martam sagatavo un iesniedz Centra tīmekļvietnē tiešsaistes režīmā Pārskatu atbilstoši šo noteikumu 1. pielikumam, norādot aprīkojuma lietojuma veidu un izmantošanas apakšsektoru atbilstoši šo noteikumu 2.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Saskaņā ar regulas 2024/573 4. panta 3. un 4. punktu aprīkojuma operatori un ražotāji, vai operatori, kuri strādā objektos, kur tiek izmantotas fluorētās siltumnīcefekta gāzes, kā arī uzņēmumi, kuriem pieder šāds aprīkojums, to transportēšanas vai glabāšanas laikā veic visus iespējamos drošības pasākumus, lai nepieļautu regulas 2024/573 tvērumā esošo gāzu netīšu izlaišanu un ierobežotu to izlaišanu, ražojot, glabājot un transportējot fluorētās siltumnīcefekta gāzes, kā arī tās pārvietojot no vienas tvertnes vai sistēmas uz citu sistēmu, aprīkojumu vai objektu, ievērojot regulas 2024/573 4. panta 3. un 4. punktā un 5. panta 1., 6. un 7. punktā minētos nosacījumus. Noplūdes no aprīkojuma, kas minētas regulas 2024/573 5. panta 1. punktā, pārbauda saskaņā ar standartprasībām, kas noteiktas šo noteikumu 2.3. un 2.4. apakšpunktā minētajās regulās.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projektu, termina „uzņēmums” vietā atbilstoši normas mērķim izmantojot citu piemērotu terminu (piemēram,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 precizējot lietoto terminoloģiju un aizstājot terminu “uzņēmums” ar formulējumu “personas, kuru īpašumā vai valdījumā ir attiecīgais aprīkojums”, kā arī pārskatot normas formulējumu, lai nodrošinātu skaidrāku un nepārprotamu tās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Aprīkojuma operatori un ražotāji, kā arī operatori, kas ekspluatē aprīkojumu objektos, kuros tiek izmantotas fluorētās siltumnīcefekta gāzes, un personas, kuru īpašumā vai valdījumā ir šāds aprīkojums, nodrošina regulas 2024/573 tvērumā esošo fluorēto siltumnīcefekta gāzu netīšas izlaišanas novēršanu un samazināšanu līdz minimumam, ievērojot regulas 2024/573 4. panta 3. un 4. punktā un 5. panta 1., 6. un 7. punktā noteiktās prasības. Noplūdes no aprīkojuma, kas minētas regulas 2024/573 5. panta 1. punktā, pārbauda saskaņā ar standartprasībām, kas noteiktas šo noteikumu 2.3. un 2.4. apakšpunktā minētajās regulās.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Fiziska persona, kas veic ozona slāni noārdošo vielu, fluorēto siltumnīcefekta gāzu vai attiecīgo alternatīvu vielu, tostarp attiecīgā gadījumā dabisko aukstumaģentu, aprīkojuma uzstādīšanas, apkopi vai apkalpi, remontu vai demontāžu, noplūžu pārbaudi un atgūšanu, saskaņā ar regulas 2024/590 21. panta 6. punktu un regulas 2024/573 4. panta 7. punktu saņem sertifikātu, kura paraugs norādīts šo noteikumu 3.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veidojot gramatiski pareizu, loģisku un saprotamu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Fiziska persona, kas veic regulas 2024/590 21. panta 6. punktā un regulas 2024/573 4. panta 7. punktā minētās darbības ar aprīkojumu, kurā ir ozona slāni noārdošās vielas, fluorētās siltumnīcefekta gāzes vai attiecīgās alternatīvās vielas, tostarp dabiskie aukstumaģenti, tajā skaitā aprīkojuma uzstādīšanu, apkopi vai apkalpi, remontu, demontāžu (aprīkojuma dezekspluatācija regulas 2024/590 un regulas 2024/573 izpratnē), noplūžu pārbaudi vai vielu atgūšanu, saņem sertifikātu, kura paraugs norādīts šo noteikumu 3. pielikumā.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Juridiska vai fiziska persona, kas veic ozona slāni noārdošo vielu, fluorētu siltumnīcefekta gāzu vai attiecīgo alternatīvu vielu, tostarp attiecīgā gadījumā dabiskos aukstumaģentus, saturoša aprīkojuma uzstādīšanu, apkopi un apkalpi, remontu vai demontāžu, saskaņā ar regulas 2024/590 21. panta 3. un 6. punktu un regulas 2024/573 4. panta 7. punktu saņem speciālu atļauju (licenci) darbībām ar ozona slāni noārdošām vielām vai fluorētām siltumnīcefekta gāzēm (turpmāk – licence) atbilstoši šo noteikumu 4. pielikumam. Dienests elektroniskā dokumenta formā izsniedz licenci darbībām ar ozona slāni noārdošām vielām, fluorētām siltumnīcefekta gāzēm vai attiecīgām fluorēto siltumnīcefekta gāzu alternatīvām, tostarp dabiskiem aukstumaģentiem, kā arī produktiem, aprīkojumu un to daļām, kas satur šīs vielas vai gāzes vai kuru darbība ir atkarīga no tām, saskaņā ar šo noteikumu 2.5. un 2.10. apakšpunktā minētajām regulām.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13. punkta 1. teikums, norādot, kādā gadījumā persona saņem speciālu atļauju (licenci), nav formulēts pārāk šauri, ņemot vērā 2. teikumā ietverto licences satura aprakstu.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 Noteikumu projekta 13. punkts izteikts jaunā redakcijā, precizējot normas tvērumu un formulējumu, lai tas aptvertu visas darbības ar ozona slāni noārdošām vielām, fluorētām siltumnīcefekta gāzēm un to alternatīvām, kā arī ar produktiem, aprīkojumu un to daļām, kas satur šīs vielas vai kuru darbība ir atkarīga no tām. Vienlaikus precizēts normas strukturējums, nodalot regulējumu par licences saņemšanas pienākumu un tās izsniegšanu, tādējādi nodrošinot skaidrāku un nepārprotamu tiesību normas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Juridiska vai fiziska persona, kas veic darbības ar ozona slāni noārdošām vielām, fluorētām siltumnīcefekta gāzēm vai attiecīgām alternatīvām vielām, tostarp attiecīgā gadījumā dabiskajiem aukstumaģentiem, kā arī produktiem, aprīkojumu un to daļām, kas satur šīs vielas vai gāzes vai kuru darbība ir atkarīga no tām, saskaņā ar regulas 2024/590 21. panta 3. un 6. punktu un regulas 2024/573 4. panta 7. punktu saņem speciālu atļauju (turpmāk – licence) atbilstoši šo noteikumu 4. pielikumam. Licenci saskaņā ar šo noteikumu 2.5. un 2.10. apakšpunktā minētajām regulām elektroniska dokumenta formā izsniedz dienests.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2</w:t>
            </w:r>
            <w:r w:rsidR="00000000" w:rsidRPr="00000000" w:rsidDel="00000000">
              <w:rPr>
                <w:rtl w:val="0"/>
              </w:rPr>
              <w:t xml:space="preserve"> Darbībās ar specifiskiem produktiem un aprīkojumu, kas satur fluorēto siltumnīcefekta gāzu alternatīvas uzliesmojošu vai toksisku gāzu veidā, vai kas darbojas zem augsta spiediena, vai kas rada citu būtisku risku ievēro normatīvo aktu prasības bīstamo iekārtu tehniskās uzraudzības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anotācijā skaidrot noteikumu 13.</w:t>
            </w:r>
            <w:r w:rsidR="00000000" w:rsidRPr="00000000" w:rsidDel="00000000">
              <w:rPr>
                <w:vertAlign w:val="superscript"/>
                <w:rtl w:val="0"/>
              </w:rPr>
              <w:t xml:space="preserve">2</w:t>
            </w:r>
            <w:r w:rsidR="00000000" w:rsidRPr="00000000" w:rsidDel="00000000">
              <w:rPr>
                <w:rtl w:val="0"/>
              </w:rPr>
              <w:t xml:space="preserve"> un 13.</w:t>
            </w:r>
            <w:r w:rsidR="00000000" w:rsidRPr="00000000" w:rsidDel="00000000">
              <w:rPr>
                <w:vertAlign w:val="superscript"/>
                <w:rtl w:val="0"/>
              </w:rPr>
              <w:t xml:space="preserve">4 </w:t>
            </w:r>
            <w:r w:rsidR="00000000" w:rsidRPr="00000000" w:rsidDel="00000000">
              <w:rPr>
                <w:rtl w:val="0"/>
              </w:rPr>
              <w:t xml:space="preserve">punkta nepieciešamību. Vēršam uzmanību, ka, ja attiecīgie normatīvie akti ir piemērojami normās minētajās darbībās, tad arī bez šādas informatīvas norādes attiecīgie normatīvie akti personām ir jāievēro. Attiecīgi aicinām izvērtēt šādas informatīva rakstura norādes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2024/573 un regulas 2024/590 prasības ir piemērojamas neatkarīgi no atsauces ietveršanas noteikumos, ilīdz ar to noteikumu projekta 13.</w:t>
            </w:r>
            <w:r w:rsidR="00000000" w:rsidRPr="00000000" w:rsidDel="00000000">
              <w:rPr>
                <w:vertAlign w:val="superscript"/>
                <w:rtl w:val="0"/>
              </w:rPr>
              <w:t xml:space="preserve">2</w:t>
            </w:r>
            <w:r w:rsidR="00000000" w:rsidRPr="00000000" w:rsidDel="00000000">
              <w:rPr>
                <w:rtl w:val="0"/>
              </w:rPr>
              <w:t xml:space="preserve">. un 13.</w:t>
            </w:r>
            <w:r w:rsidR="00000000" w:rsidRPr="00000000" w:rsidDel="00000000">
              <w:rPr>
                <w:vertAlign w:val="superscript"/>
                <w:rtl w:val="0"/>
              </w:rPr>
              <w:t xml:space="preserve">4</w:t>
            </w:r>
            <w:r w:rsidR="00000000" w:rsidRPr="00000000" w:rsidDel="00000000">
              <w:rPr>
                <w:rtl w:val="0"/>
              </w:rPr>
              <w:t xml:space="preserve">. punkts ir izslēgts.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fiziska persona vismaz vienu mēnesi pirms sertifikāta darbības termiņa beigām ir iesniegusi atbilstības novērtēšanas institūcijā šo noteikumu 18. punktā minēto iesniegumu, pievienojot dokumentus, kas apliecina šo noteikumu 22.1. un 22.3. apakšpunkta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22.2. apakšpunktā vārdi "pievienojot dokumentus, </w:t>
            </w:r>
            <w:r w:rsidR="00000000" w:rsidRPr="00000000" w:rsidDel="00000000">
              <w:rPr>
                <w:u w:val="single"/>
                <w:rtl w:val="0"/>
              </w:rPr>
              <w:t xml:space="preserve">kas apliecina</w:t>
            </w:r>
            <w:r w:rsidR="00000000" w:rsidRPr="00000000" w:rsidDel="00000000">
              <w:rPr>
                <w:rtl w:val="0"/>
              </w:rPr>
              <w:t xml:space="preserve"> šo noteikumu [..] 22.3. apakšpunkta prasību izpildi" faktiski dublē noteikumu 22.3. apakšpunktu, kas jau paredz, ka par apgūtiem prasmju pilnveides kursiem ir iesniedzams apliecinājums.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fiziska persona vismaz vienu mēnesi pirms sertifikāta derīguma termiņa beigām ir iesniegusi atbilstības novērtēšanas institūcijā šo noteikumu 18. punktā minēto iesniegumu, pievienojot dokumentus, kas apliecina šo noteikumu 22.1. apakšpunkta prasību izpildi;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2.10.</w:t>
            </w:r>
            <w:r w:rsidR="00000000" w:rsidRPr="00000000" w:rsidDel="00000000">
              <w:rPr>
                <w:rtl w:val="0"/>
              </w:rPr>
              <w:t xml:space="preserve"> apakšpunktā minēto regulu izpratnē dienests veic sertifikācijas iestādes funkcijas, un licence uzskatāma par juridisko personu sertifikātu saskaņā ar regulas 2024/573 10.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vārdus "saskaņā ar regulas 2024/573 10. panta 2. punktu" aizvietot ar vārdiem "regulas 2024/573 10. panta 2. punkta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redakcionāli, aizstājot vārdu “saskaņā ar” ar formulējumu “izpratnē”, tādējādi nodrošinot precīzāku atsauci uz regulas 2024/573 10.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w:t>
            </w:r>
            <w:r w:rsidR="00000000" w:rsidRPr="00000000" w:rsidDel="00000000">
              <w:rPr>
                <w:rtl w:val="0"/>
              </w:rPr>
              <w:t xml:space="preserve">2.5.</w:t>
            </w:r>
            <w:r w:rsidR="00000000" w:rsidRPr="00000000" w:rsidDel="00000000">
              <w:rPr>
                <w:rtl w:val="0"/>
              </w:rPr>
              <w:t xml:space="preserve"> un </w:t>
            </w:r>
            <w:r w:rsidR="00000000" w:rsidRPr="00000000" w:rsidDel="00000000">
              <w:rPr>
                <w:rtl w:val="0"/>
              </w:rPr>
              <w:t xml:space="preserve">2.10.</w:t>
            </w:r>
            <w:r w:rsidR="00000000" w:rsidRPr="00000000" w:rsidDel="00000000">
              <w:rPr>
                <w:rtl w:val="0"/>
              </w:rPr>
              <w:t xml:space="preserve"> apakšpunktā minēto regulu izpratnē dienests veic sertifikācijas iestādes funkcijas, un licence uzskatāma par juridisko personu sertifikātu regulas 2024/573 10. panta 2. punkta izpratnē.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29.3.4. dokumenta kopija, kas apliecina, ka persona ir pieņemta darbā par speciālistu minēto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Dokumentu juridiskā spēka likuma 2. panta pirmajā daļā minētajam </w:t>
            </w:r>
            <w:r w:rsidR="00000000" w:rsidRPr="00000000" w:rsidDel="00000000">
              <w:rPr>
                <w:u w:val="single"/>
                <w:rtl w:val="0"/>
              </w:rPr>
              <w:t xml:space="preserve">dokumenta atvasinājums ir noraksts, izraksts vai kopija</w:t>
            </w:r>
            <w:r w:rsidR="00000000" w:rsidRPr="00000000" w:rsidDel="00000000">
              <w:rPr>
                <w:rtl w:val="0"/>
              </w:rPr>
              <w:t xml:space="preserve">. Savukārt Ministru kabineta 2018. gada 4. septembra noteikumu Nr. 558 "Dokumentu izstrādāšanas un noformēšanas kārtība" 39. punkts noteic, ka </w:t>
            </w:r>
            <w:r w:rsidR="00000000" w:rsidRPr="00000000" w:rsidDel="00000000">
              <w:rPr>
                <w:u w:val="single"/>
                <w:rtl w:val="0"/>
              </w:rPr>
              <w:t xml:space="preserve">dokumenta atvasinājums ir dokuments, kas pilnībā vai daļēji atveido dokumenta oriģinālu. Dokumenta atvasinājumu izstrādā noraksta, izraksta vai kopijas veidā</w:t>
            </w:r>
            <w:r w:rsidR="00000000" w:rsidRPr="00000000" w:rsidDel="00000000">
              <w:rPr>
                <w:rtl w:val="0"/>
              </w:rPr>
              <w:t xml:space="preserve">, un šo noteikumu 47. punktā un turpmākajās tiesību normās ir noteiktas kopijas izstrādāšanas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projektā paredzētajā noteikumu 29.3.4. apakšpunktā minētā termina "dokumenta kopija" lietošanu un nepieciešamības gadījumā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piedāvāta jauna redakcija, precizējot terminoloģiju atbilstoši Dokumentu juridiskā spēka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29.3.4. dokumenta atvasinājums, kas apliecina, ka persona ir pieņemta darbā par speciālistu minēto darbību veikšanai.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Dienests savā tīmekļvietnē publicē un uztur publiski pieejamu to fizisko un juridisko personu sarakstu, kuras saņēmušas licenci. Sarakstā norāda licenciātu paredzētās darbības veidu, licences derīguma termiņu un nodarbinātos sertificētos speciālistus.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norādot, kādi tieši datu veidi tiks publicēti par personu, kura ir saņēmušas licenci, piemēram, vārds, uzvārds, norādot arī, cik ilgi šie dati būs publiski pieejami (publicēšanas termiņš), anotācijā sniedzot pamatojumu izvēlētajam publicēšanas termiņam. Papildus lūdzam skaidrot ar ko ir saprotami “nodarbinātie sertificētie speciālisti”, proti, vai tā ir tā pati persona, kura ir saņēmusi licenci.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un piedāvāta jauna redakcija.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Dienests savā tīmekļvietnē publicē un uztur publiski pieejamu to fizisko un juridisko personu sarakstu, kuras saņēmušas licenci. Sarakstā norāda licencēto fizisko personu vārdu un uzvārdu, vai juridiskās personas nosaukumu un reģistrācijas numuru, licences numuru, licences derīguma termiņu, paredzētās darbības veidu un nodarbinātos sertificētos speciālistus, norādot šo speciālistu vārdu, uzvārdu un sertifikāta numuru. Informācija tīmekļvietnē ir publiski pieejama licences darbības laikā un piecus gadus pēc licences termiņa beigām.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iesniegumā nav norādīta vai tam nav pievienota visa šo noteikumu 29. punktā noteikta informācija, dienests operatoram pieprasa nepieciešamo informāciju. Ja operators dienesta noteiktajā laikā, kas nav īsāks par 14 dienām no informācijas pieprasīšanas dienas, nesniedz visu papildus pieprasīto informāciju un nelūdz pagarināt informācijas iesniegšanas termiņu, dienests noraida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Administratīvā procesa likuma 59. pants paredz regulējumu par informācijas iegūšanu. Tā, piemēram, atbilstoši Administratīvā procesa likuma 59. panta pirmajā un otrajā daļā noteiktajam </w:t>
            </w:r>
            <w:r w:rsidR="00000000" w:rsidRPr="00000000" w:rsidDel="00000000">
              <w:rPr>
                <w:u w:val="single"/>
                <w:rtl w:val="0"/>
              </w:rPr>
              <w:t xml:space="preserve">pēc administratīvās lietas ierosināšanas iestāde iegūst informāciju, kas saskaņā ar normatīvajiem aktiem ir nepieciešama, lai pieņemtu attiecīgo lēmumu. Lai iegūtu nepieciešamo informāciju un panāktu tiesisku, taisnīgu un efektīvu lietas izskatīšanu, iestāde pēc iespējas dod administratīvā procesa dalībniekiem norādījumus un ieteikumus. Iegūstot informāciju, iestāde var izmantot visas tiesiskās metodes, arī iegūt informāciju no administratīvā procesa dalībniekiem, citām institūcijām, kā arī ar liecinieku, ekspertu, apskates, dokumentu un cita veida pierādījumu palīdzību. Ja iestādei nepieciešamā informācija ir nevis administratīvā procesa dalībnieku, bet gan citas institūcijas rīcībā, iestāde to iegūst pati, nevis pieprasa no administratīvā procesa dalībniekiem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atbilstoši Ministru kabineta 2009. gada 3. februāra noteikumu Nr. 108 "Normatīvo aktu projektu sagatavošanas noteikumi" 3.2. apakšpunktā noteiktajam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projektā paredzētajā noteikumu 34. punktā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jauna teksta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iesniegumā norādītā informācija ir nepilnīga vai tam nav pievienota visa šo noteikumu 29. punktā noteiktā informācija, dienests 15 darbdienu laikā pēc iesnieguma saņemšanas informē operatoru par nepieciešamību iesniegt papildu informāciju un nosaka termiņu tās iesniegšanai, kas nav īsāks par 14 dienām. Ja operators noteiktajā termiņā pieprasīto papildu informāciju neiesniedz un nelūdz pagarināt informācijas iesniegšanas termiņu, dienests pieņem lēmumu par atteikumu izsniegt licenci.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Iesniegums sertifikāta saņemšanai darbībām ar ozona slāni noārdošām vielām, fluorētām siltumnīcefekta gāzēm vai attiecīgām fluorēto siltumnīcefekta gāzu alternatīvām, tostarp dabiskiem aukstumaģentiem, kā arī produktiem, aprīkojumu un to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pielikumos ietvertas veidlapas. Saistībā ar minēto, ņemot vērā Valsts iestāžu juridisko dienestu vadītāju 2019. gada 14. novembra sanāksmē nolemto (protokols Nr. 3 2. §), lūdzam izvērtēt iespēju noteikumu projektā noteikt tikai veidlapā iekļaujamās informācijas saturu un apjomu, savukārt veidlapas dizainu un formu kā ilustratīvu materiālu publicēt ministrijas tīmekļa vietnē vai vietnē, kur piedāvā e-pakalpojumu, ņemot par piemēru Komerclikumā ietverto regulējumu attiecībā uz Uzņēmumu reģistra veidlapām. Pretējā gadījumā, lūdzam anotācijā pamatot, kāpēc tieši šādas veidlapas un šādā formātā ir nepieciešams noteikt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pielikums “Iesniegumā sertifikāta saņemšanai darbībām ar ozona slāni noārdošām vielām, fluorētām siltumnīcefekta gāzēm vai attiecīgām fluorēto siltumnīcefekta gāzu alternatīvām, tostarp dabiskiem aukstumaģentiem, kā arī produktiem, aprīkojumu un to daļām norādāmā informācija” ir izteikts jaunā redakcijā, atsakoties no detalizēta veidlapas formāta. Minētajā pielikumā ir noteikts iesniegumā iekļaujamās informācijas saturs un apjoms, paredzot obligāti norādāmās informācijas uzskaitījumu strukturētā veidā. Savukārt noteikumu projekta 1. pielikuma “Pārskats par ozona slāni noārdošām vielām un fluorētām siltumnīcefekta gāzēm”, 3. pielikuma “Sertifikāta paraugs” un 4. pielikuma “Speciālā atļauja (licence) darbībām ar ozona slāni noārdošām vielām vai fluorētām siltumnīcefekta gāzēm” veidlapas tiek saglabātas nemainītā formā, jo tās nodrošina ne vien iekļaujamās informācijas satura un apjoma precīzu noteikšanu, bet arī vienotu strukturējumu. Minētais ir būtiski, lai nodrošinātu vienveidīgu piemērošanas praksi un mazinātu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Iesniegumā sertifikāta saņemšanai darbībām ar ozona slāni noārdošām vielām, fluorētām siltumnīcefekta gāzēm vai attiecīgām fluorēto siltumnīcefekta gāzu alternatīvām, tostarp dabiskiem aukstumaģentiem, kā arī produktiem, aprīkojumu un to daļām norādāmā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25-TA-1339</w:t>
    </w:r>
    <w:r>
      <w:br/>
    </w:r>
    <w:r w:rsidR="00000000" w:rsidRPr="00000000" w:rsidDel="00000000">
      <w:rPr>
        <w:rtl w:val="0"/>
      </w:rPr>
      <w:t xml:space="preserve">23.09.2026. 13.25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25-TA-1339</w:t>
    </w:r>
    <w:r>
      <w:br/>
    </w:r>
    <w:r w:rsidR="00000000" w:rsidRPr="00000000" w:rsidDel="00000000">
      <w:rPr>
        <w:rtl w:val="0"/>
      </w:rPr>
      <w:t xml:space="preserve">23.09.2026. 13.25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Izziņa_25-TA-1339.docx</dc:title>
</cp:coreProperties>
</file>

<file path=docProps/custom.xml><?xml version="1.0" encoding="utf-8"?>
<Properties xmlns="http://schemas.openxmlformats.org/officeDocument/2006/custom-properties" xmlns:vt="http://schemas.openxmlformats.org/officeDocument/2006/docPropsVTypes"/>
</file>