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26-TA-693: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25. oktobra noteikumos Nr. 673 "Eiropas Savienības Atveseļošanas un noturības mehānisma plāna trešās komponentes "Nevienlīdzības mazināšana" 3.1. reformu un investīciju virziena "Reģionālā politika" 3.1.1.6.i. investīcijas "Pašvaldību funkciju īstenošanai un pakalpojumu sniegšanai nepieciešamo bezemisiju transportlīdzekļu iegāde"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(19.09.2024.)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24.04.2026. 15:58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mērķa formulējumu. Skaidrojam, ka projekta mērķim jābūt vērstam uz pozitīvām izmaiņām, ko paredzēts panākt Latvijā, nevis vienkārši precizēt, izvērst investīcijas sasniedzamos mērķus.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izvērtējumu par plānoto grozījumu ietekmi uz jau notikušo projektu iesniegumu atlasi, ņemot vērā, ka tā notikusi </w:t>
            </w:r>
            <w:r w:rsidR="00000000" w:rsidRPr="00000000" w:rsidDel="00000000">
              <w:rPr>
                <w:u w:val="single"/>
                <w:rtl w:val="0"/>
              </w:rPr>
              <w:t xml:space="preserve">atklātas</w:t>
            </w:r>
            <w:r w:rsidR="00000000" w:rsidRPr="00000000" w:rsidDel="00000000">
              <w:rPr>
                <w:rtl w:val="0"/>
              </w:rPr>
              <w:t xml:space="preserve"> projektu iesniegumu atlases veidā. Proti, vai gadījumā, ja regulējums jau sākotnēji būtu bijis noteikts atbilstoši plānotajiem grozījumiem, atlases rezultāts būtu bijis atšķirīgs. Vēršam uzmanību, ka plānotie grozījumi neatbilst atsevišķiem Ministru kabineta 2022. gada 25. oktobra noteikumu Nr. 673 "Eiropas Savienības Atveseļošanas un noturības mehānisma plāna trešās komponentes "Nevienlīdzības mazināšana" 3.1. reformu un investīciju virziena "Reģionālā politika" 3.1.1.6.i. investīcijas "Pašvaldību funkciju īstenošanai un pakalpojumu sniegšanai nepieciešamo bezemisiju transportlīdzekļu iegāde" īstenošanas noteikumi" (turpmāk - noteikumi Nr. 673) pielikumā minētajiem projektu iesniegumu atlases kritērijiem, piemēram, kritērijam Nr. 3.11. un pie kritērija Nr. 3.5. pievienotajai 14. zemsvītras atsaucei.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 Anotācija papildināta ar izvērtējumu par plānoto grozījumu ietekmi uz jau notikušo projektu iesniegumu atlasi. Vienlaikus skaidrojam, ka investīcijas ietvaros iegādātie bezemisiju transportlīdzekļi arī turpmāk primāri paredzēti skolēnu pārvadājumu nodrošināšanai. Papildus, anotācijā norādīts, ka atklātajā projektu iesniegumu atlasē pieejamais finansējums netika pilnībā apgūts, līdz ar to plānotie grozījumi nebūtu ietekmējuši atlases rezultātus un projektu iesniedzēju konkurenci.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 Piemēram, Eiropas Parlamenta un Padomes 2019. gada 20. jūnija Direktīva (ES) 2019/1161, ar ko groza Direktīvu 2009/33/EK par “tīro” un energoefektīvo autotransporta līdzekļu izmantošanas veicināšanu.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Skaidrojot projekta terminoloģijas saistību ar direktīvu, lūdzam skaidrojumus veidot atbilstoši direktīvas kā tiesību akta būtībai - proti, lūdzam ņemt vērā, ka direktīvas nav tieši piemērojams tiesību akts un tās prasības ir jāpārņem nacionālajos tiesību aktos. Pašreizējais apraksts veidots tā, ka tikai direktīva pati par sevi nosaka, ka transportlīdzeklis bez iekšdedzes motora (dzinēja) ir tīrs transportlīdzeklis un tiek definēts kā lielas noslodzes bezemisiju transportlīdzeklis, nenorādot nacionālo normatīvo aktu, kur minētā direktīvas norma pārņemta.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punktā “Cita informācija” pēdējos divus teikumus svītrot un to vietā norādīt informāciju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salāgot anotācijas tekstā (anotācijas 1.3.sadaļā “Pašreizējā situācija, problēmas un risinājumi “) minēto 3.1.1.6.i investīcijai “Pašvaldību funkciju īstenošanai un pakalpojumu sniegšanai nepieciešamo bezemisiju transportlīdzekļu iegāde” pieejamo finansējuma apmēru ar noteikumu projektā esošo (t.i., 7 142 152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konceptuāli atbalstītās finansējuma pārdales rezultātā 3.1.1.6.i. investīcijas AF finansējums tiek samazināts no 8 799 261 euro uz 7 142 152 euro. Papildus jāņem vērā, ka 3.1.1.1.i. investīcijai, uz kuru veikta finansējuma pārdale, pievienotās vērtības nodokļa (PVN) izmaksas ir sedzamas no valsts budžeta, kas nozīmē, ka AF finansējuma pārdalei ir ietekme uz budžetu, bet, ievērojot, ka lēmums par valsts budžeta finansējuma nodrošināšanai 3.1.1.1.i. investīcijas ietvaros PVN izmaksu segšanai jau ir pieņemts ar iepriekš minēto Ministru kabineta 2025. gada 17.jūnija lēmumu, tad pie šī noteikumu projekta ietekme neveidojas.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projekta atbilstību Eiropas Savienības tiesībām, ņemot vērā anotācijas 1.3. apakšsadaļā skaidroto grozījumu saistību ar, piemēram, Padomes 2025. gada 12. decembra īstenošanas lēmumu Nr. 15719/25 . Pirmkārt, lūdzam precizēt lēmuma numuru, jo Padomes īstenošanas lēmums ar šādu numuru Eiropas Savienības Oficiālajā Vēstnesī nav atrodams. Otrkārt, lūdzam anotācijas 5. sadaļā izvērsti skaidrot, kā projekts īsteno minētā lēmuma normas, jo īpaši aizpildot 5.4. apakšsadaļas 1. tabulu. Anotācijas 5. sadaļas aizpildīšanā iesakām ievērot "Vadlīnijas tiesību akta projekta sākotnējās ietekmes novērtēšanai un novērtējuma ziņojuma sagatavošanai Vienotajā tiesību aktu izstrādes un saskaņošanas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Atveseļošanas fonda finansējuma rezultātu sasniegšanu vērtē, ņemot vērā investīcijas ietvaros sasniedzamos mērķus: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11. punktā plānotie grozījumi ir atbilstoši un neietekmē projekta īstenotājus, jo plānotās izmaiņas skar jau pagājušu laika periodu. Piemēram, 11.2. apakšpunkts nosaka nepieciešamību pēc pieņemšanas-nodošanas akta par transportlīdzekļu piegādi, kas izdots līdz 2025. gada 31. decembrim, bet 11.1. apakšpunkts nosaka, ka līgumiem bija jābūt noslēgtiem gadu ātrāk nekā tas paredzēts Noteikumu spēkā esošajā redakcijā. Attiecīgi, vai nepastāv risks, ka pašvaldībai var nebūt attiecīga akta vai līgums būs noslēgts atbilstoši datumam, kas izriet no spēkā esošā regulējuma.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plānotie grozījumi noteikumu 11.punktā neietekmē finansējuma saņēmējus un nerada tiem papildu pienākumus vai riskus. Visi līgumi par bezemisiju transportlīdzekļu iegādi tika noslēgti jau līdz 2023. gada 30. septembrim, līdz ar to investīcijas mērķis Nr.108. “Elektrisko skolas autobusu skaits saskaņā ar līgumiem, par kuriem piešķirtas līgumu slēgšanas tiesības par pašvaldību funkciju īstenošanai un saistīto pakalpojumu sniegšanai nepieciešamo elektroautobusu iegādi” tika sasniegts līdz 2023. gada 30.septembrim. Attiecīgi grozījumi tiek veikti pēc fakta, precizējot noteikumos investīcijas ietvaros faktiski sasniegtos termiņus atbilstoši aktuālajiem ANM plāna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norādām, ka visi investīcijas ietvaros paredzētie transportlīdzekļi tika piegādāti līdz 2025. gada 31. decembrim, jo minētais datums bija noteikts kā investīcijas īstenošanas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Atveseļošanas fonda finansējuma rezultātu sasniegšanu vērtē, ņemot vērā investīcijas ietvaros sasniedzamos mērķus: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bezemisiju transportlīdzekļu skaits saskaņā ar līgumiem, kas noslēgti par bezemisiju transportlīdzekļu iegādi pašvaldības funkciju veikšanai un pārvaldes uzdevumu izpildei (mērķis): līdz 2023. gada 30. septembrim noslēgti civiltiesiskie līgumi vai vienošanās par projektu īstenošanas tiesību piešķiršanu par 15 bezemisiju transportlīdzekļu iegādi vietējo pašvaldību funkciju veikšanai un pārvaldes uzdevumu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11.1.apakšpunktā un 11.2.apakšpunktā norādīto informāciju attiecībā uz sasniedzamajiem mērķiem, salāgojot redakciju ar Padomes īstenošanas lēmumā (CID) esošo.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11.1. un 11.2. apakšpunkta redakcija tika precizēta, maksimāli pietuvinot to Padomes īstenošanas lēmumā (CID) noteiktajam formulējumam. Vēršam uzmanību, ka saskaņā ar Pašvaldību likuma 2. pantu pašvaldības patstāvīgi nodrošina tām tiesību aktos noteikto funkciju un uzdevumu izpildi savas administratīvās teritorijas iedzīvotāju interesēs un ir atbildīgas par to. Ievērojot minēto, kā arī to, ka ANM plāns tiek tulkot no angļu valodas uz latviešu valodu, atsevišķās vietās redakcija ir pielāgota juridiski korektākam normatīvā akta stilam atbilstošam formulējumam, nemainot regulējuma būtību un sasniedzamos mērķus, t.sk. noteikumu projekts paredz skolas autobusu saīsinājumu uz “bezemisiju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bezemisiju transportlīdzekļu skaits saskaņā ar līgumiem, kas noslēgti par bezemisiju transportlīdzekļu iegādi pašvaldības funkciju veikšanai un pārvaldes uzdevumu izpildei (mērķis): līdz 2023. gada 30. septembrim noslēgti civiltiesiskie līgumi vai vienošanās par projektu īstenošanas tiesību piešķiršanu par 15 bezemisiju transportlīdzekļu iegādi vietējo pašvaldību funkciju veikšanai un pārvaldes uzdevumu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w:t>
            </w:r>
            <w:r w:rsidR="00000000" w:rsidRPr="00000000" w:rsidDel="00000000">
              <w:rPr>
                <w:rtl w:val="0"/>
              </w:rPr>
              <w:t xml:space="preserve">11.2. </w:t>
            </w:r>
            <w:r w:rsidR="00000000" w:rsidRPr="00000000" w:rsidDel="00000000">
              <w:rPr>
                <w:rtl w:val="0"/>
              </w:rPr>
              <w:t xml:space="preserve"> apakšpunktā</w:t>
            </w:r>
            <w:r w:rsidR="00000000" w:rsidRPr="00000000" w:rsidDel="00000000">
              <w:rPr>
                <w:rtl w:val="0"/>
              </w:rPr>
              <w:t xml:space="preserve"> minētais mērķis ir izpildīts, kad aģentūrā ir iesniegts bezemisiju transportlīdzekļa pirkuma līgums, pieņemšanas un nodošanas akts vai cits pirkumu un piegādi apliecinošs dokuments, kā arī uzlādes infrastruktūras izveide, ja attiecināms, tiek pamatota ar dokumentiem par pieņemšanu ekspluatācijā saskaņā ar būvniecības jomu reglamentējošajiem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Nr. 673 14. punktu, ņemot vērā, ka noteikumu Nr. 673 11.2. apakšpunkta plānotajā redakcijā kā mērķis norādīts tas, ka līdz 2025. gada 31. decembrim izdots tieši </w:t>
            </w:r>
            <w:r w:rsidR="00000000" w:rsidRPr="00000000" w:rsidDel="00000000">
              <w:rPr>
                <w:u w:val="single"/>
                <w:rtl w:val="0"/>
              </w:rPr>
              <w:t xml:space="preserve">pieņemšanas-nodošanas akts</w:t>
            </w:r>
            <w:r w:rsidR="00000000" w:rsidRPr="00000000" w:rsidDel="00000000">
              <w:rPr>
                <w:rtl w:val="0"/>
              </w:rPr>
              <w:t xml:space="preserve"> par 15 bezemisiju transportlīdzekļu piegādi pašvaldībām, un nav paredzēts </w:t>
            </w:r>
            <w:r w:rsidR="00000000" w:rsidRPr="00000000" w:rsidDel="00000000">
              <w:rPr>
                <w:u w:val="single"/>
                <w:rtl w:val="0"/>
              </w:rPr>
              <w:t xml:space="preserve">cits piegādi apliecinošs dokuments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w:t>
            </w:r>
            <w:r w:rsidR="00000000" w:rsidRPr="00000000" w:rsidDel="00000000">
              <w:rPr>
                <w:rtl w:val="0"/>
              </w:rPr>
              <w:t xml:space="preserve">11.2. </w:t>
            </w:r>
            <w:r w:rsidR="00000000" w:rsidRPr="00000000" w:rsidDel="00000000">
              <w:rPr>
                <w:rtl w:val="0"/>
              </w:rPr>
              <w:t xml:space="preserve"> apakšpunktā</w:t>
            </w:r>
            <w:r w:rsidR="00000000" w:rsidRPr="00000000" w:rsidDel="00000000">
              <w:rPr>
                <w:rtl w:val="0"/>
              </w:rPr>
              <w:t xml:space="preserve"> minētais mērķis ir izpildīts, kad aģentūrā ir iesniegts bezemisiju transportlīdzekļa pieņemšanas un nodošanas akts, kā arī uzlādes infrastruktūras izveide, ja attiecināms, tiek pamatota ar dokumentiem par pieņemšanu ekspluatācijā saskaņā ar būvniecības jomu reglamentējošajiem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w:t>
            </w:r>
            <w:r w:rsidR="00000000" w:rsidRPr="00000000" w:rsidDel="00000000">
              <w:rPr>
                <w:rtl w:val="0"/>
              </w:rPr>
              <w:t xml:space="preserve">11.2. </w:t>
            </w:r>
            <w:r w:rsidR="00000000" w:rsidRPr="00000000" w:rsidDel="00000000">
              <w:rPr>
                <w:rtl w:val="0"/>
              </w:rPr>
              <w:t xml:space="preserve"> apakšpunktā</w:t>
            </w:r>
            <w:r w:rsidR="00000000" w:rsidRPr="00000000" w:rsidDel="00000000">
              <w:rPr>
                <w:rtl w:val="0"/>
              </w:rPr>
              <w:t xml:space="preserve"> minētais mērķis ir izpildīts, kad aģentūrā ir iesniegts bezemisiju transportlīdzekļa pirkuma līgums, pieņemšanas un nodošanas akts vai cits pirkumu un piegādi apliecinošs dokuments, kā arī uzlādes infrastruktūras izveide, ja attiecināms, tiek pamatota ar dokumentiem par pieņemšanu ekspluatācijā saskaņā ar būvniecības jomu reglamentējošajiem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Noteikumu 14. punkta grozījumus kontekstā ar 11.2. apakšpunktu. Vēršam uzmanību, ka no grozījumiem Noteikumu 11.2. apakšpunktā izriet nepieciešamība izdot tikai pieņemšanas-nodošanas aktu par 15 bezemisiju transportlīdzekļu piegādi pašvaldībām, bet no 14. punkta tas, ka mērķa izpilde var būt pierādāma arī ar pirkuma līgumu vai citu pirkumu un piegādi apliecinošu dokumentu.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w:t>
            </w:r>
            <w:r w:rsidR="00000000" w:rsidRPr="00000000" w:rsidDel="00000000">
              <w:rPr>
                <w:rtl w:val="0"/>
              </w:rPr>
              <w:t xml:space="preserve">11.2. </w:t>
            </w:r>
            <w:r w:rsidR="00000000" w:rsidRPr="00000000" w:rsidDel="00000000">
              <w:rPr>
                <w:rtl w:val="0"/>
              </w:rPr>
              <w:t xml:space="preserve"> apakšpunktā</w:t>
            </w:r>
            <w:r w:rsidR="00000000" w:rsidRPr="00000000" w:rsidDel="00000000">
              <w:rPr>
                <w:rtl w:val="0"/>
              </w:rPr>
              <w:t xml:space="preserve"> minētais mērķis ir izpildīts, kad aģentūrā ir iesniegts bezemisiju transportlīdzekļa pieņemšanas un nodošanas akts, kā arī uzlādes infrastruktūras izveide, ja attiecināms, tiek pamatota ar dokumentiem par pieņemšanu ekspluatācijā saskaņā ar būvniecības jomu reglamentējošajiem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Grozījumi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28.</w:t>
            </w:r>
            <w:r w:rsidR="00000000" w:rsidRPr="00000000" w:rsidDel="00000000">
              <w:rPr>
                <w:rtl w:val="0"/>
              </w:rPr>
              <w:t xml:space="preserve"> punktā, </w:t>
            </w:r>
            <w:r w:rsidR="00000000" w:rsidRPr="00000000" w:rsidDel="00000000">
              <w:rPr>
                <w:rtl w:val="0"/>
              </w:rPr>
              <w:t xml:space="preserve">66.4.</w:t>
            </w:r>
            <w:r w:rsidR="00000000" w:rsidRPr="00000000" w:rsidDel="00000000">
              <w:rPr>
                <w:rtl w:val="0"/>
              </w:rPr>
              <w:t xml:space="preserve">, </w:t>
            </w:r>
            <w:r w:rsidR="00000000" w:rsidRPr="00000000" w:rsidDel="00000000">
              <w:rPr>
                <w:rtl w:val="0"/>
              </w:rPr>
              <w:t xml:space="preserve">68.1.</w:t>
            </w:r>
            <w:r w:rsidR="00000000" w:rsidRPr="00000000" w:rsidDel="00000000">
              <w:rPr>
                <w:rtl w:val="0"/>
              </w:rPr>
              <w:t xml:space="preserve"> un </w:t>
            </w:r>
            <w:r w:rsidR="00000000" w:rsidRPr="00000000" w:rsidDel="00000000">
              <w:rPr>
                <w:rtl w:val="0"/>
              </w:rPr>
              <w:t xml:space="preserve">70.1.</w:t>
            </w:r>
            <w:r w:rsidR="00000000" w:rsidRPr="00000000" w:rsidDel="00000000">
              <w:rPr>
                <w:rtl w:val="0"/>
              </w:rPr>
              <w:t xml:space="preserve"> apakšpunktā piemērojami sākot ar 2026. gada 1. aprīli, un tie ir piemērojami visiem projektiem, kas iesniegti investīcijas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Oficiālo publikāciju un tiesiskās informācijas likuma 9. panta ceturtā daļa noteic, ka normatīvajiem aktiem nav atpakaļejoša spēka, izņemot likumā īpaši paredzētus gadījumus. Lūdzam izvērtēt un nepieciešamības gadījumā attiecīgi precizēt projektu vai sniegt pamatojumu regulējumam ar atpakaļejošu spēku.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Grozījumi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28.</w:t>
            </w:r>
            <w:r w:rsidR="00000000" w:rsidRPr="00000000" w:rsidDel="00000000">
              <w:rPr>
                <w:rtl w:val="0"/>
              </w:rPr>
              <w:t xml:space="preserve"> punktā, </w:t>
            </w:r>
            <w:r w:rsidR="00000000" w:rsidRPr="00000000" w:rsidDel="00000000">
              <w:rPr>
                <w:rtl w:val="0"/>
              </w:rPr>
              <w:t xml:space="preserve">66.4.</w:t>
            </w:r>
            <w:r w:rsidR="00000000" w:rsidRPr="00000000" w:rsidDel="00000000">
              <w:rPr>
                <w:rtl w:val="0"/>
              </w:rPr>
              <w:t xml:space="preserve">, </w:t>
            </w:r>
            <w:r w:rsidR="00000000" w:rsidRPr="00000000" w:rsidDel="00000000">
              <w:rPr>
                <w:rtl w:val="0"/>
              </w:rPr>
              <w:t xml:space="preserve">68.1.</w:t>
            </w:r>
            <w:r w:rsidR="00000000" w:rsidRPr="00000000" w:rsidDel="00000000">
              <w:rPr>
                <w:rtl w:val="0"/>
              </w:rPr>
              <w:t xml:space="preserve"> un </w:t>
            </w:r>
            <w:r w:rsidR="00000000" w:rsidRPr="00000000" w:rsidDel="00000000">
              <w:rPr>
                <w:rtl w:val="0"/>
              </w:rPr>
              <w:t xml:space="preserve">70.1.</w:t>
            </w:r>
            <w:r w:rsidR="00000000" w:rsidRPr="00000000" w:rsidDel="00000000">
              <w:rPr>
                <w:rtl w:val="0"/>
              </w:rPr>
              <w:t xml:space="preserve"> apakšpunktā piemērojami sākot ar 2026. gada 1. aprīli, un tie ir piemērojami visiem projektiem, kas iesniegti investīcijas ietvaros.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26-TA-693</w:t>
    </w:r>
    <w:r>
      <w:br/>
    </w:r>
    <w:r w:rsidR="00000000" w:rsidRPr="00000000" w:rsidDel="00000000">
      <w:rPr>
        <w:rtl w:val="0"/>
      </w:rPr>
      <w:t xml:space="preserve">27.05.2026. 17.11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26-TA-693</w:t>
    </w:r>
    <w:r>
      <w:br/>
    </w:r>
    <w:r w:rsidR="00000000" w:rsidRPr="00000000" w:rsidDel="00000000">
      <w:rPr>
        <w:rtl w:val="0"/>
      </w:rPr>
      <w:t xml:space="preserve">27.05.2026. 17.11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Izziņa_26-TA-693.docx</dc:title>
</cp:coreProperties>
</file>

<file path=docProps/custom.xml><?xml version="1.0" encoding="utf-8"?>
<Properties xmlns="http://schemas.openxmlformats.org/officeDocument/2006/custom-properties" xmlns:vt="http://schemas.openxmlformats.org/officeDocument/2006/docPropsVTypes"/>
</file>