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10:51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4.1.1.4. pasākuma finansējums,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ietvaros būs nepieciešamas precizēt Eiropas Savienības kohēzijas politikas programmai 2021. – 2027. gadam pasākuma finansējuma sadalījumu pa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131 “Veselība aprūpes digitalizācija” – ERAF finansējums 17 564 072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17 564 072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17 564 072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17 564 072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17 564 072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veikto grozījumu interpretāciju, lūdzam papildināt anotācijas 1.3. sadaļu “Pašreizējā situācija, problēmas un risinājumi” ar informāciju par noteikumu projekta 8. un 10. punktā paredzēto grozījumu būtību un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lūdzam norādīt anotācijā, no kura brīža ir attiecināmas iekšzemes komandējumu un darba braucienu izmaksas un kā tiks piemērotas minētās izmaksas, kā arī skaidru sasaisti ar projekta rezultātu sasniegšanu. Vienlaikus aicinām norādīt, kuras Ministru kabineta 2024. gada 26. novembra noteikumu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(turpmāk – noteikumi Nr.747) 23. punktā atbalstāmās darbības un 25. punktā izmaksu pozīcijas ietvaros aktivitātes paredzēts īstenot, nepieciešamības gadījumā veicot attiecīgus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Vadošās iestādes Vadlīnijas Nr. Nr.1.2. "Vadlīnijas attiecināmo izmaksu noteikšanai Eiropas Savienības kohēzijas politikas programmas 2021.-2027.gada plānošanas periodā" (turpmāk – Vadlīnijas Nr. 1.2.) nosaka, ka obligātās veselības pārbaudes izmaksas ir attiecināmas no netiešajām izmaksām, tās neietilpst personāla izmaksās. Ņemot vērā minēto, aicinām minētās izmaksas nenoteikt kā pasākuma attiecināmās izmaksas un neparedzēt noteikumu projekta 10. punktā ietvertajā noteikumu Nr.747 25.2.3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komandējumiem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punkts, kas paredzēja obligātās veselības pārbaudes izmaksas iekļaut attiecināmajās izmaksās. Saglabājot, esošo pieeju, ka obligātās veselības pārbaužu izmaksas sedzamas no projekta netiešajām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“Pašreizējā situācija, problēmas un risinājumi”  sniegto informāciju, ka noteikumu projekta 12.punkts nosaka redakcionālos precizējumus, ņemot vērā to, ka noteikumu projekta 12.punkta paredz jaunu izmaksu pozīciju - izmaksas, kas saistītas ar starptautisko standartu specifikāciju, metodisko materiālu un piekļuves tiesību iegādes un darbinieku mācību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mainījusies punktu numerācija, veikti atbilstoši precizējumi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pārvērtētas visas izmaksu pozīcijas un nosacījumi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t.sk., ietekme uz jau īstenošanā esošajiem projektiem un ka projekta atbalstāmās darbības tiek īstenotas atbilstoši drošas finanšu pārvaldības principiem, ievērojot samērīguma principus un visas darbības tiek veiktas, lai publiskais finansējums tiktu investēts lietderīgi, efektīvi, atbildīgi, rūpīgi un atbilstoši plānotajam mērķim un saskaņā ar normatīvo regulējumu.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w:t>
            </w:r>
            <w:r w:rsidR="00000000" w:rsidRPr="00000000" w:rsidDel="00000000">
              <w:rPr>
                <w:rtl w:val="0"/>
              </w:rPr>
              <w:t xml:space="preserve">1.3.sadaļā "Pašreizējā situācija, problēmas un risinājumi" rindkopā "Risinājuma apraksts" sniegta informācija, ka "Finansējuma samazinājums skars atsevišķus projektus (Latvijas Digitālās veselības centra un Veselības inspekcijas), [..]" taču MK noteikumu grozījumu projekta 13.1.6.apakšpunktā veiktos precizējumus, finansējums ir samazināts tikai Veselības inspekcijas projektam. Lūdzam precizēt sniegto informāciju, sniedzot detalizētāku skaidrojumu attiecībā uz Latvijas Digitālās veselības centra (LDVC) projekta finansējuma samazinājumu, ņemot vērā, ka MK noteikumu grozījumos nav iekļauts konkrēts finanssējuma samazinājums LDVC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teikumā: "Savukārt grozījumi projektu īstenošanas līgumos attiecībā uz Veselības inspekcijas un Latvijas Digitālās veselības centra projektiem nav nepieciešami, [..]" sniegto informāciju attiecībā uz LDVC.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LDVC MK noteikumu 14.punkts, kuru ar grozījumu projektu ir paredzēts dzēst, paredzēja, ka LDVC projekta īstenošanai pieejamo maksimālo attiecināmo finansējumu pēc 2026. gada 1. janvāra var palielināt līdz 10 526 735 euro, ja atbildīgā iestāde pēc šo noteikumu 11. punktā minētā Eiropas Komisijas lēmuma par vidusposma pārskatu ierosinās palielināt pasākumam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elastības finansējums tiek pārdalīts PSKUS A2 projekta 2. posma būvniecības līguma slēgšanai un tehniskās palīdzības starpības segšanai, tad LDVC vairs nepastāv iespēja iesniegt projektu par 14.punktā noteikto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pirmspēdējā rindkopā aicinām pārskatīt un precizēt, iekavās norādītos MK noteikumu projekta punktus, proti, sniegta informācija, ka paredzēti "1) Redakcionāli precizējumi (noteikumu projekta 6. un 12.punkts)", taču MK noteikumu grozījumu projektā 6. un 12.punktā šobrīd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neprecizitātes novērtas, tāpat pēc precizējumiem ir mainījusies noteikumu projekta punktu numerācija, atbilstoši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papildus finansējuma pārdalēm noteikumu projektā tiek iekļautas papildu attiecināmās izmaksas pasākuma otrajai kārtai, lūdzam anotāciju papildināt ar konkrētu noteikumu punktu, uz kuru attiecas sniegtais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2.punktā iekļauta informācija, ka pasākuma otrajā kārtā aktivitāšu īstenošanai paredzēta starptautisko standartu iegāde, tostarp arī finansējuma saņēmēja personāla specializētās apmācības un sertifikācija. Aicinām papildināt anotāciju ar informāciju, kādas praktiskās darbības tiks īstenotas plānotās iegādes ietvaros, sniegt skaidru sasaisti ar projekta rezultātu un mērķu sasniegšanu, kā arī papildināt ar informāciju, kuras noteikumu 23.punktā atbalstāmās darbības un 25.punktā izmaksu pozīcijas ietvaros aktivitātes paredzēts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3.punktā iekļauta informācija, ka pasākuma otrajā kārtā paredzēti ārvalstu komandējumi un ārvalstu ekspertu piesaiste un vizīšu organizēšana Latvijā. Aicinām papildināt anotāciju ar informāciju, sniedzot argumentētu pamatojumu šādu aktivitāšu iekļaušanai, norādot skaidru sasaisti ar projekta rezultātu sasniegšanu. Vienlaikus aicinām norādīt, kuras noteikumu 23.punktā atbalstāmās darbības un 25.punktā izmaksu pozīcijas ietvaros aktivitātes paredzēts īstenot, nepieciešamības gadījumā veicot attiecīgus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nodrošināt korektas atsauces uz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neprecizitātes novērtas, tāpat pēc precizējumiem ir mainījusies noteikumu projekta punktu numerācija, atbilstoši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iekļauta informācija par pasākuma pirmās kārtas ietvaros īstenoto projektu ilgtspēju un finanšu korekciju piemērošanu pēcuzraudzības periodā. Vēršam uzmanību, ka finanšu korekcijas pamatotība, kā arī konkrētās situācijas un aspekti ir vērtējami katrā gadījumā un katrā projektā individuāli, atbilstoši konkrētā projekta ietvaros izstrādāto sistēmu specifikai un tehniskajām īpašībām, kā arī par šādiem gadījumiem jāinformē CFLA. Ņemot vērā minēto, aicinām pārskatīt anotācijā iekļauto.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un kā tiks informēti finansējuma saņēmēji par grozījumiem noteikumos Nr. 747, ņemot vērā, ka nav noslēgusies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projektu iesniegumu atlase tiek īstenota ierobežotas projektu iesniegumu atlases veidā. Kā arī finansējuma saņēmēji ir Veselības ministrijas padotības iestādes, valsts kapitālsabiedrības vai atvasinātas publiskas personas, kas veic deleģēto pārvaldes uzdevumu, tad tās katra atsevišķi tiks informēta par veiktajiem grozījumiem un to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pirmo rindkopu, skaidri norādot pilnu 4.1.1.4.pasākuma kopējo elastības finansējumu, kā arī nepārprotami identificējot finansējuma daļu, kuru paredzēts pārdalīt, norādot attiecīgo finansējuma apmēru un pārdales mērķi. Vienlaikus lūdzam svītrot minētajā rindkopā ietverto atsauci uz “3 000 000 euro”, jo pašreizējā redakcijā nav viennozīmīgi saprotams, vai šī summa atbilst Veselības inspekcijas projektam paredzētā finansējuma apjomam vai pārdalāmajai finansējuma daļai, tādējādi radot interpretācijas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skaidrot anotācijas 1.3. sadaļas apakšsadaļas "Risinājuma apraksts" 2. punktā, kāpēc oficiālu starptautisko standartu (piemēram, ISO, TOGAF, ITIL u. c.) specifikāciju iegāde netika plānota jau iepriekš, un skaidrot, kas ir mainījies, lai būtu nepieciešamība pēc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“Tiesību akta projekta ietekme uz valsts budžetu un pašvaldību budžetiem” 2., 4., 6. ailē finansējuma apmērs norādīts saskaņā ar likumu “Par valsts budžetu 2026. gadam un budžeta ietvaru 2026., 2027. un 2028. gadam”, lūdzam precizēt anotācijas 3.sadaļas 6.punktu “Detalizēts ieņēmumu un izdevumu aprēķins”, norādot minētajās ailēs norādīto finansējumu sadalījumā pa ministrijām un gadiem. Kā arī lūdzam anotācijas 3.sadaļas 6.punktā norādīto faktisko finansējuma apguvi 2025. gadā sadalīt pa ministrijām un prognozēto finansējumu 2026.-2030.gadam sadalīt pa ministrijām un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jaunu punktu, kurš noteiktu VM rast risinājumu un informēt MK par priekšlikumiem rīcībai, neietekmējot valsts budžetu un vispārējās valdības budžeta bilanci negatīvā veidā, gadījumā, ja netiek saņemts pozitīvs Eiropas Komisijas lēmums par grozījumiem Eiropas Savienības kohēzijas politikas programmā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protokollēmums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virzīt izskatīšanai MK pirms vai vienlaikus ar noteikumu projektu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(26-TA-1223).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izskatīšanai MK pirms vai vienlaikus ar noteikumu projektu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(26-TA-1223).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 ievērojot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Nr. 747 20. punktu un svītrot tajā atsauci uz  Eiropas Parlamenta un Padomes 2024. gada 23. septembra Regulas (ES, Euratom) 2024/2509 par finanšu noteikumiem, ko piemēro Savienības vispārējam budžetam (pārstrādātā redakcija) 61. pantu, ņemot vērā ka minētajā pantā ietvertās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Nr.747 20.punktā.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vadības personāla izmaksas, nepārsniedzot ierobežojumu, ko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bet neieskaitot tiešās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noteikumu 25.1. punktā izkļaut noteikto limitu, ņemot vērā, ka Vadošās iestādes 09.06.2025. “Vadlīnijas attiecināmo izmaksu noteikšanai Eiropas Savienības kohēzijas politikas programmas 2021.-2027.gada plānošanas periodā” šādus nosacījumus vairs neparedz, pēc nepieciešamības  noteikumos noteikt projekta vadības un īstenošanas personāla atlīdzības izmaksu ierobežojumu no projekta plānotajām kopējām attiecināmajām izmaksām (piemēram,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MK noteikumus Nr.747, to anotācijā tika sniegts skaidrojums par 4.1.1.4.pasākuma 2.kārtas projekta specifisku, kas paredz, ka personāla likmes nosacījumi netiek piemēroti otrās atlases kārtas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vadības personāla izmaksas, nepārsniedzot ierobežojumu, ko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bet neieskaitot tiešās projekta vadības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veselības aprūpes jomas informācijas un komunikācijas tehnoloģiju arhitektūras pārraudzības izmaksas, nodrošinot integrētu publisko pakalpojumu sniegšanas, piekļūstamības un galalietotāju vajadzību uzraudzību, tai skaitā specializētu informācijas tehnoloģiju rīku (licenču un programmatūras kā pakalpojuma) abonēšanas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Nr.1.2. 8.5. punktam IT uzturēšanas izmaksas (piemēram, nepieciešamās licences un programmatūras atjauninājumi) ietilpst projekta vadības un projekta īstenošanas netiešajās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noteikumu projekta 11. punktā noteiktās specializētu informācijas tehnoloģiju rīku (licenču un programmatūras kā pakalpojuma) abonēšanas izmaksas plānot kā netiešās attiecināmas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10.punktā.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veselības aprūpes jomas informācijas un komunikācijas tehnoloģiju arhitektūras pārraudzības izmaksas, nodrošinot integrētu publisko pakalpojumu sniegšanas, piekļūstamības un galalietotāju vajadzību uzraudzību;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26-TA-824</w:t>
    </w:r>
    <w:r>
      <w:br/>
    </w:r>
    <w:r w:rsidR="00000000" w:rsidRPr="00000000" w:rsidDel="00000000">
      <w:rPr>
        <w:rtl w:val="0"/>
      </w:rPr>
      <w:t xml:space="preserve">13.06.2026. 12.08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26-TA-824</w:t>
    </w:r>
    <w:r>
      <w:br/>
    </w:r>
    <w:r w:rsidR="00000000" w:rsidRPr="00000000" w:rsidDel="00000000">
      <w:rPr>
        <w:rtl w:val="0"/>
      </w:rPr>
      <w:t xml:space="preserve">13.06.2026. 12.08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Izziņa_26-TA-824.docx</dc:title>
</cp:coreProperties>
</file>

<file path=docProps/custom.xml><?xml version="1.0" encoding="utf-8"?>
<Properties xmlns="http://schemas.openxmlformats.org/officeDocument/2006/custom-properties" xmlns:vt="http://schemas.openxmlformats.org/officeDocument/2006/docPropsVTypes"/>
</file>