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piekrītošo nekustamo īpašumu Avotu ielā 10-8, Lielvārdē un Mālkalnes prospektā 17-27, Ogrē  nodošanu Ogres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"Pamatojoties uz Civillikuma 416. panta septīto daļu, ierakstot zemesgrāmata īpašuma tiesības valstij uz nekustamo īpašumu, kas atzīts par bezmantinieka mantu, vienlaikus tiek dzēstas uz šo īpašumu ierakstītās saistības, apgrūtinājumi un aizlieguma atzīmes."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 anotācijas un paskaidrojošajiem dokumentiem izriet, ka par bezmantinieka mantu ir atzīts rīkojuma projekta 1.1. punktā norādītais nekustamais īpašums, savukārt rīkojuma projekta 1.2. punktā norādītais nekustamais īpašums ir atzīts par noziedzīgi iegūtu mantu.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anotāciju, attiecībā uz rīkojuma projekta 1.2. punktā norādīto nekustamo īpašumu atsaucoties uz Kriminālprocesa likuma 356. panta 1.1 daļu,</w:t>
            </w:r>
            <w:r w:rsidR="00000000" w:rsidRPr="00000000" w:rsidDel="00000000">
              <w:rPr>
                <w:rtl w:val="0"/>
              </w:rPr>
              <w:t xml:space="preserve"> kas nosaka: "(11) Ja manta tiek atzīta par noziedzīgi iegūtu, tai uzliktais arests, apgrūtinājumi, aizliegumi un ķīlas tiesības, tai skaitā visi uz publiskajā reģistrā reģistrējamu mantu ierakstītie apgrūtinājumi un aizlieguma atzīmes, ir dzēšamas."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rīkojuma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sistēmā reģistrētiem datiem, gan daudzdzīvokļu ēka ar kadastra apzīmējumu 7401 002 0020 018, gan daudzdzīvokļu ēka ar kadastra apzīmējumu 7413 001 0391 004 atrodas uz privātpersonu īpašumā esošām zemes vienībām. Anotācijā norādīts, ka pašvaldībai, pārņemot dzīvokļus (lūdzam precizēt - dzīvokļu īpašumus), būs pienākums maksāt piespiedu zemes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30.09.2021. pieņemtajiem Grozījumiem likumā "Par atjaunotā Latvijas Republikas 1937. gada Civillikuma ievada, mantojuma tiesību un lietu tiesību daļas spēkā stāšanās laiku un piemērošanas kārtību" piespiedu nomas attiecības tika aizstātas ar jaunu tiesību institūtu - likumiskās zemes lietošanas tiesības. Atbilstoši grozītā likuma “Par atjaunotā Latvijas Republikas 1937.gada Civillikuma ievada, mantojuma tiesību un lietu tiesību daļas spēkā stāšanās laiku un piemērošanas kārtību” 38. panta otrajai daļai būves īpašniekam uz likuma pamata ir pienākums maksāt lietošanas maksu zemes īpašniekam par zemes lietošanas tiesībām 4% gadā no lietošanā esošās zemes kadastrālās vērtības, bet ne mazāk par 50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lūdzam precizēt anotāciju, aizstājot terminu “piespiedu zemes nomas maksa” ar terminu “lietošanas maksa zemes īpašniekam par zemes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22-TA-1402</w:t>
    </w:r>
    <w:r>
      <w:br/>
    </w:r>
    <w:r w:rsidR="00000000" w:rsidRPr="00000000" w:rsidDel="00000000">
      <w:rPr>
        <w:rtl w:val="0"/>
      </w:rPr>
      <w:t xml:space="preserve">06.06.2022. 16.03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22-TA-1402</w:t>
    </w:r>
    <w:r>
      <w:br/>
    </w:r>
    <w:r w:rsidR="00000000" w:rsidRPr="00000000" w:rsidDel="00000000">
      <w:rPr>
        <w:rtl w:val="0"/>
      </w:rPr>
      <w:t xml:space="preserve">06.06.2022. 16.03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Izziņa_22-TA-1402.docx</dc:title>
</cp:coreProperties>
</file>

<file path=docProps/custom.xml><?xml version="1.0" encoding="utf-8"?>
<Properties xmlns="http://schemas.openxmlformats.org/officeDocument/2006/custom-properties" xmlns:vt="http://schemas.openxmlformats.org/officeDocument/2006/docPropsVTypes"/>
</file>